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rsidR="00F57BEF" w:rsidRPr="00B46892" w14:paraId="24200752" w14:textId="41D8F4D0">
      <w:pPr>
        <w:autoSpaceDE w:val="0"/>
        <w:autoSpaceDN w:val="0"/>
        <w:adjustRightInd w:val="0"/>
        <w:jc w:val="center"/>
        <w:rPr>
          <w:rFonts w:ascii="黑体" w:eastAsia="黑体" w:hAnsi="宋体" w:hint="eastAsia"/>
          <w:b/>
          <w:sz w:val="44"/>
          <w:szCs w:val="44"/>
        </w:rPr>
      </w:pPr>
      <w:r w:rsidRPr="001417C3">
        <w:rPr>
          <w:rFonts w:ascii="黑体" w:eastAsia="黑体" w:hAnsi="宋体" w:hint="eastAsia"/>
          <w:b/>
          <w:sz w:val="44"/>
          <w:szCs w:val="44"/>
        </w:rPr>
        <w:t>宁银理财宁欣天天鎏金现金管理类理财产品S款1号</w:t>
      </w:r>
      <w:r w:rsidRPr="00B46892" w:rsidR="00CC57FA">
        <w:rPr>
          <w:rFonts w:ascii="黑体" w:eastAsia="黑体" w:hAnsi="宋体" w:hint="eastAsia"/>
          <w:b/>
          <w:sz w:val="44"/>
          <w:szCs w:val="44"/>
        </w:rPr>
        <w:t>产品说明书</w:t>
      </w:r>
    </w:p>
    <w:p w:rsidR="00F57BEF" w:rsidRPr="00B46892" w14:paraId="7BC58963" w14:textId="30CAA9CE">
      <w:pPr>
        <w:spacing w:line="312" w:lineRule="auto"/>
        <w:jc w:val="center"/>
        <w:rPr>
          <w:rFonts w:ascii="黑体" w:eastAsia="黑体" w:hAnsi="黑体" w:hint="eastAsia"/>
          <w:sz w:val="44"/>
          <w:szCs w:val="44"/>
        </w:rPr>
      </w:pPr>
      <w:r w:rsidRPr="00B46892">
        <w:rPr>
          <w:rFonts w:ascii="黑体" w:eastAsia="黑体" w:hAnsi="黑体" w:hint="eastAsia"/>
          <w:sz w:val="24"/>
        </w:rPr>
        <w:t>（</w:t>
      </w:r>
      <w:r w:rsidRPr="00B46892" w:rsidR="007A196E">
        <w:rPr>
          <w:rFonts w:ascii="黑体" w:eastAsia="黑体" w:hAnsi="黑体"/>
          <w:sz w:val="24"/>
        </w:rPr>
        <w:t>202</w:t>
      </w:r>
      <w:r w:rsidR="00066F0A">
        <w:rPr>
          <w:rFonts w:ascii="黑体" w:eastAsia="黑体" w:hAnsi="黑体" w:hint="eastAsia"/>
          <w:sz w:val="24"/>
        </w:rPr>
        <w:t>60</w:t>
      </w:r>
      <w:r w:rsidR="00523BFA">
        <w:rPr>
          <w:rFonts w:ascii="黑体" w:eastAsia="黑体" w:hAnsi="黑体" w:hint="eastAsia"/>
          <w:sz w:val="24"/>
        </w:rPr>
        <w:t>2</w:t>
      </w:r>
      <w:r w:rsidRPr="00B46892">
        <w:rPr>
          <w:rFonts w:ascii="黑体" w:eastAsia="黑体" w:hAnsi="黑体" w:hint="eastAsia"/>
          <w:sz w:val="24"/>
        </w:rPr>
        <w:t>版</w:t>
      </w:r>
      <w:r w:rsidRPr="00B46892">
        <w:rPr>
          <w:rFonts w:ascii="黑体" w:eastAsia="黑体" w:hAnsi="黑体"/>
          <w:sz w:val="24"/>
        </w:rPr>
        <w:t>/</w:t>
      </w:r>
      <w:r w:rsidRPr="00B46892">
        <w:rPr>
          <w:rFonts w:ascii="黑体" w:eastAsia="黑体" w:hAnsi="黑体" w:hint="eastAsia"/>
          <w:sz w:val="24"/>
        </w:rPr>
        <w:t>适用于现金管理类</w:t>
      </w:r>
      <w:r w:rsidRPr="00B46892">
        <w:rPr>
          <w:rFonts w:ascii="黑体" w:eastAsia="黑体" w:hAnsi="黑体"/>
          <w:sz w:val="24"/>
        </w:rPr>
        <w:t>净值型理财</w:t>
      </w:r>
      <w:r w:rsidRPr="00B46892">
        <w:rPr>
          <w:rFonts w:ascii="黑体" w:eastAsia="黑体" w:hAnsi="黑体" w:hint="eastAsia"/>
          <w:sz w:val="24"/>
        </w:rPr>
        <w:t>产品）</w:t>
      </w:r>
    </w:p>
    <w:p w:rsidR="00F57BEF" w:rsidRPr="00B46892" w14:paraId="6434886F"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一、重要说明</w:t>
      </w:r>
    </w:p>
    <w:p w:rsidR="00F57BEF" w:rsidRPr="00B46892" w14:paraId="4E62F2B3" w14:textId="380FC6D3">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1</w:t>
      </w:r>
      <w:r w:rsidRPr="00B46892">
        <w:rPr>
          <w:rFonts w:ascii="黑体" w:eastAsia="黑体" w:hAnsi="黑体" w:cs="黑体" w:hint="eastAsia"/>
          <w:kern w:val="0"/>
          <w:szCs w:val="21"/>
        </w:rPr>
        <w:t>、《</w:t>
      </w:r>
      <w:r w:rsidRPr="001417C3" w:rsidR="001417C3">
        <w:rPr>
          <w:rFonts w:ascii="黑体" w:eastAsia="黑体" w:hAnsi="黑体" w:cs="黑体" w:hint="eastAsia"/>
          <w:kern w:val="0"/>
          <w:szCs w:val="21"/>
        </w:rPr>
        <w:t>宁银理财宁欣天天鎏金现金管理类理财产品S款1号</w:t>
      </w:r>
      <w:r w:rsidRPr="00B46892">
        <w:rPr>
          <w:rFonts w:ascii="黑体" w:eastAsia="黑体" w:hAnsi="黑体" w:cs="黑体"/>
          <w:kern w:val="0"/>
          <w:szCs w:val="21"/>
        </w:rPr>
        <w:t>产品说明书</w:t>
      </w:r>
      <w:r w:rsidRPr="00B46892">
        <w:rPr>
          <w:rFonts w:ascii="黑体" w:eastAsia="黑体" w:hAnsi="黑体" w:cs="黑体" w:hint="eastAsia"/>
          <w:kern w:val="0"/>
          <w:szCs w:val="21"/>
        </w:rPr>
        <w:t>》（下称</w:t>
      </w:r>
      <w:r w:rsidRPr="00B46892">
        <w:rPr>
          <w:rFonts w:ascii="黑体" w:eastAsia="黑体" w:hAnsi="黑体" w:cs="黑体"/>
          <w:kern w:val="0"/>
          <w:szCs w:val="21"/>
        </w:rPr>
        <w:t>“</w:t>
      </w:r>
      <w:r w:rsidRPr="00B46892">
        <w:rPr>
          <w:rFonts w:ascii="黑体" w:eastAsia="黑体" w:hAnsi="黑体" w:cs="黑体" w:hint="eastAsia"/>
          <w:kern w:val="0"/>
          <w:szCs w:val="21"/>
        </w:rPr>
        <w:t>本</w:t>
      </w:r>
      <w:r w:rsidRPr="00B46892">
        <w:rPr>
          <w:rFonts w:ascii="黑体" w:eastAsia="黑体" w:hAnsi="黑体" w:cs="黑体"/>
          <w:kern w:val="0"/>
          <w:szCs w:val="21"/>
        </w:rPr>
        <w:t>说明</w:t>
      </w:r>
      <w:r w:rsidRPr="00B46892">
        <w:rPr>
          <w:rFonts w:ascii="黑体" w:eastAsia="黑体" w:hAnsi="黑体" w:cs="黑体" w:hint="eastAsia"/>
          <w:kern w:val="0"/>
          <w:szCs w:val="21"/>
        </w:rPr>
        <w:t>书</w:t>
      </w:r>
      <w:r w:rsidRPr="00B46892">
        <w:rPr>
          <w:rFonts w:ascii="黑体" w:eastAsia="黑体" w:hAnsi="黑体" w:cs="黑体"/>
          <w:kern w:val="0"/>
          <w:szCs w:val="21"/>
        </w:rPr>
        <w:t>”</w:t>
      </w:r>
      <w:r w:rsidRPr="00B46892">
        <w:rPr>
          <w:rFonts w:ascii="黑体" w:eastAsia="黑体" w:hAnsi="黑体" w:cs="黑体" w:hint="eastAsia"/>
          <w:kern w:val="0"/>
          <w:szCs w:val="21"/>
        </w:rPr>
        <w:t>或《理财产品说明书》）与本理财产品的《风险揭示书》、《销售（代理销售）协议书》</w:t>
      </w:r>
      <w:r w:rsidR="007A196E">
        <w:rPr>
          <w:rFonts w:ascii="黑体" w:eastAsia="黑体" w:hAnsi="黑体" w:cs="黑体" w:hint="eastAsia"/>
          <w:kern w:val="0"/>
          <w:szCs w:val="21"/>
        </w:rPr>
        <w:t>（通过代理销售机构销售的，文件具体名称以代理销售机构为准，下同）</w:t>
      </w:r>
      <w:r w:rsidRPr="00B46892">
        <w:rPr>
          <w:rFonts w:ascii="黑体" w:eastAsia="黑体" w:hAnsi="黑体" w:cs="黑体" w:hint="eastAsia"/>
          <w:kern w:val="0"/>
          <w:szCs w:val="21"/>
        </w:rPr>
        <w:t>、《投资协议书》、《投资者权益须知》等理财产品销售文件共同构成一份完整且不可分割的、关于甲方所投资乙方理财产品的全部协议。若本说明书与上述</w:t>
      </w:r>
      <w:r w:rsidRPr="00B46892">
        <w:rPr>
          <w:rFonts w:ascii="黑体" w:eastAsia="黑体" w:hAnsi="黑体" w:cs="黑体"/>
          <w:kern w:val="0"/>
          <w:szCs w:val="21"/>
        </w:rPr>
        <w:t>其他文本</w:t>
      </w:r>
      <w:r w:rsidRPr="00B46892">
        <w:rPr>
          <w:rFonts w:ascii="黑体" w:eastAsia="黑体" w:hAnsi="黑体" w:cs="黑体" w:hint="eastAsia"/>
          <w:kern w:val="0"/>
          <w:szCs w:val="21"/>
        </w:rPr>
        <w:t>有不一致之处，以本说明书为准。</w:t>
      </w:r>
    </w:p>
    <w:p w:rsidR="00F57BEF" w:rsidRPr="00B46892" w14:paraId="450597D7"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2、宁银理财</w:t>
      </w:r>
      <w:r w:rsidRPr="00B46892">
        <w:rPr>
          <w:rFonts w:ascii="黑体" w:eastAsia="黑体" w:hAnsi="黑体" w:cs="黑体"/>
          <w:kern w:val="0"/>
          <w:szCs w:val="21"/>
        </w:rPr>
        <w:t>有限责任</w:t>
      </w:r>
      <w:r w:rsidRPr="00B46892">
        <w:rPr>
          <w:rFonts w:ascii="黑体" w:eastAsia="黑体" w:hAnsi="黑体" w:cs="黑体" w:hint="eastAsia"/>
          <w:kern w:val="0"/>
          <w:szCs w:val="21"/>
        </w:rPr>
        <w:t>公司（下称“产品</w:t>
      </w:r>
      <w:r w:rsidRPr="00B46892">
        <w:rPr>
          <w:rFonts w:ascii="黑体" w:eastAsia="黑体" w:hAnsi="黑体" w:cs="黑体"/>
          <w:kern w:val="0"/>
          <w:szCs w:val="21"/>
        </w:rPr>
        <w:t>管理人”</w:t>
      </w:r>
      <w:r w:rsidRPr="00B46892">
        <w:rPr>
          <w:rFonts w:ascii="黑体" w:eastAsia="黑体" w:hAnsi="黑体" w:cs="黑体" w:hint="eastAsia"/>
          <w:kern w:val="0"/>
          <w:szCs w:val="21"/>
        </w:rPr>
        <w:t>）代理投资者进行理财资金的投资和管理，并严格遵照本说明书所载的内容进行操作。</w:t>
      </w:r>
    </w:p>
    <w:p w:rsidR="00F57BEF" w14:paraId="029EF2A5" w14:textId="74E076EA">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3、产品</w:t>
      </w:r>
      <w:r w:rsidRPr="00B46892">
        <w:rPr>
          <w:rFonts w:ascii="黑体" w:eastAsia="黑体" w:hAnsi="黑体" w:cs="黑体"/>
          <w:kern w:val="0"/>
          <w:szCs w:val="21"/>
        </w:rPr>
        <w:t>管理人</w:t>
      </w:r>
      <w:r w:rsidRPr="00B46892">
        <w:rPr>
          <w:rFonts w:ascii="黑体" w:eastAsia="黑体" w:hAnsi="黑体" w:cs="黑体" w:hint="eastAsia"/>
          <w:kern w:val="0"/>
          <w:szCs w:val="21"/>
        </w:rPr>
        <w:t>对本说明书具有解释权。</w:t>
      </w:r>
    </w:p>
    <w:p w:rsidR="007A196E" w:rsidRPr="00CA561C" w:rsidP="007A196E" w14:paraId="623ED7FB" w14:textId="6DE1E209">
      <w:pPr>
        <w:autoSpaceDE w:val="0"/>
        <w:autoSpaceDN w:val="0"/>
        <w:adjustRightInd w:val="0"/>
        <w:ind w:firstLine="420" w:firstLineChars="200"/>
        <w:jc w:val="left"/>
        <w:rPr>
          <w:rFonts w:ascii="黑体" w:hAnsi="黑体" w:hint="eastAsia"/>
          <w:kern w:val="0"/>
        </w:rPr>
      </w:pPr>
      <w:r w:rsidRPr="0053053F">
        <w:rPr>
          <w:rFonts w:ascii="黑体" w:eastAsia="黑体" w:hAnsi="黑体" w:cs="黑体"/>
          <w:b/>
          <w:kern w:val="0"/>
          <w:szCs w:val="21"/>
        </w:rPr>
        <w:t>4、理财产品过往业绩不代表其未来表现，不等于理财产品实际收益，投资须谨慎。</w:t>
      </w:r>
    </w:p>
    <w:p w:rsidR="00F57BEF" w:rsidRPr="00B46892" w14:paraId="26CF47C2" w14:textId="77777777">
      <w:pPr>
        <w:autoSpaceDE w:val="0"/>
        <w:autoSpaceDN w:val="0"/>
        <w:adjustRightInd w:val="0"/>
        <w:ind w:firstLine="447" w:firstLineChars="213"/>
        <w:jc w:val="left"/>
        <w:rPr>
          <w:rFonts w:ascii="黑体" w:eastAsia="黑体" w:hAnsi="黑体" w:cs="黑体" w:hint="eastAsia"/>
          <w:kern w:val="0"/>
          <w:szCs w:val="21"/>
        </w:rPr>
      </w:pPr>
    </w:p>
    <w:p w:rsidR="00F57BEF" w:rsidRPr="00B46892" w14:paraId="7900B092"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二</w:t>
      </w:r>
      <w:r w:rsidRPr="00B46892">
        <w:rPr>
          <w:rFonts w:ascii="黑体" w:eastAsia="黑体" w:hAnsi="黑体" w:cs="黑体"/>
          <w:b/>
          <w:kern w:val="0"/>
          <w:szCs w:val="21"/>
        </w:rPr>
        <w:t>、</w:t>
      </w:r>
      <w:r w:rsidRPr="00B46892">
        <w:rPr>
          <w:rFonts w:ascii="黑体" w:eastAsia="黑体" w:hAnsi="黑体" w:cs="黑体" w:hint="eastAsia"/>
          <w:b/>
          <w:kern w:val="0"/>
          <w:szCs w:val="21"/>
        </w:rPr>
        <w:t>产品要素</w:t>
      </w:r>
    </w:p>
    <w:tbl>
      <w:tblPr>
        <w:tblStyle w:val="TableGrid"/>
        <w:tblW w:w="8443" w:type="dxa"/>
        <w:tblInd w:w="-147" w:type="dxa"/>
        <w:tblLayout w:type="fixed"/>
        <w:tblLook w:val="04A0"/>
      </w:tblPr>
      <w:tblGrid>
        <w:gridCol w:w="1985"/>
        <w:gridCol w:w="6458"/>
      </w:tblGrid>
      <w:tr w14:paraId="3BCAC23D" w14:textId="77777777">
        <w:tblPrEx>
          <w:tblW w:w="8443" w:type="dxa"/>
          <w:tblInd w:w="-147" w:type="dxa"/>
          <w:tblLayout w:type="fixed"/>
          <w:tblLook w:val="04A0"/>
        </w:tblPrEx>
        <w:tc>
          <w:tcPr>
            <w:tcW w:w="1985" w:type="dxa"/>
          </w:tcPr>
          <w:p w:rsidR="00F57BEF" w:rsidRPr="00B46892" w14:paraId="2A82D2BE"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产品代码</w:t>
            </w:r>
          </w:p>
        </w:tc>
        <w:tc>
          <w:tcPr>
            <w:tcW w:w="6458" w:type="dxa"/>
          </w:tcPr>
          <w:p w:rsidR="00F57BEF" w:rsidRPr="00B46892" w14:paraId="77DB86AE" w14:textId="7239C2D9">
            <w:pPr>
              <w:autoSpaceDE w:val="0"/>
              <w:autoSpaceDN w:val="0"/>
              <w:adjustRightInd w:val="0"/>
              <w:jc w:val="left"/>
              <w:rPr>
                <w:rFonts w:ascii="黑体" w:eastAsia="黑体" w:hAnsi="黑体" w:cs="黑体" w:hint="eastAsia"/>
                <w:kern w:val="0"/>
                <w:szCs w:val="21"/>
              </w:rPr>
            </w:pPr>
            <w:r w:rsidRPr="001417C3">
              <w:rPr>
                <w:rFonts w:ascii="黑体" w:eastAsia="黑体" w:hAnsi="黑体" w:cs="黑体"/>
                <w:kern w:val="0"/>
                <w:szCs w:val="21"/>
              </w:rPr>
              <w:t>ZGN235S001</w:t>
            </w:r>
          </w:p>
        </w:tc>
      </w:tr>
      <w:tr w14:paraId="26757D72" w14:textId="77777777">
        <w:tblPrEx>
          <w:tblW w:w="8443" w:type="dxa"/>
          <w:tblInd w:w="-147" w:type="dxa"/>
          <w:tblLayout w:type="fixed"/>
          <w:tblLook w:val="04A0"/>
        </w:tblPrEx>
        <w:tc>
          <w:tcPr>
            <w:tcW w:w="1985" w:type="dxa"/>
            <w:vAlign w:val="center"/>
          </w:tcPr>
          <w:p w:rsidR="00F57BEF" w:rsidRPr="00B46892" w14:paraId="6C8A6FE8"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全国</w:t>
            </w:r>
            <w:r w:rsidRPr="00B46892">
              <w:rPr>
                <w:rFonts w:ascii="黑体" w:eastAsia="黑体" w:hAnsi="黑体" w:cs="黑体"/>
                <w:kern w:val="0"/>
                <w:szCs w:val="21"/>
              </w:rPr>
              <w:t>银行业</w:t>
            </w:r>
            <w:r w:rsidRPr="00B46892">
              <w:rPr>
                <w:rFonts w:ascii="黑体" w:eastAsia="黑体" w:hAnsi="黑体" w:cs="黑体" w:hint="eastAsia"/>
                <w:kern w:val="0"/>
                <w:szCs w:val="21"/>
              </w:rPr>
              <w:t>信息</w:t>
            </w:r>
            <w:r w:rsidRPr="00B46892">
              <w:rPr>
                <w:rFonts w:ascii="黑体" w:eastAsia="黑体" w:hAnsi="黑体" w:cs="黑体"/>
                <w:kern w:val="0"/>
                <w:szCs w:val="21"/>
              </w:rPr>
              <w:t>登记系统编码</w:t>
            </w:r>
          </w:p>
        </w:tc>
        <w:tc>
          <w:tcPr>
            <w:tcW w:w="6458" w:type="dxa"/>
          </w:tcPr>
          <w:p w:rsidR="00F57BEF" w:rsidRPr="00B46892" w14:paraId="15F3F7A4" w14:textId="28DF32CD">
            <w:pPr>
              <w:autoSpaceDE w:val="0"/>
              <w:autoSpaceDN w:val="0"/>
              <w:adjustRightInd w:val="0"/>
              <w:jc w:val="left"/>
              <w:rPr>
                <w:rFonts w:ascii="黑体" w:eastAsia="黑体" w:hAnsi="黑体" w:cs="黑体" w:hint="eastAsia"/>
                <w:kern w:val="0"/>
                <w:szCs w:val="21"/>
              </w:rPr>
            </w:pPr>
            <w:r w:rsidRPr="001417C3">
              <w:rPr>
                <w:rFonts w:ascii="黑体" w:eastAsia="黑体" w:hAnsi="黑体" w:cs="黑体"/>
                <w:kern w:val="0"/>
                <w:szCs w:val="21"/>
              </w:rPr>
              <w:t>Z7002123000473</w:t>
            </w:r>
          </w:p>
          <w:p w:rsidR="00F57BEF" w:rsidRPr="00B46892" w14:paraId="4B7018D5"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凭此编码可在“中国理财网（www.chinawealth.com.cn）”上查询本产品信息</w:t>
            </w:r>
          </w:p>
        </w:tc>
      </w:tr>
      <w:tr w14:paraId="3F595E4D" w14:textId="77777777">
        <w:tblPrEx>
          <w:tblW w:w="8443" w:type="dxa"/>
          <w:tblInd w:w="-147" w:type="dxa"/>
          <w:tblLayout w:type="fixed"/>
          <w:tblLook w:val="04A0"/>
        </w:tblPrEx>
        <w:tc>
          <w:tcPr>
            <w:tcW w:w="1985" w:type="dxa"/>
            <w:vAlign w:val="center"/>
          </w:tcPr>
          <w:p w:rsidR="00F57BEF" w:rsidRPr="00B46892" w14:paraId="045A3EA2"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名称</w:t>
            </w:r>
          </w:p>
        </w:tc>
        <w:tc>
          <w:tcPr>
            <w:tcW w:w="6458" w:type="dxa"/>
          </w:tcPr>
          <w:p w:rsidR="00F57BEF" w:rsidRPr="00B46892" w14:paraId="15217384" w14:textId="0EFCE83C">
            <w:pPr>
              <w:autoSpaceDE w:val="0"/>
              <w:autoSpaceDN w:val="0"/>
              <w:adjustRightInd w:val="0"/>
              <w:jc w:val="left"/>
              <w:rPr>
                <w:rFonts w:ascii="黑体" w:eastAsia="黑体" w:hAnsi="黑体" w:cs="黑体" w:hint="eastAsia"/>
                <w:b/>
                <w:kern w:val="0"/>
                <w:szCs w:val="21"/>
              </w:rPr>
            </w:pPr>
            <w:r w:rsidRPr="001417C3">
              <w:rPr>
                <w:rFonts w:ascii="黑体" w:eastAsia="黑体" w:hAnsi="黑体" w:cs="黑体" w:hint="eastAsia"/>
                <w:b/>
                <w:kern w:val="0"/>
                <w:szCs w:val="21"/>
              </w:rPr>
              <w:t>宁银理财宁欣天天鎏金现金管理类理财产品S款1号</w:t>
            </w:r>
          </w:p>
        </w:tc>
      </w:tr>
      <w:tr w14:paraId="0260032F" w14:textId="77777777">
        <w:tblPrEx>
          <w:tblW w:w="8443" w:type="dxa"/>
          <w:tblInd w:w="-147" w:type="dxa"/>
          <w:tblLayout w:type="fixed"/>
          <w:tblLook w:val="04A0"/>
        </w:tblPrEx>
        <w:tc>
          <w:tcPr>
            <w:tcW w:w="1985" w:type="dxa"/>
            <w:vAlign w:val="center"/>
          </w:tcPr>
          <w:p w:rsidR="00F57BEF" w:rsidRPr="00B46892" w14:paraId="62839786"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类型</w:t>
            </w:r>
          </w:p>
        </w:tc>
        <w:tc>
          <w:tcPr>
            <w:tcW w:w="6458" w:type="dxa"/>
          </w:tcPr>
          <w:p w:rsidR="00F57BEF" w:rsidRPr="00B46892" w14:paraId="6D58CA91" w14:textId="04FB64EC">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固定收益类、非保本浮动收益型</w:t>
            </w:r>
          </w:p>
        </w:tc>
      </w:tr>
      <w:tr w14:paraId="66D13572" w14:textId="77777777">
        <w:tblPrEx>
          <w:tblW w:w="8443" w:type="dxa"/>
          <w:tblInd w:w="-147" w:type="dxa"/>
          <w:tblLayout w:type="fixed"/>
          <w:tblLook w:val="04A0"/>
        </w:tblPrEx>
        <w:tc>
          <w:tcPr>
            <w:tcW w:w="1985" w:type="dxa"/>
            <w:vAlign w:val="center"/>
          </w:tcPr>
          <w:p w:rsidR="00F57BEF" w:rsidRPr="00B46892" w14:paraId="3866C1C5"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募集</w:t>
            </w:r>
            <w:r w:rsidRPr="00B46892">
              <w:rPr>
                <w:rFonts w:ascii="黑体" w:eastAsia="黑体" w:hAnsi="黑体" w:cs="黑体"/>
                <w:kern w:val="0"/>
                <w:szCs w:val="21"/>
              </w:rPr>
              <w:t>方式</w:t>
            </w:r>
          </w:p>
        </w:tc>
        <w:tc>
          <w:tcPr>
            <w:tcW w:w="6458" w:type="dxa"/>
          </w:tcPr>
          <w:p w:rsidR="00F57BEF" w:rsidRPr="00B46892" w14:paraId="5924760A" w14:textId="770ADA46">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公募</w:t>
            </w:r>
          </w:p>
        </w:tc>
      </w:tr>
      <w:tr w14:paraId="0F1DA787" w14:textId="77777777">
        <w:tblPrEx>
          <w:tblW w:w="8443" w:type="dxa"/>
          <w:tblInd w:w="-147" w:type="dxa"/>
          <w:tblLayout w:type="fixed"/>
          <w:tblLook w:val="04A0"/>
        </w:tblPrEx>
        <w:tc>
          <w:tcPr>
            <w:tcW w:w="1985" w:type="dxa"/>
            <w:vAlign w:val="center"/>
          </w:tcPr>
          <w:p w:rsidR="00F57BEF" w:rsidRPr="00B46892" w14:paraId="02FC5220"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评级</w:t>
            </w:r>
          </w:p>
        </w:tc>
        <w:tc>
          <w:tcPr>
            <w:tcW w:w="6458" w:type="dxa"/>
          </w:tcPr>
          <w:p w:rsidR="00F57BEF" w14:paraId="24E744D5" w14:textId="166EC205">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b/>
                <w:kern w:val="0"/>
                <w:szCs w:val="21"/>
              </w:rPr>
              <w:t>PR1</w:t>
            </w:r>
          </w:p>
          <w:p w:rsidR="00066F0A" w:rsidRPr="00066F0A" w14:paraId="2A584F3C" w14:textId="01DA8E00">
            <w:pPr>
              <w:autoSpaceDE w:val="0"/>
              <w:autoSpaceDN w:val="0"/>
              <w:adjustRightInd w:val="0"/>
              <w:jc w:val="left"/>
              <w:rPr>
                <w:rFonts w:ascii="黑体" w:eastAsia="黑体" w:hAnsi="黑体" w:cs="黑体" w:hint="eastAsia"/>
                <w:b/>
                <w:kern w:val="0"/>
                <w:szCs w:val="21"/>
              </w:rPr>
            </w:pPr>
            <w:r>
              <w:rPr>
                <w:rFonts w:ascii="黑体" w:eastAsia="黑体" w:hAnsi="黑体" w:cs="黑体" w:hint="eastAsia"/>
                <w:b/>
                <w:kern w:val="0"/>
                <w:szCs w:val="21"/>
              </w:rPr>
              <w:t>在产品存续期间，</w:t>
            </w:r>
            <w:r w:rsidRPr="00434E4A">
              <w:rPr>
                <w:rFonts w:ascii="黑体" w:eastAsia="黑体" w:hAnsi="黑体" w:cs="黑体" w:hint="eastAsia"/>
                <w:b/>
                <w:kern w:val="0"/>
                <w:szCs w:val="21"/>
              </w:rPr>
              <w:t>当市场环境等因素发生变化</w:t>
            </w:r>
            <w:r>
              <w:rPr>
                <w:rFonts w:ascii="黑体" w:eastAsia="黑体" w:hAnsi="黑体" w:cs="黑体" w:hint="eastAsia"/>
                <w:b/>
                <w:kern w:val="0"/>
                <w:szCs w:val="21"/>
              </w:rPr>
              <w:t>时</w:t>
            </w:r>
            <w:r w:rsidRPr="00434E4A">
              <w:rPr>
                <w:rFonts w:ascii="黑体" w:eastAsia="黑体" w:hAnsi="黑体" w:cs="黑体" w:hint="eastAsia"/>
                <w:b/>
                <w:kern w:val="0"/>
                <w:szCs w:val="21"/>
              </w:rPr>
              <w:t>，产品管理人</w:t>
            </w:r>
            <w:r>
              <w:rPr>
                <w:rFonts w:ascii="黑体" w:eastAsia="黑体" w:hAnsi="黑体" w:cs="黑体" w:hint="eastAsia"/>
                <w:b/>
                <w:kern w:val="0"/>
                <w:szCs w:val="21"/>
              </w:rPr>
              <w:t>可能对产品风险</w:t>
            </w:r>
            <w:r w:rsidRPr="00434E4A">
              <w:rPr>
                <w:rFonts w:ascii="黑体" w:eastAsia="黑体" w:hAnsi="黑体" w:cs="黑体" w:hint="eastAsia"/>
                <w:b/>
                <w:kern w:val="0"/>
                <w:szCs w:val="21"/>
              </w:rPr>
              <w:t>评级进行</w:t>
            </w:r>
            <w:r>
              <w:rPr>
                <w:rFonts w:ascii="黑体" w:eastAsia="黑体" w:hAnsi="黑体" w:cs="黑体" w:hint="eastAsia"/>
                <w:b/>
                <w:kern w:val="0"/>
                <w:szCs w:val="21"/>
              </w:rPr>
              <w:t>调整，具体以届时信息披露公告为准</w:t>
            </w:r>
            <w:r w:rsidRPr="00434E4A">
              <w:rPr>
                <w:rFonts w:ascii="黑体" w:eastAsia="黑体" w:hAnsi="黑体" w:cs="黑体" w:hint="eastAsia"/>
                <w:b/>
                <w:kern w:val="0"/>
                <w:szCs w:val="21"/>
              </w:rPr>
              <w:t>。</w:t>
            </w:r>
          </w:p>
          <w:p w:rsidR="00F57BEF" w:rsidRPr="00B46892" w14:paraId="5748637D"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本评级</w:t>
            </w:r>
            <w:r w:rsidRPr="00B46892">
              <w:rPr>
                <w:rFonts w:ascii="黑体" w:eastAsia="黑体" w:hAnsi="黑体" w:cs="黑体"/>
                <w:kern w:val="0"/>
                <w:szCs w:val="21"/>
              </w:rPr>
              <w:t>为</w:t>
            </w:r>
            <w:r w:rsidRPr="00B46892">
              <w:rPr>
                <w:rFonts w:ascii="黑体" w:eastAsia="黑体" w:hAnsi="黑体" w:cs="黑体" w:hint="eastAsia"/>
                <w:kern w:val="0"/>
                <w:szCs w:val="21"/>
              </w:rPr>
              <w:t>产品</w:t>
            </w:r>
            <w:r w:rsidRPr="00B46892">
              <w:rPr>
                <w:rFonts w:ascii="黑体" w:eastAsia="黑体" w:hAnsi="黑体" w:cs="黑体"/>
                <w:kern w:val="0"/>
                <w:szCs w:val="21"/>
              </w:rPr>
              <w:t>管理人内部评级，仅供参考</w:t>
            </w:r>
            <w:r w:rsidRPr="00B46892">
              <w:rPr>
                <w:rFonts w:ascii="黑体" w:eastAsia="黑体" w:hAnsi="黑体" w:cs="黑体" w:hint="eastAsia"/>
                <w:kern w:val="0"/>
                <w:szCs w:val="21"/>
              </w:rPr>
              <w:t>。该产品通过代理销售机构渠道销售的，理财产品评级应当以代理销售机构最终披露的评级结果为准。</w:t>
            </w:r>
          </w:p>
        </w:tc>
      </w:tr>
      <w:tr w14:paraId="009502BC" w14:textId="77777777">
        <w:tblPrEx>
          <w:tblW w:w="8443" w:type="dxa"/>
          <w:tblInd w:w="-147" w:type="dxa"/>
          <w:tblLayout w:type="fixed"/>
          <w:tblLook w:val="04A0"/>
        </w:tblPrEx>
        <w:tc>
          <w:tcPr>
            <w:tcW w:w="1985" w:type="dxa"/>
            <w:vAlign w:val="center"/>
          </w:tcPr>
          <w:p w:rsidR="00F57BEF" w:rsidRPr="00B46892" w14:paraId="7FB095D8"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目标</w:t>
            </w:r>
            <w:r w:rsidRPr="00B46892">
              <w:rPr>
                <w:rFonts w:ascii="黑体" w:eastAsia="黑体" w:hAnsi="黑体" w:cs="黑体"/>
                <w:kern w:val="0"/>
                <w:szCs w:val="21"/>
              </w:rPr>
              <w:t>投资者</w:t>
            </w:r>
          </w:p>
        </w:tc>
        <w:tc>
          <w:tcPr>
            <w:tcW w:w="6458" w:type="dxa"/>
          </w:tcPr>
          <w:p w:rsidR="008D0429" w:rsidP="00E71C2E" w14:paraId="363B3A08" w14:textId="77777777">
            <w:pPr>
              <w:autoSpaceDE w:val="0"/>
              <w:autoSpaceDN w:val="0"/>
              <w:adjustRightInd w:val="0"/>
              <w:jc w:val="left"/>
              <w:rPr>
                <w:rFonts w:ascii="黑体" w:eastAsia="黑体" w:hAnsi="黑体" w:cs="黑体" w:hint="eastAsia"/>
                <w:b/>
                <w:bCs/>
                <w:kern w:val="0"/>
                <w:szCs w:val="21"/>
              </w:rPr>
            </w:pPr>
            <w:r w:rsidRPr="00B46892">
              <w:rPr>
                <w:rFonts w:ascii="黑体" w:eastAsia="黑体" w:hAnsi="黑体" w:cs="黑体" w:hint="eastAsia"/>
                <w:b/>
                <w:kern w:val="0"/>
                <w:szCs w:val="21"/>
              </w:rPr>
              <w:t>风险评级为保守型，稳健型，平衡型，成长型，进取型的投资者</w:t>
            </w:r>
            <w:r w:rsidR="008B06BF">
              <w:rPr>
                <w:rFonts w:ascii="黑体" w:eastAsia="黑体" w:hAnsi="黑体" w:cs="黑体" w:hint="eastAsia"/>
                <w:b/>
                <w:kern w:val="0"/>
                <w:szCs w:val="21"/>
              </w:rPr>
              <w:t>，</w:t>
            </w:r>
            <w:r w:rsidRPr="009A1C14" w:rsidR="008B06BF">
              <w:rPr>
                <w:rFonts w:ascii="黑体" w:eastAsia="黑体" w:hAnsi="黑体" w:cs="黑体" w:hint="eastAsia"/>
                <w:b/>
                <w:bCs/>
                <w:kern w:val="0"/>
                <w:szCs w:val="21"/>
              </w:rPr>
              <w:t>其中</w:t>
            </w:r>
            <w:bookmarkStart w:id="0" w:name="_Hlk214610844"/>
          </w:p>
          <w:p w:rsidR="00066F0A" w:rsidP="00E71C2E" w14:paraId="5FDA9C39" w14:textId="08801F3E">
            <w:pPr>
              <w:autoSpaceDE w:val="0"/>
              <w:autoSpaceDN w:val="0"/>
              <w:adjustRightInd w:val="0"/>
              <w:jc w:val="left"/>
              <w:rPr>
                <w:rFonts w:ascii="黑体" w:eastAsia="黑体" w:hAnsi="黑体" w:cs="黑体" w:hint="eastAsia"/>
                <w:b/>
                <w:kern w:val="0"/>
                <w:szCs w:val="21"/>
              </w:rPr>
            </w:pPr>
            <w:r w:rsidRPr="009A1C14">
              <w:rPr>
                <w:rFonts w:ascii="黑体" w:eastAsia="黑体" w:hAnsi="黑体" w:cs="黑体" w:hint="eastAsia"/>
                <w:b/>
                <w:bCs/>
                <w:kern w:val="0"/>
                <w:szCs w:val="21"/>
              </w:rPr>
              <w:t>A份额（销售代码：</w:t>
            </w:r>
            <w:r w:rsidRPr="008A39E3" w:rsidR="008A39E3">
              <w:rPr>
                <w:rFonts w:ascii="黑体" w:eastAsia="黑体" w:hAnsi="黑体" w:cs="黑体"/>
                <w:b/>
                <w:bCs/>
                <w:kern w:val="0"/>
                <w:szCs w:val="21"/>
              </w:rPr>
              <w:t>ZGN235S001</w:t>
            </w:r>
            <w:r w:rsidR="008A39E3">
              <w:rPr>
                <w:rFonts w:ascii="黑体" w:eastAsia="黑体" w:hAnsi="黑体" w:cs="黑体"/>
                <w:b/>
                <w:bCs/>
                <w:kern w:val="0"/>
                <w:szCs w:val="21"/>
              </w:rPr>
              <w:t>A</w:t>
            </w:r>
            <w:r w:rsidRPr="009A1C14">
              <w:rPr>
                <w:rFonts w:ascii="黑体" w:eastAsia="黑体" w:hAnsi="黑体" w:cs="黑体" w:hint="eastAsia"/>
                <w:b/>
                <w:bCs/>
                <w:kern w:val="0"/>
                <w:szCs w:val="21"/>
              </w:rPr>
              <w:t>）面向</w:t>
            </w:r>
            <w:r w:rsidRPr="00BB4B13" w:rsidR="008A39E3">
              <w:rPr>
                <w:rFonts w:ascii="黑体" w:eastAsia="黑体" w:hAnsi="黑体" w:cs="黑体" w:hint="eastAsia"/>
                <w:b/>
                <w:kern w:val="0"/>
                <w:szCs w:val="21"/>
              </w:rPr>
              <w:t>宁银理财直销客户</w:t>
            </w:r>
            <w:r w:rsidR="00C949D0">
              <w:rPr>
                <w:rFonts w:ascii="黑体" w:eastAsia="黑体" w:hAnsi="黑体" w:cs="黑体" w:hint="eastAsia"/>
                <w:b/>
                <w:kern w:val="0"/>
                <w:szCs w:val="21"/>
              </w:rPr>
              <w:t>、</w:t>
            </w:r>
            <w:r w:rsidRPr="00433F94" w:rsidR="00433F94">
              <w:rPr>
                <w:rFonts w:ascii="黑体" w:eastAsia="黑体" w:hAnsi="黑体" w:cs="黑体" w:hint="eastAsia"/>
                <w:b/>
                <w:kern w:val="0"/>
                <w:szCs w:val="21"/>
              </w:rPr>
              <w:t>威海银行</w:t>
            </w:r>
            <w:r w:rsidRPr="00C949D0" w:rsidR="00C949D0">
              <w:rPr>
                <w:rFonts w:ascii="黑体" w:eastAsia="黑体" w:hAnsi="黑体" w:cs="黑体" w:hint="eastAsia"/>
                <w:b/>
                <w:kern w:val="0"/>
                <w:szCs w:val="21"/>
              </w:rPr>
              <w:t>渠道客户、绍兴银行渠道客户</w:t>
            </w:r>
            <w:r w:rsidR="00B0323A">
              <w:rPr>
                <w:rFonts w:ascii="黑体" w:eastAsia="黑体" w:hAnsi="黑体" w:cs="黑体" w:hint="eastAsia"/>
                <w:b/>
                <w:kern w:val="0"/>
                <w:szCs w:val="21"/>
              </w:rPr>
              <w:t>、甘肃银行渠道客户</w:t>
            </w:r>
            <w:r w:rsidR="00CA2BF1">
              <w:rPr>
                <w:rFonts w:ascii="黑体" w:eastAsia="黑体" w:hAnsi="黑体" w:cs="黑体" w:hint="eastAsia"/>
                <w:b/>
                <w:kern w:val="0"/>
                <w:szCs w:val="21"/>
              </w:rPr>
              <w:t>、</w:t>
            </w:r>
            <w:r w:rsidR="00F64C3D">
              <w:rPr>
                <w:rFonts w:ascii="黑体" w:eastAsia="黑体" w:hAnsi="黑体" w:cs="黑体" w:hint="eastAsia"/>
                <w:b/>
                <w:kern w:val="0"/>
                <w:szCs w:val="21"/>
              </w:rPr>
              <w:t>广东</w:t>
            </w:r>
            <w:r w:rsidR="00CA2BF1">
              <w:rPr>
                <w:rFonts w:ascii="黑体" w:eastAsia="黑体" w:hAnsi="黑体" w:cs="黑体" w:hint="eastAsia"/>
                <w:b/>
                <w:kern w:val="0"/>
                <w:szCs w:val="21"/>
              </w:rPr>
              <w:t>华兴银行渠道客户</w:t>
            </w:r>
            <w:r w:rsidR="003749B0">
              <w:rPr>
                <w:rFonts w:ascii="黑体" w:eastAsia="黑体" w:hAnsi="黑体" w:cs="黑体" w:hint="eastAsia"/>
                <w:b/>
                <w:kern w:val="0"/>
                <w:szCs w:val="21"/>
              </w:rPr>
              <w:t>、</w:t>
            </w:r>
            <w:r w:rsidRPr="003749B0" w:rsidR="003749B0">
              <w:rPr>
                <w:rFonts w:ascii="黑体" w:eastAsia="黑体" w:hAnsi="黑体" w:cs="黑体" w:hint="eastAsia"/>
                <w:b/>
                <w:kern w:val="0"/>
                <w:szCs w:val="21"/>
              </w:rPr>
              <w:t>上饶银行渠道客户</w:t>
            </w:r>
            <w:r w:rsidR="008A39E3">
              <w:rPr>
                <w:rFonts w:ascii="黑体" w:eastAsia="黑体" w:hAnsi="黑体" w:cs="黑体" w:hint="eastAsia"/>
                <w:b/>
                <w:kern w:val="0"/>
                <w:szCs w:val="21"/>
              </w:rPr>
              <w:t>，</w:t>
            </w:r>
          </w:p>
          <w:p w:rsidR="00066F0A" w:rsidP="00E71C2E" w14:paraId="13DDDC23" w14:textId="77777777">
            <w:pPr>
              <w:autoSpaceDE w:val="0"/>
              <w:autoSpaceDN w:val="0"/>
              <w:adjustRightInd w:val="0"/>
              <w:jc w:val="left"/>
              <w:rPr>
                <w:rFonts w:ascii="黑体" w:eastAsia="黑体" w:hAnsi="黑体" w:cs="黑体" w:hint="eastAsia"/>
                <w:b/>
                <w:bCs/>
                <w:kern w:val="0"/>
                <w:szCs w:val="21"/>
              </w:rPr>
            </w:pPr>
            <w:r>
              <w:rPr>
                <w:rFonts w:ascii="黑体" w:eastAsia="黑体" w:hAnsi="黑体" w:cs="黑体"/>
                <w:b/>
                <w:bCs/>
                <w:kern w:val="0"/>
                <w:szCs w:val="21"/>
              </w:rPr>
              <w:t>B</w:t>
            </w:r>
            <w:r w:rsidRPr="009A1C14">
              <w:rPr>
                <w:rFonts w:ascii="黑体" w:eastAsia="黑体" w:hAnsi="黑体" w:cs="黑体" w:hint="eastAsia"/>
                <w:b/>
                <w:bCs/>
                <w:kern w:val="0"/>
                <w:szCs w:val="21"/>
              </w:rPr>
              <w:t>份额（销售代码：</w:t>
            </w:r>
            <w:r w:rsidRPr="008A39E3">
              <w:rPr>
                <w:rFonts w:ascii="黑体" w:eastAsia="黑体" w:hAnsi="黑体" w:cs="黑体"/>
                <w:b/>
                <w:bCs/>
                <w:kern w:val="0"/>
                <w:szCs w:val="21"/>
              </w:rPr>
              <w:t>ZGN235S001</w:t>
            </w:r>
            <w:r>
              <w:rPr>
                <w:rFonts w:ascii="黑体" w:eastAsia="黑体" w:hAnsi="黑体" w:cs="黑体"/>
                <w:b/>
                <w:bCs/>
                <w:kern w:val="0"/>
                <w:szCs w:val="21"/>
              </w:rPr>
              <w:t>B</w:t>
            </w:r>
            <w:r w:rsidRPr="009A1C14">
              <w:rPr>
                <w:rFonts w:ascii="黑体" w:eastAsia="黑体" w:hAnsi="黑体" w:cs="黑体" w:hint="eastAsia"/>
                <w:b/>
                <w:bCs/>
                <w:kern w:val="0"/>
                <w:szCs w:val="21"/>
              </w:rPr>
              <w:t>）</w:t>
            </w:r>
            <w:r>
              <w:rPr>
                <w:rFonts w:ascii="黑体" w:eastAsia="黑体" w:hAnsi="黑体" w:cs="黑体" w:hint="eastAsia"/>
                <w:b/>
                <w:bCs/>
                <w:kern w:val="0"/>
                <w:szCs w:val="21"/>
              </w:rPr>
              <w:t>面向</w:t>
            </w:r>
            <w:r w:rsidRPr="008A39E3">
              <w:rPr>
                <w:rFonts w:ascii="黑体" w:eastAsia="黑体" w:hAnsi="黑体" w:cs="黑体" w:hint="eastAsia"/>
                <w:b/>
                <w:bCs/>
                <w:kern w:val="0"/>
                <w:szCs w:val="21"/>
              </w:rPr>
              <w:t>九江银行渠道客户</w:t>
            </w:r>
            <w:r>
              <w:rPr>
                <w:rFonts w:ascii="黑体" w:eastAsia="黑体" w:hAnsi="黑体" w:cs="黑体" w:hint="eastAsia"/>
                <w:b/>
                <w:bCs/>
                <w:kern w:val="0"/>
                <w:szCs w:val="21"/>
              </w:rPr>
              <w:t>、</w:t>
            </w:r>
            <w:r w:rsidRPr="008A39E3">
              <w:rPr>
                <w:rFonts w:ascii="黑体" w:eastAsia="黑体" w:hAnsi="黑体" w:cs="黑体" w:hint="eastAsia"/>
                <w:b/>
                <w:bCs/>
                <w:kern w:val="0"/>
                <w:szCs w:val="21"/>
              </w:rPr>
              <w:t>宁波银行机构客户</w:t>
            </w:r>
            <w:r w:rsidR="00743178">
              <w:rPr>
                <w:rFonts w:ascii="黑体" w:eastAsia="黑体" w:hAnsi="黑体" w:cs="黑体" w:hint="eastAsia"/>
                <w:b/>
                <w:bCs/>
                <w:kern w:val="0"/>
                <w:szCs w:val="21"/>
              </w:rPr>
              <w:t>、</w:t>
            </w:r>
            <w:r w:rsidRPr="00743178" w:rsidR="00743178">
              <w:rPr>
                <w:rFonts w:ascii="黑体" w:eastAsia="黑体" w:hAnsi="黑体" w:cs="黑体" w:hint="eastAsia"/>
                <w:b/>
                <w:bCs/>
                <w:kern w:val="0"/>
                <w:szCs w:val="21"/>
              </w:rPr>
              <w:t>兴业银行渠道客户</w:t>
            </w:r>
            <w:r w:rsidR="00250C8A">
              <w:rPr>
                <w:rFonts w:ascii="黑体" w:eastAsia="黑体" w:hAnsi="黑体" w:cs="黑体" w:hint="eastAsia"/>
                <w:b/>
                <w:bCs/>
                <w:kern w:val="0"/>
                <w:szCs w:val="21"/>
              </w:rPr>
              <w:t>、苏州银行机构客户</w:t>
            </w:r>
            <w:r>
              <w:rPr>
                <w:rFonts w:ascii="黑体" w:eastAsia="黑体" w:hAnsi="黑体" w:cs="黑体" w:hint="eastAsia"/>
                <w:b/>
                <w:bCs/>
                <w:kern w:val="0"/>
                <w:szCs w:val="21"/>
              </w:rPr>
              <w:t>，</w:t>
            </w:r>
          </w:p>
          <w:p w:rsidR="00066F0A" w:rsidP="00E71C2E" w14:paraId="3EDA77E1" w14:textId="77777777">
            <w:pPr>
              <w:autoSpaceDE w:val="0"/>
              <w:autoSpaceDN w:val="0"/>
              <w:adjustRightInd w:val="0"/>
              <w:jc w:val="left"/>
              <w:rPr>
                <w:rFonts w:ascii="黑体" w:eastAsia="黑体" w:hAnsi="黑体" w:cs="黑体" w:hint="eastAsia"/>
                <w:b/>
                <w:bCs/>
                <w:kern w:val="0"/>
                <w:szCs w:val="21"/>
              </w:rPr>
            </w:pPr>
            <w:r>
              <w:rPr>
                <w:rFonts w:ascii="黑体" w:eastAsia="黑体" w:hAnsi="黑体" w:cs="黑体" w:hint="eastAsia"/>
                <w:b/>
                <w:bCs/>
                <w:kern w:val="0"/>
                <w:szCs w:val="21"/>
              </w:rPr>
              <w:t>C</w:t>
            </w:r>
            <w:r w:rsidRPr="009A1C14">
              <w:rPr>
                <w:rFonts w:ascii="黑体" w:eastAsia="黑体" w:hAnsi="黑体" w:cs="黑体" w:hint="eastAsia"/>
                <w:b/>
                <w:bCs/>
                <w:kern w:val="0"/>
                <w:szCs w:val="21"/>
              </w:rPr>
              <w:t>份额（销售代码：</w:t>
            </w:r>
            <w:r w:rsidRPr="008A39E3">
              <w:rPr>
                <w:rFonts w:ascii="黑体" w:eastAsia="黑体" w:hAnsi="黑体" w:cs="黑体"/>
                <w:b/>
                <w:bCs/>
                <w:kern w:val="0"/>
                <w:szCs w:val="21"/>
              </w:rPr>
              <w:t>ZGN235S001</w:t>
            </w:r>
            <w:r>
              <w:rPr>
                <w:rFonts w:ascii="黑体" w:eastAsia="黑体" w:hAnsi="黑体" w:cs="黑体"/>
                <w:b/>
                <w:bCs/>
                <w:kern w:val="0"/>
                <w:szCs w:val="21"/>
              </w:rPr>
              <w:t>C</w:t>
            </w:r>
            <w:r w:rsidRPr="009A1C14">
              <w:rPr>
                <w:rFonts w:ascii="黑体" w:eastAsia="黑体" w:hAnsi="黑体" w:cs="黑体" w:hint="eastAsia"/>
                <w:b/>
                <w:bCs/>
                <w:kern w:val="0"/>
                <w:szCs w:val="21"/>
              </w:rPr>
              <w:t>）</w:t>
            </w:r>
            <w:r>
              <w:rPr>
                <w:rFonts w:ascii="黑体" w:eastAsia="黑体" w:hAnsi="黑体" w:cs="黑体" w:hint="eastAsia"/>
                <w:b/>
                <w:bCs/>
                <w:kern w:val="0"/>
                <w:szCs w:val="21"/>
              </w:rPr>
              <w:t>面向</w:t>
            </w:r>
            <w:r w:rsidRPr="00E71C2E" w:rsidR="00E71C2E">
              <w:rPr>
                <w:rFonts w:ascii="黑体" w:eastAsia="黑体" w:hAnsi="黑体" w:cs="黑体" w:hint="eastAsia"/>
                <w:b/>
                <w:bCs/>
                <w:kern w:val="0"/>
                <w:szCs w:val="21"/>
              </w:rPr>
              <w:t>宁银理财直销渠道预约客户</w:t>
            </w:r>
            <w:r w:rsidR="00C949D0">
              <w:rPr>
                <w:rFonts w:ascii="黑体" w:eastAsia="黑体" w:hAnsi="黑体" w:cs="黑体" w:hint="eastAsia"/>
                <w:b/>
                <w:bCs/>
                <w:kern w:val="0"/>
                <w:szCs w:val="21"/>
              </w:rPr>
              <w:t>、</w:t>
            </w:r>
            <w:r w:rsidRPr="00C949D0" w:rsidR="00C949D0">
              <w:rPr>
                <w:rFonts w:ascii="黑体" w:eastAsia="黑体" w:hAnsi="黑体" w:cs="黑体" w:hint="eastAsia"/>
                <w:b/>
                <w:bCs/>
                <w:kern w:val="0"/>
                <w:szCs w:val="21"/>
              </w:rPr>
              <w:t>上海银行渠道客户</w:t>
            </w:r>
            <w:r>
              <w:rPr>
                <w:rFonts w:ascii="黑体" w:eastAsia="黑体" w:hAnsi="黑体" w:cs="黑体" w:hint="eastAsia"/>
                <w:b/>
                <w:bCs/>
                <w:kern w:val="0"/>
                <w:szCs w:val="21"/>
              </w:rPr>
              <w:t>，</w:t>
            </w:r>
          </w:p>
          <w:p w:rsidR="00066F0A" w:rsidP="00E71C2E" w14:paraId="07506963" w14:textId="77777777">
            <w:pPr>
              <w:autoSpaceDE w:val="0"/>
              <w:autoSpaceDN w:val="0"/>
              <w:adjustRightInd w:val="0"/>
              <w:jc w:val="left"/>
              <w:rPr>
                <w:rFonts w:ascii="黑体" w:eastAsia="黑体" w:hAnsi="黑体" w:cs="黑体" w:hint="eastAsia"/>
                <w:b/>
                <w:bCs/>
                <w:kern w:val="0"/>
                <w:szCs w:val="21"/>
              </w:rPr>
            </w:pPr>
            <w:r>
              <w:rPr>
                <w:rFonts w:ascii="黑体" w:eastAsia="黑体" w:hAnsi="黑体" w:cs="黑体"/>
                <w:b/>
                <w:bCs/>
                <w:kern w:val="0"/>
                <w:szCs w:val="21"/>
              </w:rPr>
              <w:t>D</w:t>
            </w:r>
            <w:r w:rsidRPr="009A1C14">
              <w:rPr>
                <w:rFonts w:ascii="黑体" w:eastAsia="黑体" w:hAnsi="黑体" w:cs="黑体" w:hint="eastAsia"/>
                <w:b/>
                <w:bCs/>
                <w:kern w:val="0"/>
                <w:szCs w:val="21"/>
              </w:rPr>
              <w:t>份额（销售代码：</w:t>
            </w:r>
            <w:r w:rsidRPr="008A39E3">
              <w:rPr>
                <w:rFonts w:ascii="黑体" w:eastAsia="黑体" w:hAnsi="黑体" w:cs="黑体"/>
                <w:b/>
                <w:bCs/>
                <w:kern w:val="0"/>
                <w:szCs w:val="21"/>
              </w:rPr>
              <w:t>ZGN235S001</w:t>
            </w:r>
            <w:r>
              <w:rPr>
                <w:rFonts w:ascii="黑体" w:eastAsia="黑体" w:hAnsi="黑体" w:cs="黑体"/>
                <w:b/>
                <w:bCs/>
                <w:kern w:val="0"/>
                <w:szCs w:val="21"/>
              </w:rPr>
              <w:t>D</w:t>
            </w:r>
            <w:r w:rsidRPr="009A1C14">
              <w:rPr>
                <w:rFonts w:ascii="黑体" w:eastAsia="黑体" w:hAnsi="黑体" w:cs="黑体" w:hint="eastAsia"/>
                <w:b/>
                <w:bCs/>
                <w:kern w:val="0"/>
                <w:szCs w:val="21"/>
              </w:rPr>
              <w:t>）</w:t>
            </w:r>
            <w:r>
              <w:rPr>
                <w:rFonts w:ascii="黑体" w:eastAsia="黑体" w:hAnsi="黑体" w:cs="黑体" w:hint="eastAsia"/>
                <w:b/>
                <w:bCs/>
                <w:kern w:val="0"/>
                <w:szCs w:val="21"/>
              </w:rPr>
              <w:t>面向</w:t>
            </w:r>
            <w:r w:rsidRPr="00743178" w:rsidR="00743178">
              <w:rPr>
                <w:rFonts w:ascii="黑体" w:eastAsia="黑体" w:hAnsi="黑体" w:cs="黑体" w:hint="eastAsia"/>
                <w:b/>
                <w:bCs/>
                <w:kern w:val="0"/>
                <w:szCs w:val="21"/>
              </w:rPr>
              <w:t>交通银行渠道客户</w:t>
            </w:r>
            <w:r w:rsidR="00C10469">
              <w:rPr>
                <w:rFonts w:ascii="黑体" w:eastAsia="黑体" w:hAnsi="黑体" w:cs="黑体" w:hint="eastAsia"/>
                <w:b/>
                <w:bCs/>
                <w:kern w:val="0"/>
                <w:szCs w:val="21"/>
              </w:rPr>
              <w:t>、</w:t>
            </w:r>
            <w:r w:rsidRPr="00C10469" w:rsidR="00C10469">
              <w:rPr>
                <w:rFonts w:ascii="黑体" w:eastAsia="黑体" w:hAnsi="黑体" w:cs="黑体" w:hint="eastAsia"/>
                <w:b/>
                <w:bCs/>
                <w:kern w:val="0"/>
                <w:szCs w:val="21"/>
              </w:rPr>
              <w:t>莱</w:t>
            </w:r>
            <w:r w:rsidRPr="00C10469" w:rsidR="00C10469">
              <w:rPr>
                <w:rFonts w:ascii="黑体" w:eastAsia="黑体" w:hAnsi="黑体" w:cs="黑体" w:hint="eastAsia"/>
                <w:b/>
                <w:bCs/>
                <w:kern w:val="0"/>
                <w:szCs w:val="21"/>
              </w:rPr>
              <w:t>商银行渠道客户</w:t>
            </w:r>
            <w:r>
              <w:rPr>
                <w:rFonts w:ascii="黑体" w:eastAsia="黑体" w:hAnsi="黑体" w:cs="黑体" w:hint="eastAsia"/>
                <w:b/>
                <w:bCs/>
                <w:kern w:val="0"/>
                <w:szCs w:val="21"/>
              </w:rPr>
              <w:t>，</w:t>
            </w:r>
          </w:p>
          <w:p w:rsidR="00066F0A" w:rsidP="00E71C2E" w14:paraId="451B2399" w14:textId="57B8B1FC">
            <w:pPr>
              <w:autoSpaceDE w:val="0"/>
              <w:autoSpaceDN w:val="0"/>
              <w:adjustRightInd w:val="0"/>
              <w:jc w:val="left"/>
              <w:rPr>
                <w:rFonts w:ascii="黑体" w:eastAsia="黑体" w:hAnsi="黑体" w:cs="黑体" w:hint="eastAsia"/>
                <w:b/>
                <w:bCs/>
                <w:kern w:val="0"/>
                <w:szCs w:val="21"/>
              </w:rPr>
            </w:pPr>
            <w:r>
              <w:rPr>
                <w:rFonts w:ascii="黑体" w:eastAsia="黑体" w:hAnsi="黑体" w:cs="黑体"/>
                <w:b/>
                <w:bCs/>
                <w:kern w:val="0"/>
                <w:szCs w:val="21"/>
              </w:rPr>
              <w:t>E</w:t>
            </w:r>
            <w:r w:rsidRPr="009A1C14">
              <w:rPr>
                <w:rFonts w:ascii="黑体" w:eastAsia="黑体" w:hAnsi="黑体" w:cs="黑体" w:hint="eastAsia"/>
                <w:b/>
                <w:bCs/>
                <w:kern w:val="0"/>
                <w:szCs w:val="21"/>
              </w:rPr>
              <w:t>份额（销售代码：</w:t>
            </w:r>
            <w:r w:rsidRPr="008A39E3">
              <w:rPr>
                <w:rFonts w:ascii="黑体" w:eastAsia="黑体" w:hAnsi="黑体" w:cs="黑体"/>
                <w:b/>
                <w:bCs/>
                <w:kern w:val="0"/>
                <w:szCs w:val="21"/>
              </w:rPr>
              <w:t>ZGN235S001</w:t>
            </w:r>
            <w:r>
              <w:rPr>
                <w:rFonts w:ascii="黑体" w:eastAsia="黑体" w:hAnsi="黑体" w:cs="黑体"/>
                <w:b/>
                <w:bCs/>
                <w:kern w:val="0"/>
                <w:szCs w:val="21"/>
              </w:rPr>
              <w:t>E</w:t>
            </w:r>
            <w:r w:rsidRPr="009A1C14">
              <w:rPr>
                <w:rFonts w:ascii="黑体" w:eastAsia="黑体" w:hAnsi="黑体" w:cs="黑体" w:hint="eastAsia"/>
                <w:b/>
                <w:bCs/>
                <w:kern w:val="0"/>
                <w:szCs w:val="21"/>
              </w:rPr>
              <w:t>）</w:t>
            </w:r>
            <w:r>
              <w:rPr>
                <w:rFonts w:ascii="黑体" w:eastAsia="黑体" w:hAnsi="黑体" w:cs="黑体" w:hint="eastAsia"/>
                <w:b/>
                <w:bCs/>
                <w:kern w:val="0"/>
                <w:szCs w:val="21"/>
              </w:rPr>
              <w:t>面向</w:t>
            </w:r>
            <w:r w:rsidRPr="00E71C2E" w:rsidR="00E71C2E">
              <w:rPr>
                <w:rFonts w:ascii="黑体" w:eastAsia="黑体" w:hAnsi="黑体" w:cs="黑体" w:hint="eastAsia"/>
                <w:b/>
                <w:bCs/>
                <w:kern w:val="0"/>
                <w:szCs w:val="21"/>
              </w:rPr>
              <w:t>宁波银行</w:t>
            </w:r>
            <w:r w:rsidR="00DF3CA0">
              <w:rPr>
                <w:rFonts w:ascii="黑体" w:eastAsia="黑体" w:hAnsi="黑体" w:cs="黑体" w:hint="eastAsia"/>
                <w:b/>
                <w:bCs/>
                <w:kern w:val="0"/>
                <w:szCs w:val="21"/>
              </w:rPr>
              <w:t>个人</w:t>
            </w:r>
            <w:r w:rsidRPr="00E71C2E" w:rsidR="00E71C2E">
              <w:rPr>
                <w:rFonts w:ascii="黑体" w:eastAsia="黑体" w:hAnsi="黑体" w:cs="黑体" w:hint="eastAsia"/>
                <w:b/>
                <w:bCs/>
                <w:kern w:val="0"/>
                <w:szCs w:val="21"/>
              </w:rPr>
              <w:t>客户</w:t>
            </w:r>
            <w:r>
              <w:rPr>
                <w:rFonts w:ascii="黑体" w:eastAsia="黑体" w:hAnsi="黑体" w:cs="黑体" w:hint="eastAsia"/>
                <w:b/>
                <w:bCs/>
                <w:kern w:val="0"/>
                <w:szCs w:val="21"/>
              </w:rPr>
              <w:t>、</w:t>
            </w:r>
            <w:r w:rsidR="00523BFA">
              <w:rPr>
                <w:rFonts w:ascii="黑体" w:eastAsia="黑体" w:hAnsi="黑体" w:cs="黑体" w:hint="eastAsia"/>
                <w:b/>
                <w:bCs/>
                <w:kern w:val="0"/>
                <w:szCs w:val="21"/>
              </w:rPr>
              <w:t>部分非宁波银行渠道客户</w:t>
            </w:r>
            <w:r>
              <w:rPr>
                <w:rFonts w:ascii="黑体" w:eastAsia="黑体" w:hAnsi="黑体" w:cs="黑体" w:hint="eastAsia"/>
                <w:b/>
                <w:bCs/>
                <w:kern w:val="0"/>
                <w:szCs w:val="21"/>
              </w:rPr>
              <w:t>，</w:t>
            </w:r>
          </w:p>
          <w:p w:rsidR="000B7949" w:rsidP="00E71C2E" w14:paraId="1204C7D4" w14:textId="77777777">
            <w:pPr>
              <w:autoSpaceDE w:val="0"/>
              <w:autoSpaceDN w:val="0"/>
              <w:adjustRightInd w:val="0"/>
              <w:jc w:val="left"/>
              <w:rPr>
                <w:rFonts w:ascii="黑体" w:eastAsia="黑体" w:hAnsi="黑体" w:cs="黑体" w:hint="eastAsia"/>
                <w:b/>
                <w:bCs/>
                <w:kern w:val="0"/>
                <w:szCs w:val="21"/>
              </w:rPr>
            </w:pPr>
            <w:r>
              <w:rPr>
                <w:rFonts w:ascii="黑体" w:eastAsia="黑体" w:hAnsi="黑体" w:cs="黑体"/>
                <w:b/>
                <w:bCs/>
                <w:kern w:val="0"/>
                <w:szCs w:val="21"/>
              </w:rPr>
              <w:t>F</w:t>
            </w:r>
            <w:r w:rsidRPr="009A1C14">
              <w:rPr>
                <w:rFonts w:ascii="黑体" w:eastAsia="黑体" w:hAnsi="黑体" w:cs="黑体" w:hint="eastAsia"/>
                <w:b/>
                <w:bCs/>
                <w:kern w:val="0"/>
                <w:szCs w:val="21"/>
              </w:rPr>
              <w:t>份额（销售代码：</w:t>
            </w:r>
            <w:r w:rsidRPr="008A39E3">
              <w:rPr>
                <w:rFonts w:ascii="黑体" w:eastAsia="黑体" w:hAnsi="黑体" w:cs="黑体"/>
                <w:b/>
                <w:bCs/>
                <w:kern w:val="0"/>
                <w:szCs w:val="21"/>
              </w:rPr>
              <w:t>ZGN235S001</w:t>
            </w:r>
            <w:r>
              <w:rPr>
                <w:rFonts w:ascii="黑体" w:eastAsia="黑体" w:hAnsi="黑体" w:cs="黑体"/>
                <w:b/>
                <w:bCs/>
                <w:kern w:val="0"/>
                <w:szCs w:val="21"/>
              </w:rPr>
              <w:t>F</w:t>
            </w:r>
            <w:r w:rsidRPr="009A1C14">
              <w:rPr>
                <w:rFonts w:ascii="黑体" w:eastAsia="黑体" w:hAnsi="黑体" w:cs="黑体" w:hint="eastAsia"/>
                <w:b/>
                <w:bCs/>
                <w:kern w:val="0"/>
                <w:szCs w:val="21"/>
              </w:rPr>
              <w:t>）</w:t>
            </w:r>
            <w:r>
              <w:rPr>
                <w:rFonts w:ascii="黑体" w:eastAsia="黑体" w:hAnsi="黑体" w:cs="黑体" w:hint="eastAsia"/>
                <w:b/>
                <w:bCs/>
                <w:kern w:val="0"/>
                <w:szCs w:val="21"/>
              </w:rPr>
              <w:t>面向</w:t>
            </w:r>
            <w:r w:rsidRPr="00E71C2E" w:rsidR="00E71C2E">
              <w:rPr>
                <w:rFonts w:ascii="黑体" w:eastAsia="黑体" w:hAnsi="黑体" w:cs="黑体" w:hint="eastAsia"/>
                <w:b/>
                <w:bCs/>
                <w:kern w:val="0"/>
                <w:szCs w:val="21"/>
              </w:rPr>
              <w:t>苏州银行渠道客户</w:t>
            </w:r>
            <w:bookmarkEnd w:id="0"/>
            <w:r>
              <w:rPr>
                <w:rFonts w:ascii="黑体" w:eastAsia="黑体" w:hAnsi="黑体" w:cs="黑体" w:hint="eastAsia"/>
                <w:b/>
                <w:bCs/>
                <w:kern w:val="0"/>
                <w:szCs w:val="21"/>
              </w:rPr>
              <w:t>，</w:t>
            </w:r>
          </w:p>
          <w:p w:rsidR="000B7949" w:rsidP="00E71C2E" w14:paraId="39540142" w14:textId="474D0809">
            <w:pPr>
              <w:autoSpaceDE w:val="0"/>
              <w:autoSpaceDN w:val="0"/>
              <w:adjustRightInd w:val="0"/>
              <w:jc w:val="left"/>
              <w:rPr>
                <w:rFonts w:ascii="黑体" w:eastAsia="黑体" w:hAnsi="黑体" w:cs="黑体" w:hint="eastAsia"/>
                <w:b/>
                <w:bCs/>
                <w:kern w:val="0"/>
                <w:szCs w:val="21"/>
              </w:rPr>
            </w:pPr>
            <w:r>
              <w:rPr>
                <w:rFonts w:ascii="黑体" w:eastAsia="黑体" w:hAnsi="黑体" w:cs="黑体" w:hint="eastAsia"/>
                <w:b/>
                <w:bCs/>
                <w:kern w:val="0"/>
                <w:szCs w:val="21"/>
              </w:rPr>
              <w:t>G份额（销售代码：ZGN235S001G）面向宁波银行</w:t>
            </w:r>
            <w:r w:rsidR="00DF3CA0">
              <w:rPr>
                <w:rFonts w:ascii="黑体" w:eastAsia="黑体" w:hAnsi="黑体" w:cs="黑体" w:hint="eastAsia"/>
                <w:b/>
                <w:bCs/>
                <w:kern w:val="0"/>
                <w:szCs w:val="21"/>
              </w:rPr>
              <w:t>渠道</w:t>
            </w:r>
            <w:r>
              <w:rPr>
                <w:rFonts w:ascii="黑体" w:eastAsia="黑体" w:hAnsi="黑体" w:cs="黑体" w:hint="eastAsia"/>
                <w:b/>
                <w:bCs/>
                <w:kern w:val="0"/>
                <w:szCs w:val="21"/>
              </w:rPr>
              <w:t>客户，</w:t>
            </w:r>
          </w:p>
          <w:p w:rsidR="000B7949" w:rsidP="00E71C2E" w14:paraId="21CD63EA" w14:textId="7EC6B8DB">
            <w:pPr>
              <w:autoSpaceDE w:val="0"/>
              <w:autoSpaceDN w:val="0"/>
              <w:adjustRightInd w:val="0"/>
              <w:jc w:val="left"/>
              <w:rPr>
                <w:rFonts w:ascii="黑体" w:eastAsia="黑体" w:hAnsi="黑体" w:cs="黑体" w:hint="eastAsia"/>
                <w:b/>
                <w:bCs/>
                <w:kern w:val="0"/>
                <w:szCs w:val="21"/>
              </w:rPr>
            </w:pPr>
            <w:r>
              <w:rPr>
                <w:rFonts w:ascii="黑体" w:eastAsia="黑体" w:hAnsi="黑体" w:cs="黑体" w:hint="eastAsia"/>
                <w:b/>
                <w:bCs/>
                <w:kern w:val="0"/>
                <w:szCs w:val="21"/>
              </w:rPr>
              <w:t>P份额</w:t>
            </w:r>
            <w:r w:rsidR="008D0429">
              <w:rPr>
                <w:rFonts w:ascii="黑体" w:eastAsia="黑体" w:hAnsi="黑体" w:cs="黑体" w:hint="eastAsia"/>
                <w:b/>
                <w:bCs/>
                <w:kern w:val="0"/>
                <w:szCs w:val="21"/>
              </w:rPr>
              <w:t>（销售代码：ZGN235S001P）面向</w:t>
            </w:r>
            <w:r w:rsidR="00DA0744">
              <w:rPr>
                <w:rFonts w:ascii="黑体" w:eastAsia="黑体" w:hAnsi="黑体" w:cs="黑体" w:hint="eastAsia"/>
                <w:b/>
                <w:bCs/>
                <w:kern w:val="0"/>
                <w:szCs w:val="21"/>
              </w:rPr>
              <w:t>部分</w:t>
            </w:r>
            <w:r w:rsidRPr="008D0429" w:rsidR="008D0429">
              <w:rPr>
                <w:rFonts w:ascii="黑体" w:eastAsia="黑体" w:hAnsi="黑体" w:cs="黑体" w:hint="eastAsia"/>
                <w:b/>
                <w:bCs/>
                <w:kern w:val="0"/>
                <w:szCs w:val="21"/>
              </w:rPr>
              <w:t>非宁波银行渠道客户</w:t>
            </w:r>
            <w:r w:rsidR="008D0429">
              <w:rPr>
                <w:rFonts w:ascii="黑体" w:eastAsia="黑体" w:hAnsi="黑体" w:cs="黑体" w:hint="eastAsia"/>
                <w:b/>
                <w:bCs/>
                <w:kern w:val="0"/>
                <w:szCs w:val="21"/>
              </w:rPr>
              <w:t>，</w:t>
            </w:r>
          </w:p>
          <w:p w:rsidR="008B06BF" w:rsidRPr="009A1C14" w:rsidP="00E71C2E" w14:paraId="3482F19B" w14:textId="68D7CBC9">
            <w:pPr>
              <w:autoSpaceDE w:val="0"/>
              <w:autoSpaceDN w:val="0"/>
              <w:adjustRightInd w:val="0"/>
              <w:jc w:val="left"/>
              <w:rPr>
                <w:rFonts w:ascii="黑体" w:eastAsia="黑体" w:hAnsi="黑体" w:cs="黑体" w:hint="eastAsia"/>
                <w:b/>
                <w:bCs/>
                <w:kern w:val="0"/>
                <w:szCs w:val="21"/>
              </w:rPr>
            </w:pPr>
            <w:r>
              <w:rPr>
                <w:rFonts w:ascii="黑体" w:eastAsia="黑体" w:hAnsi="黑体" w:cs="黑体" w:hint="eastAsia"/>
                <w:b/>
                <w:bCs/>
                <w:kern w:val="0"/>
                <w:szCs w:val="21"/>
              </w:rPr>
              <w:t>H份额</w:t>
            </w:r>
            <w:r w:rsidR="008D0429">
              <w:rPr>
                <w:rFonts w:ascii="黑体" w:eastAsia="黑体" w:hAnsi="黑体" w:cs="黑体" w:hint="eastAsia"/>
                <w:b/>
                <w:bCs/>
                <w:kern w:val="0"/>
                <w:szCs w:val="21"/>
              </w:rPr>
              <w:t>（销售代码：</w:t>
            </w:r>
            <w:r w:rsidR="00DA0744">
              <w:rPr>
                <w:rFonts w:ascii="黑体" w:eastAsia="黑体" w:hAnsi="黑体" w:cs="黑体" w:hint="eastAsia"/>
                <w:b/>
                <w:bCs/>
                <w:kern w:val="0"/>
                <w:szCs w:val="21"/>
              </w:rPr>
              <w:t>ZGN235S001H</w:t>
            </w:r>
            <w:r w:rsidR="008D0429">
              <w:rPr>
                <w:rFonts w:ascii="黑体" w:eastAsia="黑体" w:hAnsi="黑体" w:cs="黑体" w:hint="eastAsia"/>
                <w:b/>
                <w:bCs/>
                <w:kern w:val="0"/>
                <w:szCs w:val="21"/>
              </w:rPr>
              <w:t>）</w:t>
            </w:r>
            <w:r w:rsidR="00DA0744">
              <w:rPr>
                <w:rFonts w:ascii="黑体" w:eastAsia="黑体" w:hAnsi="黑体" w:cs="黑体" w:hint="eastAsia"/>
                <w:b/>
                <w:bCs/>
                <w:kern w:val="0"/>
                <w:szCs w:val="21"/>
              </w:rPr>
              <w:t>面向</w:t>
            </w:r>
            <w:r w:rsidRPr="00DA0744" w:rsidR="00DA0744">
              <w:rPr>
                <w:rFonts w:ascii="黑体" w:eastAsia="黑体" w:hAnsi="黑体" w:cs="黑体" w:hint="eastAsia"/>
                <w:b/>
                <w:bCs/>
                <w:kern w:val="0"/>
                <w:szCs w:val="21"/>
              </w:rPr>
              <w:t>部分非宁波银行渠道客户</w:t>
            </w:r>
            <w:r w:rsidRPr="009A1C14">
              <w:rPr>
                <w:rFonts w:ascii="黑体" w:eastAsia="黑体" w:hAnsi="黑体" w:cs="黑体" w:hint="eastAsia"/>
                <w:b/>
                <w:bCs/>
                <w:kern w:val="0"/>
                <w:szCs w:val="21"/>
              </w:rPr>
              <w:t>。</w:t>
            </w:r>
          </w:p>
          <w:p w:rsidR="00F57BEF" w:rsidRPr="00CA561C" w:rsidP="008B06BF" w14:paraId="34717B54" w14:textId="0919F0D7">
            <w:pPr>
              <w:autoSpaceDE w:val="0"/>
              <w:autoSpaceDN w:val="0"/>
              <w:adjustRightInd w:val="0"/>
              <w:jc w:val="left"/>
              <w:rPr>
                <w:rFonts w:ascii="黑体" w:hAnsi="黑体" w:hint="eastAsia"/>
                <w:b/>
                <w:kern w:val="0"/>
              </w:rPr>
            </w:pPr>
            <w:r w:rsidRPr="00B46892">
              <w:rPr>
                <w:rFonts w:ascii="黑体" w:eastAsia="黑体" w:hAnsi="黑体" w:cs="黑体" w:hint="eastAsia"/>
                <w:b/>
                <w:kern w:val="0"/>
                <w:szCs w:val="21"/>
              </w:rPr>
              <w:t>（具体以销售机构的规则为准）</w:t>
            </w:r>
          </w:p>
        </w:tc>
      </w:tr>
      <w:tr w14:paraId="09B74E8A" w14:textId="77777777">
        <w:tblPrEx>
          <w:tblW w:w="8443" w:type="dxa"/>
          <w:tblInd w:w="-147" w:type="dxa"/>
          <w:tblLayout w:type="fixed"/>
          <w:tblLook w:val="04A0"/>
        </w:tblPrEx>
        <w:tc>
          <w:tcPr>
            <w:tcW w:w="1985" w:type="dxa"/>
            <w:vAlign w:val="center"/>
          </w:tcPr>
          <w:p w:rsidR="00F57BEF" w:rsidRPr="00B46892" w14:paraId="6F96A921"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本金</w:t>
            </w:r>
            <w:r w:rsidRPr="00B46892">
              <w:rPr>
                <w:rFonts w:ascii="黑体" w:eastAsia="黑体" w:hAnsi="黑体" w:cs="黑体"/>
                <w:kern w:val="0"/>
                <w:szCs w:val="21"/>
              </w:rPr>
              <w:t>及收益币种</w:t>
            </w:r>
          </w:p>
        </w:tc>
        <w:tc>
          <w:tcPr>
            <w:tcW w:w="6458" w:type="dxa"/>
          </w:tcPr>
          <w:p w:rsidR="00F57BEF" w:rsidRPr="00C542B4" w14:paraId="01E35818" w14:textId="15B9EE92">
            <w:pPr>
              <w:autoSpaceDE w:val="0"/>
              <w:autoSpaceDN w:val="0"/>
              <w:adjustRightInd w:val="0"/>
              <w:jc w:val="left"/>
              <w:rPr>
                <w:rFonts w:ascii="黑体" w:eastAsia="黑体" w:hAnsi="黑体" w:cs="黑体" w:hint="eastAsia"/>
                <w:b/>
                <w:bCs/>
                <w:kern w:val="0"/>
                <w:szCs w:val="21"/>
              </w:rPr>
            </w:pPr>
            <w:r w:rsidRPr="00C542B4">
              <w:rPr>
                <w:rFonts w:ascii="黑体" w:eastAsia="黑体" w:hAnsi="黑体" w:cs="黑体" w:hint="eastAsia"/>
                <w:b/>
                <w:bCs/>
                <w:kern w:val="0"/>
                <w:szCs w:val="21"/>
              </w:rPr>
              <w:t>人民币</w:t>
            </w:r>
          </w:p>
        </w:tc>
      </w:tr>
      <w:tr w14:paraId="461C73BA" w14:textId="77777777">
        <w:tblPrEx>
          <w:tblW w:w="8443" w:type="dxa"/>
          <w:tblInd w:w="-147" w:type="dxa"/>
          <w:tblLayout w:type="fixed"/>
          <w:tblLook w:val="04A0"/>
        </w:tblPrEx>
        <w:tc>
          <w:tcPr>
            <w:tcW w:w="1985" w:type="dxa"/>
            <w:vAlign w:val="center"/>
          </w:tcPr>
          <w:p w:rsidR="00F57BEF" w:rsidRPr="00B46892" w14:paraId="584CB1FD"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业绩</w:t>
            </w:r>
            <w:r w:rsidRPr="00B46892">
              <w:rPr>
                <w:rFonts w:ascii="黑体" w:eastAsia="黑体" w:hAnsi="黑体" w:cs="黑体"/>
                <w:kern w:val="0"/>
                <w:szCs w:val="21"/>
              </w:rPr>
              <w:t>比较基准</w:t>
            </w:r>
          </w:p>
        </w:tc>
        <w:tc>
          <w:tcPr>
            <w:tcW w:w="6458" w:type="dxa"/>
          </w:tcPr>
          <w:p w:rsidR="00D71E30" w:rsidRPr="00B46892" w:rsidP="00D71E30" w14:paraId="72B551F1" w14:textId="5B1C4C8B">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__</w:t>
            </w:r>
            <w:r w:rsidRPr="00B46892" w:rsidR="00420528">
              <w:rPr>
                <w:rFonts w:ascii="黑体" w:eastAsia="黑体" w:hAnsi="黑体" w:cs="黑体" w:hint="eastAsia"/>
                <w:b/>
                <w:kern w:val="0"/>
                <w:szCs w:val="21"/>
                <w:u w:val="single"/>
              </w:rPr>
              <w:t>/</w:t>
            </w:r>
            <w:r w:rsidRPr="00B46892">
              <w:rPr>
                <w:rFonts w:ascii="黑体" w:eastAsia="黑体" w:hAnsi="黑体" w:cs="黑体" w:hint="eastAsia"/>
                <w:b/>
                <w:kern w:val="0"/>
                <w:szCs w:val="21"/>
              </w:rPr>
              <w:t>__，业绩比较基准不是预期收益率，不代表产品的未来表现和实际收益，不构成对产品本金的保证和收益的承诺，仅供投资者参考。</w:t>
            </w:r>
          </w:p>
          <w:p w:rsidR="00D71E30" w:rsidRPr="00B46892" w:rsidP="00D71E30" w14:paraId="31158356" w14:textId="37C441ED">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业绩比较基准测算依据：__</w:t>
            </w:r>
            <w:r w:rsidRPr="00B46892" w:rsidR="00420528">
              <w:rPr>
                <w:rFonts w:ascii="黑体" w:eastAsia="黑体" w:hAnsi="黑体" w:cs="黑体" w:hint="eastAsia"/>
                <w:b/>
                <w:kern w:val="0"/>
                <w:szCs w:val="21"/>
                <w:u w:val="single"/>
              </w:rPr>
              <w:t>/</w:t>
            </w:r>
            <w:r w:rsidRPr="00B46892">
              <w:rPr>
                <w:rFonts w:ascii="黑体" w:eastAsia="黑体" w:hAnsi="黑体" w:cs="黑体" w:hint="eastAsia"/>
                <w:b/>
                <w:kern w:val="0"/>
                <w:szCs w:val="21"/>
              </w:rPr>
              <w:t>__。</w:t>
            </w:r>
          </w:p>
          <w:p w:rsidR="00D71E30" w:rsidRPr="00B46892" w:rsidP="00D71E30" w14:paraId="215C4C97" w14:textId="77777777">
            <w:pPr>
              <w:autoSpaceDE w:val="0"/>
              <w:autoSpaceDN w:val="0"/>
              <w:adjustRightInd w:val="0"/>
              <w:jc w:val="left"/>
              <w:rPr>
                <w:rFonts w:ascii="黑体" w:eastAsia="黑体" w:hAnsi="黑体" w:cs="黑体" w:hint="eastAsia"/>
                <w:b/>
                <w:kern w:val="0"/>
                <w:szCs w:val="21"/>
              </w:rPr>
            </w:pPr>
          </w:p>
          <w:p w:rsidR="00D71E30" w:rsidRPr="00B46892" w:rsidP="00D71E30" w14:paraId="6CF3083B" w14:textId="6A2C8DD5">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本产品将采取灵活的资产配置策略和积极主动的投资管理措施，</w:t>
            </w:r>
            <w:r w:rsidRPr="00B46892" w:rsidR="00420528">
              <w:rPr>
                <w:rFonts w:ascii="黑体" w:eastAsia="黑体" w:hAnsi="黑体" w:cs="黑体" w:hint="eastAsia"/>
                <w:b/>
                <w:kern w:val="0"/>
                <w:szCs w:val="21"/>
              </w:rPr>
              <w:t>并适时运用骑乘策略、杠杆策略和票息策略等投资策略，对投资组合进行收益增厚</w:t>
            </w:r>
            <w:r w:rsidRPr="00B46892">
              <w:rPr>
                <w:rFonts w:ascii="黑体" w:eastAsia="黑体" w:hAnsi="黑体" w:cs="黑体" w:hint="eastAsia"/>
                <w:b/>
                <w:kern w:val="0"/>
                <w:szCs w:val="21"/>
              </w:rPr>
              <w:t>，在严格控制风险的基础上，力争为投资者提供持续稳健的投资回报。</w:t>
            </w:r>
          </w:p>
          <w:p w:rsidR="00D71E30" w:rsidRPr="00B46892" w:rsidP="00D71E30" w14:paraId="428FB54C"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业绩比较基准可用于确定产品管理人是否收取超额业绩报酬，投资者所能获得的最终收益以管理人实际支付为准，业绩比较基准不作为产品管理人向投资者支付本产品本金或收益的承诺。</w:t>
            </w:r>
          </w:p>
          <w:p w:rsidR="00F57BEF" w:rsidRPr="00B46892" w:rsidP="00BD6F2A" w14:paraId="7FF71CE5" w14:textId="4A4A1884">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本产品为净值型产品，业绩表现将随市场情况波动，具有不确定性。当监管政策、市场环境、产品性质等因素发生变化，导致理财产品的业绩比较基准需要调整时，产品管理人将至少于调整日之前</w:t>
            </w:r>
            <w:r w:rsidRPr="00B46892" w:rsidR="00BD6F2A">
              <w:rPr>
                <w:rFonts w:ascii="黑体" w:eastAsia="黑体" w:hAnsi="黑体" w:cs="黑体" w:hint="eastAsia"/>
                <w:kern w:val="0"/>
                <w:szCs w:val="21"/>
              </w:rPr>
              <w:t>3个</w:t>
            </w:r>
            <w:r w:rsidRPr="00B46892">
              <w:rPr>
                <w:rFonts w:ascii="黑体" w:eastAsia="黑体" w:hAnsi="黑体" w:cs="黑体" w:hint="eastAsia"/>
                <w:kern w:val="0"/>
                <w:szCs w:val="21"/>
              </w:rPr>
              <w:t>工作日通过机构官方渠道、行业统一信息披露渠道或与投资者约定的其他渠道公布调整情况和调整原因。</w:t>
            </w:r>
          </w:p>
        </w:tc>
      </w:tr>
      <w:tr w14:paraId="5AB66AF5" w14:textId="77777777">
        <w:tblPrEx>
          <w:tblW w:w="8443" w:type="dxa"/>
          <w:tblInd w:w="-147" w:type="dxa"/>
          <w:tblLayout w:type="fixed"/>
          <w:tblLook w:val="04A0"/>
        </w:tblPrEx>
        <w:tc>
          <w:tcPr>
            <w:tcW w:w="1985" w:type="dxa"/>
            <w:vAlign w:val="center"/>
          </w:tcPr>
          <w:p w:rsidR="00F57BEF" w:rsidRPr="00B46892" w14:paraId="4C908E32"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募集期</w:t>
            </w:r>
          </w:p>
        </w:tc>
        <w:tc>
          <w:tcPr>
            <w:tcW w:w="6458" w:type="dxa"/>
          </w:tcPr>
          <w:p w:rsidR="00F57BEF" w:rsidRPr="00B46892" w14:paraId="60ABF605" w14:textId="7BA1B93E">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b/>
                <w:kern w:val="0"/>
                <w:szCs w:val="21"/>
              </w:rPr>
              <w:t>2023</w:t>
            </w:r>
            <w:r w:rsidRPr="00B46892">
              <w:rPr>
                <w:rFonts w:ascii="黑体" w:eastAsia="黑体" w:hAnsi="黑体" w:cs="黑体" w:hint="eastAsia"/>
                <w:b/>
                <w:kern w:val="0"/>
                <w:szCs w:val="21"/>
              </w:rPr>
              <w:t>年1</w:t>
            </w:r>
            <w:r w:rsidRPr="00B46892">
              <w:rPr>
                <w:rFonts w:ascii="黑体" w:eastAsia="黑体" w:hAnsi="黑体" w:cs="黑体"/>
                <w:b/>
                <w:kern w:val="0"/>
                <w:szCs w:val="21"/>
              </w:rPr>
              <w:t>1</w:t>
            </w:r>
            <w:r w:rsidRPr="00B46892">
              <w:rPr>
                <w:rFonts w:ascii="黑体" w:eastAsia="黑体" w:hAnsi="黑体" w:cs="黑体" w:hint="eastAsia"/>
                <w:b/>
                <w:kern w:val="0"/>
                <w:szCs w:val="21"/>
              </w:rPr>
              <w:t>月2</w:t>
            </w:r>
            <w:r w:rsidR="001417C3">
              <w:rPr>
                <w:rFonts w:ascii="黑体" w:eastAsia="黑体" w:hAnsi="黑体" w:cs="黑体"/>
                <w:b/>
                <w:kern w:val="0"/>
                <w:szCs w:val="21"/>
              </w:rPr>
              <w:t>2</w:t>
            </w:r>
            <w:r w:rsidRPr="00B46892">
              <w:rPr>
                <w:rFonts w:ascii="黑体" w:eastAsia="黑体" w:hAnsi="黑体" w:cs="黑体" w:hint="eastAsia"/>
                <w:b/>
                <w:kern w:val="0"/>
                <w:szCs w:val="21"/>
              </w:rPr>
              <w:t>日至2</w:t>
            </w:r>
            <w:r w:rsidRPr="00B46892">
              <w:rPr>
                <w:rFonts w:ascii="黑体" w:eastAsia="黑体" w:hAnsi="黑体" w:cs="黑体"/>
                <w:b/>
                <w:kern w:val="0"/>
                <w:szCs w:val="21"/>
              </w:rPr>
              <w:t>023</w:t>
            </w:r>
            <w:r w:rsidRPr="00B46892">
              <w:rPr>
                <w:rFonts w:ascii="黑体" w:eastAsia="黑体" w:hAnsi="黑体" w:cs="黑体" w:hint="eastAsia"/>
                <w:b/>
                <w:kern w:val="0"/>
                <w:szCs w:val="21"/>
              </w:rPr>
              <w:t>年1</w:t>
            </w:r>
            <w:r w:rsidRPr="00B46892">
              <w:rPr>
                <w:rFonts w:ascii="黑体" w:eastAsia="黑体" w:hAnsi="黑体" w:cs="黑体"/>
                <w:b/>
                <w:kern w:val="0"/>
                <w:szCs w:val="21"/>
              </w:rPr>
              <w:t>1</w:t>
            </w:r>
            <w:r w:rsidRPr="00B46892">
              <w:rPr>
                <w:rFonts w:ascii="黑体" w:eastAsia="黑体" w:hAnsi="黑体" w:cs="黑体" w:hint="eastAsia"/>
                <w:b/>
                <w:kern w:val="0"/>
                <w:szCs w:val="21"/>
              </w:rPr>
              <w:t>月2</w:t>
            </w:r>
            <w:r w:rsidR="001417C3">
              <w:rPr>
                <w:rFonts w:ascii="黑体" w:eastAsia="黑体" w:hAnsi="黑体" w:cs="黑体"/>
                <w:b/>
                <w:kern w:val="0"/>
                <w:szCs w:val="21"/>
              </w:rPr>
              <w:t>8</w:t>
            </w:r>
            <w:r w:rsidRPr="00B46892">
              <w:rPr>
                <w:rFonts w:ascii="黑体" w:eastAsia="黑体" w:hAnsi="黑体" w:cs="黑体" w:hint="eastAsia"/>
                <w:b/>
                <w:kern w:val="0"/>
                <w:szCs w:val="21"/>
              </w:rPr>
              <w:t>日</w:t>
            </w:r>
          </w:p>
          <w:p w:rsidR="00F57BEF" w:rsidRPr="00B46892" w14:paraId="400A0033"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在本产品募集期内，产品</w:t>
            </w:r>
            <w:r w:rsidRPr="00B46892">
              <w:rPr>
                <w:rFonts w:ascii="黑体" w:eastAsia="黑体" w:hAnsi="黑体" w:cs="黑体"/>
                <w:kern w:val="0"/>
                <w:szCs w:val="21"/>
              </w:rPr>
              <w:t>管理人有权根据产品实际募集情况调整产品募集</w:t>
            </w:r>
            <w:r w:rsidRPr="00B46892">
              <w:rPr>
                <w:rFonts w:ascii="黑体" w:eastAsia="黑体" w:hAnsi="黑体" w:cs="黑体" w:hint="eastAsia"/>
                <w:kern w:val="0"/>
                <w:szCs w:val="21"/>
              </w:rPr>
              <w:t>结束日，</w:t>
            </w:r>
            <w:r w:rsidRPr="00B46892">
              <w:rPr>
                <w:rFonts w:ascii="黑体" w:eastAsia="黑体" w:hAnsi="黑体" w:cs="黑体"/>
                <w:kern w:val="0"/>
                <w:szCs w:val="21"/>
              </w:rPr>
              <w:t>调整前将进行相关</w:t>
            </w:r>
            <w:r w:rsidRPr="00B46892">
              <w:rPr>
                <w:rFonts w:ascii="黑体" w:eastAsia="黑体" w:hAnsi="黑体" w:cs="黑体" w:hint="eastAsia"/>
                <w:kern w:val="0"/>
                <w:szCs w:val="21"/>
              </w:rPr>
              <w:t>信息</w:t>
            </w:r>
            <w:r w:rsidRPr="00B46892">
              <w:rPr>
                <w:rFonts w:ascii="黑体" w:eastAsia="黑体" w:hAnsi="黑体" w:cs="黑体"/>
                <w:kern w:val="0"/>
                <w:szCs w:val="21"/>
              </w:rPr>
              <w:t>披露</w:t>
            </w:r>
            <w:r w:rsidRPr="00B46892">
              <w:rPr>
                <w:rFonts w:ascii="黑体" w:eastAsia="黑体" w:hAnsi="黑体" w:cs="黑体" w:hint="eastAsia"/>
                <w:kern w:val="0"/>
                <w:szCs w:val="21"/>
              </w:rPr>
              <w:t>。</w:t>
            </w:r>
          </w:p>
        </w:tc>
      </w:tr>
      <w:tr w14:paraId="5F8A4942" w14:textId="77777777">
        <w:tblPrEx>
          <w:tblW w:w="8443" w:type="dxa"/>
          <w:tblInd w:w="-147" w:type="dxa"/>
          <w:tblLayout w:type="fixed"/>
          <w:tblLook w:val="04A0"/>
        </w:tblPrEx>
        <w:tc>
          <w:tcPr>
            <w:tcW w:w="1985" w:type="dxa"/>
            <w:vAlign w:val="center"/>
          </w:tcPr>
          <w:p w:rsidR="00F57BEF" w:rsidRPr="00B46892" w14:paraId="23322F51"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成立日</w:t>
            </w:r>
          </w:p>
        </w:tc>
        <w:tc>
          <w:tcPr>
            <w:tcW w:w="6458" w:type="dxa"/>
          </w:tcPr>
          <w:p w:rsidR="00F57BEF" w:rsidRPr="00B46892" w14:paraId="574E08FF" w14:textId="40EFAE77">
            <w:pPr>
              <w:autoSpaceDE w:val="0"/>
              <w:autoSpaceDN w:val="0"/>
              <w:adjustRightInd w:val="0"/>
              <w:jc w:val="left"/>
              <w:rPr>
                <w:rFonts w:ascii="黑体" w:eastAsia="黑体" w:hAnsi="黑体" w:cs="黑体" w:hint="eastAsia"/>
                <w:b/>
                <w:kern w:val="0"/>
                <w:szCs w:val="21"/>
                <w:u w:val="single"/>
              </w:rPr>
            </w:pPr>
            <w:r w:rsidRPr="00B46892">
              <w:rPr>
                <w:rFonts w:ascii="黑体" w:eastAsia="黑体" w:hAnsi="黑体" w:cs="黑体" w:hint="eastAsia"/>
                <w:b/>
                <w:kern w:val="0"/>
                <w:szCs w:val="21"/>
              </w:rPr>
              <w:t>本产品成立日为</w:t>
            </w:r>
            <w:r w:rsidRPr="00B46892" w:rsidR="006E1788">
              <w:rPr>
                <w:rFonts w:ascii="黑体" w:eastAsia="黑体" w:hAnsi="黑体" w:cs="黑体" w:hint="eastAsia"/>
                <w:b/>
                <w:kern w:val="0"/>
                <w:szCs w:val="21"/>
              </w:rPr>
              <w:t>2</w:t>
            </w:r>
            <w:r w:rsidRPr="00B46892" w:rsidR="006E1788">
              <w:rPr>
                <w:rFonts w:ascii="黑体" w:eastAsia="黑体" w:hAnsi="黑体" w:cs="黑体"/>
                <w:b/>
                <w:kern w:val="0"/>
                <w:szCs w:val="21"/>
              </w:rPr>
              <w:t>023</w:t>
            </w:r>
            <w:r w:rsidRPr="00B46892" w:rsidR="006E1788">
              <w:rPr>
                <w:rFonts w:ascii="黑体" w:eastAsia="黑体" w:hAnsi="黑体" w:cs="黑体" w:hint="eastAsia"/>
                <w:b/>
                <w:kern w:val="0"/>
                <w:szCs w:val="21"/>
              </w:rPr>
              <w:t>年1</w:t>
            </w:r>
            <w:r w:rsidRPr="00B46892" w:rsidR="006E1788">
              <w:rPr>
                <w:rFonts w:ascii="黑体" w:eastAsia="黑体" w:hAnsi="黑体" w:cs="黑体"/>
                <w:b/>
                <w:kern w:val="0"/>
                <w:szCs w:val="21"/>
              </w:rPr>
              <w:t>1</w:t>
            </w:r>
            <w:r w:rsidRPr="00B46892" w:rsidR="006E1788">
              <w:rPr>
                <w:rFonts w:ascii="黑体" w:eastAsia="黑体" w:hAnsi="黑体" w:cs="黑体" w:hint="eastAsia"/>
                <w:b/>
                <w:kern w:val="0"/>
                <w:szCs w:val="21"/>
              </w:rPr>
              <w:t>月2</w:t>
            </w:r>
            <w:r w:rsidR="001417C3">
              <w:rPr>
                <w:rFonts w:ascii="黑体" w:eastAsia="黑体" w:hAnsi="黑体" w:cs="黑体"/>
                <w:b/>
                <w:kern w:val="0"/>
                <w:szCs w:val="21"/>
              </w:rPr>
              <w:t>9</w:t>
            </w:r>
            <w:r w:rsidRPr="00B46892" w:rsidR="006E1788">
              <w:rPr>
                <w:rFonts w:ascii="黑体" w:eastAsia="黑体" w:hAnsi="黑体" w:cs="黑体" w:hint="eastAsia"/>
                <w:b/>
                <w:kern w:val="0"/>
                <w:szCs w:val="21"/>
              </w:rPr>
              <w:t>日</w:t>
            </w:r>
          </w:p>
          <w:p w:rsidR="00F57BEF" w:rsidRPr="00B46892" w14:paraId="67BBFEEB"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1、为保护投资者权益，产品</w:t>
            </w:r>
            <w:r w:rsidRPr="00B46892">
              <w:rPr>
                <w:rFonts w:ascii="黑体" w:eastAsia="黑体" w:hAnsi="黑体" w:cs="黑体"/>
                <w:kern w:val="0"/>
                <w:szCs w:val="21"/>
              </w:rPr>
              <w:t>管理人</w:t>
            </w:r>
            <w:r w:rsidRPr="00B46892">
              <w:rPr>
                <w:rFonts w:ascii="黑体" w:eastAsia="黑体" w:hAnsi="黑体" w:cs="黑体" w:hint="eastAsia"/>
                <w:kern w:val="0"/>
                <w:szCs w:val="21"/>
              </w:rPr>
              <w:t>可根据市场变化情况缩短或延长募集期并提前或推迟成立，届时</w:t>
            </w:r>
            <w:r w:rsidRPr="00B46892">
              <w:rPr>
                <w:rFonts w:ascii="黑体" w:eastAsia="黑体" w:hAnsi="黑体" w:cs="黑体"/>
                <w:kern w:val="0"/>
                <w:szCs w:val="21"/>
              </w:rPr>
              <w:t>产品管理人</w:t>
            </w:r>
            <w:r w:rsidRPr="00B46892">
              <w:rPr>
                <w:rFonts w:ascii="黑体" w:eastAsia="黑体" w:hAnsi="黑体" w:cs="黑体" w:hint="eastAsia"/>
                <w:kern w:val="0"/>
                <w:szCs w:val="21"/>
              </w:rPr>
              <w:t>将调整相关日期并进行信息披露。</w:t>
            </w:r>
          </w:p>
          <w:p w:rsidR="00F57BEF" w:rsidRPr="00B46892" w14:paraId="322F66DF" w14:textId="70622E5D">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2、若</w:t>
            </w:r>
            <w:r w:rsidRPr="00B46892">
              <w:rPr>
                <w:rFonts w:ascii="黑体" w:eastAsia="黑体" w:hAnsi="黑体" w:cs="黑体"/>
                <w:kern w:val="0"/>
                <w:szCs w:val="21"/>
              </w:rPr>
              <w:t>产品认购份额未达到</w:t>
            </w:r>
            <w:r w:rsidRPr="00B46892">
              <w:rPr>
                <w:rFonts w:ascii="黑体" w:eastAsia="黑体" w:hAnsi="黑体" w:cs="黑体"/>
                <w:kern w:val="0"/>
                <w:szCs w:val="21"/>
              </w:rPr>
              <w:t>最低成立</w:t>
            </w:r>
            <w:r w:rsidRPr="00B46892">
              <w:rPr>
                <w:rFonts w:ascii="黑体" w:eastAsia="黑体" w:hAnsi="黑体" w:cs="黑体"/>
                <w:kern w:val="0"/>
                <w:szCs w:val="21"/>
              </w:rPr>
              <w:t>规模，或</w:t>
            </w:r>
            <w:r w:rsidRPr="00B46892">
              <w:rPr>
                <w:rFonts w:ascii="黑体" w:eastAsia="黑体" w:hAnsi="黑体" w:cs="宋体" w:hint="eastAsia"/>
                <w:kern w:val="0"/>
                <w:szCs w:val="21"/>
              </w:rPr>
              <w:t>遇到包括但不限于国家金融政策发生重大调整、金融市场发生重大波动、</w:t>
            </w:r>
            <w:r w:rsidRPr="00B46892">
              <w:rPr>
                <w:rFonts w:ascii="黑体" w:eastAsia="黑体" w:hAnsi="黑体" w:cs="黑体"/>
                <w:kern w:val="0"/>
                <w:szCs w:val="21"/>
              </w:rPr>
              <w:t>不可抗力</w:t>
            </w:r>
            <w:r w:rsidRPr="00B46892">
              <w:rPr>
                <w:rFonts w:ascii="黑体" w:eastAsia="黑体" w:hAnsi="黑体" w:cs="宋体" w:hint="eastAsia"/>
                <w:kern w:val="0"/>
                <w:szCs w:val="21"/>
              </w:rPr>
              <w:t>或产品管理人</w:t>
            </w:r>
            <w:r w:rsidRPr="00B46892">
              <w:rPr>
                <w:rFonts w:ascii="黑体" w:eastAsia="黑体" w:hAnsi="黑体" w:cs="黑体" w:hint="eastAsia"/>
                <w:kern w:val="0"/>
                <w:szCs w:val="21"/>
              </w:rPr>
              <w:t>认为会影响</w:t>
            </w:r>
            <w:r w:rsidRPr="00B46892">
              <w:rPr>
                <w:rFonts w:ascii="黑体" w:eastAsia="黑体" w:hAnsi="黑体" w:cs="黑体"/>
                <w:kern w:val="0"/>
                <w:szCs w:val="21"/>
              </w:rPr>
              <w:t>产品成立</w:t>
            </w:r>
            <w:r w:rsidRPr="00B46892">
              <w:rPr>
                <w:rFonts w:ascii="黑体" w:eastAsia="黑体" w:hAnsi="黑体" w:cs="黑体" w:hint="eastAsia"/>
                <w:kern w:val="0"/>
                <w:szCs w:val="21"/>
              </w:rPr>
              <w:t>的其他因素时</w:t>
            </w:r>
            <w:r w:rsidRPr="00B46892">
              <w:rPr>
                <w:rFonts w:ascii="黑体" w:eastAsia="黑体" w:hAnsi="黑体" w:cs="黑体"/>
                <w:kern w:val="0"/>
                <w:szCs w:val="21"/>
              </w:rPr>
              <w:t>，</w:t>
            </w:r>
            <w:r w:rsidRPr="00C542B4">
              <w:rPr>
                <w:rFonts w:ascii="黑体" w:eastAsia="黑体" w:hAnsi="黑体" w:cs="黑体" w:hint="eastAsia"/>
                <w:b/>
                <w:bCs/>
                <w:kern w:val="0"/>
                <w:szCs w:val="21"/>
              </w:rPr>
              <w:t>产品管理人可以宣布产品不成立，</w:t>
            </w:r>
            <w:r w:rsidR="00821019">
              <w:rPr>
                <w:rFonts w:ascii="黑体" w:eastAsia="黑体" w:hAnsi="黑体" w:cs="黑体" w:hint="eastAsia"/>
                <w:b/>
                <w:bCs/>
                <w:kern w:val="0"/>
                <w:szCs w:val="21"/>
              </w:rPr>
              <w:t>该情形下</w:t>
            </w:r>
            <w:r w:rsidRPr="00C542B4">
              <w:rPr>
                <w:rFonts w:ascii="黑体" w:eastAsia="黑体" w:hAnsi="黑体" w:cs="黑体" w:hint="eastAsia"/>
                <w:b/>
                <w:bCs/>
                <w:kern w:val="0"/>
                <w:szCs w:val="21"/>
              </w:rPr>
              <w:t>投资者认购资金将于产品募集期结束后</w:t>
            </w:r>
            <w:r w:rsidRPr="00C542B4" w:rsidR="00BD6F2A">
              <w:rPr>
                <w:rFonts w:ascii="黑体" w:eastAsia="黑体" w:hAnsi="黑体" w:cs="黑体" w:hint="eastAsia"/>
                <w:b/>
                <w:bCs/>
                <w:kern w:val="0"/>
                <w:szCs w:val="21"/>
              </w:rPr>
              <w:t>5个</w:t>
            </w:r>
            <w:r w:rsidRPr="00C542B4">
              <w:rPr>
                <w:rFonts w:ascii="黑体" w:eastAsia="黑体" w:hAnsi="黑体" w:cs="黑体" w:hint="eastAsia"/>
                <w:b/>
                <w:bCs/>
                <w:kern w:val="0"/>
                <w:szCs w:val="21"/>
              </w:rPr>
              <w:t>工作日内解冻或返还至投资者指定账户，在途期间投资者投资本金不计息。</w:t>
            </w:r>
          </w:p>
        </w:tc>
      </w:tr>
      <w:tr w14:paraId="2F6BF972" w14:textId="77777777">
        <w:tblPrEx>
          <w:tblW w:w="8443" w:type="dxa"/>
          <w:tblInd w:w="-147" w:type="dxa"/>
          <w:tblLayout w:type="fixed"/>
          <w:tblLook w:val="04A0"/>
        </w:tblPrEx>
        <w:tc>
          <w:tcPr>
            <w:tcW w:w="1985" w:type="dxa"/>
            <w:vAlign w:val="center"/>
          </w:tcPr>
          <w:p w:rsidR="00F57BEF" w:rsidRPr="00B46892" w14:paraId="5729576B"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到期</w:t>
            </w:r>
            <w:r w:rsidRPr="00B46892">
              <w:rPr>
                <w:rFonts w:ascii="黑体" w:eastAsia="黑体" w:hAnsi="黑体" w:cs="黑体" w:hint="eastAsia"/>
                <w:kern w:val="0"/>
                <w:szCs w:val="21"/>
              </w:rPr>
              <w:t>日</w:t>
            </w:r>
          </w:p>
        </w:tc>
        <w:tc>
          <w:tcPr>
            <w:tcW w:w="6458" w:type="dxa"/>
          </w:tcPr>
          <w:p w:rsidR="00BD6F2A" w:rsidRPr="00B46892" w:rsidP="00BD6F2A" w14:paraId="1458A831" w14:textId="6EE5222A">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2050年</w:t>
            </w:r>
            <w:r w:rsidRPr="00B46892">
              <w:rPr>
                <w:rFonts w:ascii="黑体" w:eastAsia="黑体" w:hAnsi="黑体" w:cs="黑体"/>
                <w:b/>
                <w:kern w:val="0"/>
                <w:szCs w:val="21"/>
              </w:rPr>
              <w:t>12</w:t>
            </w:r>
            <w:r w:rsidRPr="00B46892">
              <w:rPr>
                <w:rFonts w:ascii="黑体" w:eastAsia="黑体" w:hAnsi="黑体" w:cs="黑体" w:hint="eastAsia"/>
                <w:b/>
                <w:kern w:val="0"/>
                <w:szCs w:val="21"/>
              </w:rPr>
              <w:t>月</w:t>
            </w:r>
            <w:r w:rsidRPr="00B46892">
              <w:rPr>
                <w:rFonts w:ascii="黑体" w:eastAsia="黑体" w:hAnsi="黑体" w:cs="黑体"/>
                <w:b/>
                <w:kern w:val="0"/>
                <w:szCs w:val="21"/>
              </w:rPr>
              <w:t>31</w:t>
            </w:r>
            <w:r w:rsidRPr="00B46892">
              <w:rPr>
                <w:rFonts w:ascii="黑体" w:eastAsia="黑体" w:hAnsi="黑体" w:cs="黑体" w:hint="eastAsia"/>
                <w:b/>
                <w:kern w:val="0"/>
                <w:szCs w:val="21"/>
              </w:rPr>
              <w:t>日</w:t>
            </w:r>
          </w:p>
          <w:p w:rsidR="00F57BEF" w:rsidRPr="00B46892" w:rsidP="00BD6F2A" w14:paraId="20210FE8"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产品</w:t>
            </w:r>
            <w:r w:rsidRPr="00B46892">
              <w:rPr>
                <w:rFonts w:ascii="黑体" w:eastAsia="黑体" w:hAnsi="黑体" w:cs="黑体"/>
                <w:b/>
                <w:kern w:val="0"/>
                <w:szCs w:val="21"/>
              </w:rPr>
              <w:t>成立日</w:t>
            </w:r>
            <w:r w:rsidRPr="00B46892">
              <w:rPr>
                <w:rFonts w:ascii="黑体" w:eastAsia="黑体" w:hAnsi="黑体" w:cs="黑体" w:hint="eastAsia"/>
                <w:b/>
                <w:kern w:val="0"/>
                <w:szCs w:val="21"/>
              </w:rPr>
              <w:t>至</w:t>
            </w:r>
            <w:r w:rsidRPr="00B46892">
              <w:rPr>
                <w:rFonts w:ascii="黑体" w:eastAsia="黑体" w:hAnsi="黑体" w:cs="黑体"/>
                <w:b/>
                <w:kern w:val="0"/>
                <w:szCs w:val="21"/>
              </w:rPr>
              <w:t>产品到期日</w:t>
            </w:r>
            <w:r w:rsidRPr="00B46892">
              <w:rPr>
                <w:rFonts w:ascii="黑体" w:eastAsia="黑体" w:hAnsi="黑体" w:cs="黑体" w:hint="eastAsia"/>
                <w:b/>
                <w:kern w:val="0"/>
                <w:szCs w:val="21"/>
              </w:rPr>
              <w:t>期</w:t>
            </w:r>
            <w:r w:rsidRPr="00B46892">
              <w:rPr>
                <w:rFonts w:ascii="黑体" w:eastAsia="黑体" w:hAnsi="黑体" w:cs="黑体"/>
                <w:b/>
                <w:kern w:val="0"/>
                <w:szCs w:val="21"/>
              </w:rPr>
              <w:t>间为产品存续期。</w:t>
            </w:r>
            <w:r w:rsidRPr="00B46892">
              <w:rPr>
                <w:rFonts w:ascii="黑体" w:eastAsia="黑体" w:hAnsi="黑体" w:cs="黑体" w:hint="eastAsia"/>
                <w:b/>
                <w:kern w:val="0"/>
                <w:szCs w:val="21"/>
              </w:rPr>
              <w:t>详见</w:t>
            </w:r>
            <w:r w:rsidRPr="00B46892">
              <w:rPr>
                <w:rFonts w:ascii="黑体" w:eastAsia="黑体" w:hAnsi="黑体" w:cs="黑体"/>
                <w:b/>
                <w:kern w:val="0"/>
                <w:szCs w:val="21"/>
              </w:rPr>
              <w:t>本说明书第</w:t>
            </w:r>
            <w:r w:rsidRPr="00B46892">
              <w:rPr>
                <w:rFonts w:ascii="黑体" w:eastAsia="黑体" w:hAnsi="黑体" w:cs="黑体" w:hint="eastAsia"/>
                <w:b/>
                <w:kern w:val="0"/>
                <w:szCs w:val="21"/>
              </w:rPr>
              <w:t>七</w:t>
            </w:r>
            <w:r w:rsidRPr="00B46892">
              <w:rPr>
                <w:rFonts w:ascii="黑体" w:eastAsia="黑体" w:hAnsi="黑体" w:cs="黑体"/>
                <w:b/>
                <w:kern w:val="0"/>
                <w:szCs w:val="21"/>
              </w:rPr>
              <w:t>部分</w:t>
            </w:r>
            <w:r w:rsidRPr="00B46892">
              <w:rPr>
                <w:rFonts w:ascii="黑体" w:eastAsia="黑体" w:hAnsi="黑体" w:cs="黑体" w:hint="eastAsia"/>
                <w:b/>
                <w:bCs/>
                <w:kern w:val="0"/>
                <w:szCs w:val="21"/>
              </w:rPr>
              <w:t>理财产品到期与终止</w:t>
            </w:r>
            <w:r w:rsidRPr="00B46892">
              <w:rPr>
                <w:rFonts w:ascii="黑体" w:eastAsia="黑体" w:hAnsi="黑体" w:cs="黑体"/>
                <w:b/>
                <w:kern w:val="0"/>
                <w:szCs w:val="21"/>
              </w:rPr>
              <w:t>。</w:t>
            </w:r>
          </w:p>
        </w:tc>
      </w:tr>
      <w:tr w14:paraId="2F03C922" w14:textId="77777777">
        <w:tblPrEx>
          <w:tblW w:w="8443" w:type="dxa"/>
          <w:tblInd w:w="-147" w:type="dxa"/>
          <w:tblLayout w:type="fixed"/>
          <w:tblLook w:val="04A0"/>
        </w:tblPrEx>
        <w:tc>
          <w:tcPr>
            <w:tcW w:w="1985" w:type="dxa"/>
            <w:vAlign w:val="center"/>
          </w:tcPr>
          <w:p w:rsidR="00F57BEF" w:rsidRPr="00B46892" w14:paraId="5C4D4CCD"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产品开放日</w:t>
            </w:r>
          </w:p>
        </w:tc>
        <w:tc>
          <w:tcPr>
            <w:tcW w:w="6458" w:type="dxa"/>
          </w:tcPr>
          <w:p w:rsidR="00947DDE" w:rsidRPr="00B46892" w14:paraId="2E0B7957" w14:textId="0025D1EF">
            <w:pPr>
              <w:autoSpaceDE w:val="0"/>
              <w:autoSpaceDN w:val="0"/>
              <w:adjustRightInd w:val="0"/>
              <w:jc w:val="left"/>
              <w:rPr>
                <w:rFonts w:ascii="黑体" w:eastAsia="黑体" w:hAnsi="黑体" w:cs="黑体" w:hint="eastAsia"/>
                <w:b/>
                <w:bCs/>
                <w:kern w:val="0"/>
                <w:szCs w:val="21"/>
              </w:rPr>
            </w:pPr>
            <w:r w:rsidRPr="00B46892">
              <w:rPr>
                <w:rFonts w:ascii="黑体" w:eastAsia="黑体" w:hAnsi="黑体" w:cs="黑体" w:hint="eastAsia"/>
                <w:b/>
                <w:bCs/>
                <w:kern w:val="0"/>
                <w:szCs w:val="21"/>
              </w:rPr>
              <w:t>产品存续期内，每个工作日为产品开放日。</w:t>
            </w:r>
          </w:p>
          <w:p w:rsidR="00F57BEF" w:rsidRPr="00B46892" w14:paraId="1C882BC4" w14:textId="1EFF7252">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bCs/>
                <w:kern w:val="0"/>
                <w:szCs w:val="21"/>
              </w:rPr>
              <w:t>在理财产品存续期内，本公司有权根据市场情况变化暂停或调整本理财产品的申购、赎回安排，相关安排请以届时提前公告为准。</w:t>
            </w:r>
          </w:p>
        </w:tc>
      </w:tr>
      <w:tr w14:paraId="46C7B377" w14:textId="77777777">
        <w:tblPrEx>
          <w:tblW w:w="8443" w:type="dxa"/>
          <w:tblInd w:w="-147" w:type="dxa"/>
          <w:tblLayout w:type="fixed"/>
          <w:tblLook w:val="04A0"/>
        </w:tblPrEx>
        <w:tc>
          <w:tcPr>
            <w:tcW w:w="1985" w:type="dxa"/>
            <w:vAlign w:val="center"/>
          </w:tcPr>
          <w:p w:rsidR="00F57BEF" w:rsidRPr="00B46892" w14:paraId="3F47E967"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认购、申购</w:t>
            </w:r>
            <w:r w:rsidRPr="00B46892">
              <w:rPr>
                <w:rFonts w:ascii="黑体" w:eastAsia="黑体" w:hAnsi="黑体" w:cs="黑体"/>
                <w:kern w:val="0"/>
                <w:szCs w:val="21"/>
              </w:rPr>
              <w:t>、赎回</w:t>
            </w:r>
            <w:r w:rsidRPr="00B46892">
              <w:rPr>
                <w:rFonts w:ascii="黑体" w:eastAsia="黑体" w:hAnsi="黑体" w:cs="黑体" w:hint="eastAsia"/>
                <w:kern w:val="0"/>
                <w:szCs w:val="21"/>
              </w:rPr>
              <w:t>及撤单</w:t>
            </w:r>
            <w:r w:rsidRPr="00B46892">
              <w:rPr>
                <w:rFonts w:ascii="黑体" w:eastAsia="黑体" w:hAnsi="黑体" w:cs="黑体"/>
                <w:kern w:val="0"/>
                <w:szCs w:val="21"/>
              </w:rPr>
              <w:t>时间</w:t>
            </w:r>
          </w:p>
        </w:tc>
        <w:tc>
          <w:tcPr>
            <w:tcW w:w="6458" w:type="dxa"/>
          </w:tcPr>
          <w:p w:rsidR="00F57BEF" w:rsidRPr="00B46892" w:rsidP="004576AA" w14:paraId="44D1FC45" w14:textId="25E9F8AF">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产品募集期第一日</w:t>
            </w:r>
            <w:r w:rsidRPr="00B46892">
              <w:rPr>
                <w:rFonts w:ascii="黑体" w:eastAsia="黑体" w:hAnsi="黑体" w:cs="宋体"/>
                <w:kern w:val="0"/>
                <w:szCs w:val="21"/>
              </w:rPr>
              <w:t>9:00至最后一日1</w:t>
            </w:r>
            <w:r w:rsidRPr="00B46892" w:rsidR="004576AA">
              <w:rPr>
                <w:rFonts w:ascii="黑体" w:eastAsia="黑体" w:hAnsi="黑体" w:cs="宋体"/>
                <w:kern w:val="0"/>
                <w:szCs w:val="21"/>
              </w:rPr>
              <w:t>7</w:t>
            </w:r>
            <w:r w:rsidRPr="00B46892" w:rsidR="004576AA">
              <w:rPr>
                <w:rFonts w:ascii="黑体" w:eastAsia="黑体" w:hAnsi="黑体" w:cs="宋体" w:hint="eastAsia"/>
                <w:kern w:val="0"/>
                <w:szCs w:val="21"/>
              </w:rPr>
              <w:t>:0</w:t>
            </w:r>
            <w:r w:rsidRPr="00B46892" w:rsidR="004576AA">
              <w:rPr>
                <w:rFonts w:ascii="黑体" w:eastAsia="黑体" w:hAnsi="黑体" w:cs="宋体"/>
                <w:kern w:val="0"/>
                <w:szCs w:val="21"/>
              </w:rPr>
              <w:t>0</w:t>
            </w:r>
            <w:r w:rsidRPr="00B46892">
              <w:rPr>
                <w:rFonts w:ascii="黑体" w:eastAsia="黑体" w:hAnsi="黑体" w:cs="宋体"/>
                <w:kern w:val="0"/>
                <w:szCs w:val="21"/>
              </w:rPr>
              <w:t>投资者可以提交或撤销认购申请；</w:t>
            </w:r>
            <w:r w:rsidRPr="00B46892">
              <w:rPr>
                <w:rFonts w:ascii="黑体" w:eastAsia="黑体" w:hAnsi="黑体" w:cs="宋体" w:hint="eastAsia"/>
                <w:kern w:val="0"/>
                <w:szCs w:val="21"/>
              </w:rPr>
              <w:t>产品存续期间，投资者可以提交申购和赎回申请，在产品管</w:t>
            </w:r>
            <w:r w:rsidRPr="00B46892">
              <w:rPr>
                <w:rFonts w:ascii="黑体" w:eastAsia="黑体" w:hAnsi="黑体" w:cs="宋体" w:hint="eastAsia"/>
                <w:kern w:val="0"/>
                <w:szCs w:val="21"/>
              </w:rPr>
              <w:t>理人确认申购/赎回份额前，投资者可以对申购和赎回申请进行撤销。产品实际认购、申购、赎回及撤单时间具体以销售机构展示为准。具体交易规则见后文四、产品交易相关规则。</w:t>
            </w:r>
          </w:p>
        </w:tc>
      </w:tr>
      <w:tr w14:paraId="3751B2A9" w14:textId="77777777">
        <w:tblPrEx>
          <w:tblW w:w="8443" w:type="dxa"/>
          <w:tblInd w:w="-147" w:type="dxa"/>
          <w:tblLayout w:type="fixed"/>
          <w:tblLook w:val="04A0"/>
        </w:tblPrEx>
        <w:tc>
          <w:tcPr>
            <w:tcW w:w="1985" w:type="dxa"/>
            <w:vAlign w:val="center"/>
          </w:tcPr>
          <w:p w:rsidR="00F57BEF" w:rsidRPr="00B46892" w14:paraId="763CB23F"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每万份产品净收益</w:t>
            </w:r>
          </w:p>
        </w:tc>
        <w:tc>
          <w:tcPr>
            <w:tcW w:w="6458" w:type="dxa"/>
          </w:tcPr>
          <w:p w:rsidR="009D6EC2" w:rsidRPr="00B46892" w:rsidP="009D6EC2" w14:paraId="1DDEB5F3" w14:textId="4C1AA821">
            <w:pPr>
              <w:autoSpaceDE w:val="0"/>
              <w:autoSpaceDN w:val="0"/>
              <w:adjustRightInd w:val="0"/>
              <w:jc w:val="left"/>
              <w:rPr>
                <w:rFonts w:ascii="黑体" w:eastAsia="黑体" w:hAnsi="黑体" w:cs="黑体" w:hint="eastAsia"/>
                <w:color w:val="000000" w:themeColor="text1"/>
                <w:kern w:val="0"/>
                <w:szCs w:val="21"/>
              </w:rPr>
            </w:pPr>
            <w:r w:rsidRPr="00B46892">
              <w:rPr>
                <w:rFonts w:ascii="黑体" w:eastAsia="黑体" w:hAnsi="黑体" w:cs="黑体" w:hint="eastAsia"/>
                <w:color w:val="000000" w:themeColor="text1"/>
                <w:kern w:val="0"/>
                <w:szCs w:val="21"/>
              </w:rPr>
              <w:t>日每万份产品净收益</w:t>
            </w:r>
            <w:r w:rsidRPr="00B46892">
              <w:rPr>
                <w:rFonts w:ascii="黑体" w:eastAsia="黑体" w:hAnsi="黑体" w:cs="黑体"/>
                <w:color w:val="000000" w:themeColor="text1"/>
                <w:kern w:val="0"/>
                <w:szCs w:val="21"/>
              </w:rPr>
              <w:t>=[当日理财产品净收益/当日产品</w:t>
            </w:r>
            <w:r w:rsidRPr="00B46892">
              <w:rPr>
                <w:rFonts w:ascii="黑体" w:eastAsia="黑体" w:hAnsi="黑体" w:cs="黑体" w:hint="eastAsia"/>
                <w:color w:val="000000" w:themeColor="text1"/>
                <w:kern w:val="0"/>
                <w:szCs w:val="21"/>
              </w:rPr>
              <w:t>份额总额</w:t>
            </w:r>
            <w:r w:rsidRPr="00B46892">
              <w:rPr>
                <w:rFonts w:ascii="黑体" w:eastAsia="黑体" w:hAnsi="黑体" w:cs="黑体"/>
                <w:color w:val="000000" w:themeColor="text1"/>
                <w:kern w:val="0"/>
                <w:szCs w:val="21"/>
              </w:rPr>
              <w:t>]</w:t>
            </w:r>
            <m:oMath>
              <m:r>
                <m:rPr>
                  <m:sty m:val="p"/>
                </m:rPr>
                <w:rPr>
                  <w:rFonts w:ascii="Cambria Math" w:eastAsia="Cambria Math" w:hAnsi="Cambria Math" w:cs="黑体"/>
                  <w:color w:val="000000" w:themeColor="text1"/>
                  <w:kern w:val="0"/>
                  <w:szCs w:val="21"/>
                </w:rPr>
                <m:t>×</m:t>
              </m:r>
            </m:oMath>
            <w:r w:rsidRPr="00B46892">
              <w:rPr>
                <w:rFonts w:ascii="黑体" w:eastAsia="黑体" w:hAnsi="黑体" w:cs="黑体"/>
                <w:color w:val="000000" w:themeColor="text1"/>
                <w:kern w:val="0"/>
                <w:szCs w:val="21"/>
              </w:rPr>
              <w:t>10,000</w:t>
            </w:r>
          </w:p>
          <w:p w:rsidR="00F57BEF" w:rsidRPr="00B46892" w:rsidP="009D6EC2" w14:paraId="118F08CF" w14:textId="4C44D229">
            <w:pPr>
              <w:autoSpaceDE w:val="0"/>
              <w:autoSpaceDN w:val="0"/>
              <w:adjustRightInd w:val="0"/>
              <w:jc w:val="left"/>
              <w:rPr>
                <w:rFonts w:ascii="黑体" w:eastAsia="黑体" w:hAnsi="黑体" w:cs="宋体" w:hint="eastAsia"/>
                <w:kern w:val="0"/>
                <w:szCs w:val="21"/>
              </w:rPr>
            </w:pPr>
            <w:r w:rsidRPr="00B46892">
              <w:rPr>
                <w:rFonts w:ascii="黑体" w:eastAsia="黑体" w:hAnsi="黑体" w:cs="黑体" w:hint="eastAsia"/>
                <w:color w:val="000000" w:themeColor="text1"/>
                <w:kern w:val="0"/>
                <w:szCs w:val="21"/>
              </w:rPr>
              <w:t>每万份产品净收益的计算按照四舍五入原则，精确至小数点后</w:t>
            </w:r>
            <w:r w:rsidRPr="00B46892">
              <w:rPr>
                <w:rFonts w:ascii="黑体" w:eastAsia="黑体" w:hAnsi="黑体" w:cs="黑体"/>
                <w:color w:val="000000" w:themeColor="text1"/>
                <w:kern w:val="0"/>
                <w:szCs w:val="21"/>
              </w:rPr>
              <w:t>4位</w:t>
            </w:r>
            <w:r w:rsidRPr="00B46892">
              <w:rPr>
                <w:rFonts w:ascii="黑体" w:eastAsia="黑体" w:hAnsi="黑体" w:cs="黑体" w:hint="eastAsia"/>
                <w:color w:val="000000" w:themeColor="text1"/>
                <w:kern w:val="0"/>
                <w:szCs w:val="21"/>
              </w:rPr>
              <w:t>（实际展示以销售机构为准）</w:t>
            </w:r>
            <w:r w:rsidRPr="00B46892">
              <w:rPr>
                <w:rFonts w:ascii="黑体" w:eastAsia="黑体" w:hAnsi="黑体" w:cs="黑体"/>
                <w:color w:val="000000" w:themeColor="text1"/>
                <w:kern w:val="0"/>
                <w:szCs w:val="21"/>
              </w:rPr>
              <w:t>。</w:t>
            </w:r>
          </w:p>
        </w:tc>
      </w:tr>
      <w:tr w14:paraId="526EB7A4" w14:textId="77777777">
        <w:tblPrEx>
          <w:tblW w:w="8443" w:type="dxa"/>
          <w:tblInd w:w="-147" w:type="dxa"/>
          <w:tblLayout w:type="fixed"/>
          <w:tblLook w:val="04A0"/>
        </w:tblPrEx>
        <w:tc>
          <w:tcPr>
            <w:tcW w:w="1985" w:type="dxa"/>
            <w:vAlign w:val="center"/>
          </w:tcPr>
          <w:p w:rsidR="00F57BEF" w:rsidRPr="00B46892" w14:paraId="543FBF7B"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七日年化收益率</w:t>
            </w:r>
          </w:p>
        </w:tc>
        <w:tc>
          <w:tcPr>
            <w:tcW w:w="6458" w:type="dxa"/>
          </w:tcPr>
          <w:p w:rsidR="009D6EC2" w:rsidRPr="00B46892" w:rsidP="009D6EC2" w14:paraId="1319B175" w14:textId="0C92872F">
            <w:pPr>
              <w:autoSpaceDE w:val="0"/>
              <w:autoSpaceDN w:val="0"/>
              <w:adjustRightInd w:val="0"/>
              <w:rPr>
                <w:rFonts w:ascii="黑体" w:eastAsia="黑体" w:hAnsi="黑体" w:cs="黑体" w:hint="eastAsia"/>
                <w:color w:val="000000" w:themeColor="text1"/>
              </w:rPr>
            </w:pPr>
            <w:r w:rsidRPr="00B46892">
              <w:rPr>
                <w:rFonts w:ascii="黑体" w:eastAsia="黑体" w:hAnsi="黑体" w:cs="黑体" w:hint="eastAsia"/>
                <w:color w:val="000000" w:themeColor="text1"/>
                <w:kern w:val="0"/>
                <w:szCs w:val="21"/>
              </w:rPr>
              <w:t>按日结转份额的</w:t>
            </w:r>
            <w:r w:rsidRPr="00B46892">
              <w:rPr>
                <w:rFonts w:ascii="黑体" w:eastAsia="黑体" w:hAnsi="黑体" w:cs="黑体" w:hint="eastAsia"/>
                <w:color w:val="000000" w:themeColor="text1"/>
                <w:kern w:val="0"/>
                <w:szCs w:val="21"/>
              </w:rPr>
              <w:t>七日年化收益率</w:t>
            </w:r>
            <w:r w:rsidRPr="00B46892">
              <w:rPr>
                <w:rFonts w:ascii="黑体" w:eastAsia="黑体" w:hAnsi="黑体" w:cs="黑体"/>
                <w:color w:val="000000" w:themeColor="text1"/>
                <w:kern w:val="0"/>
                <w:szCs w:val="21"/>
              </w:rPr>
              <w:t>=</w:t>
            </w:r>
            <m:oMath>
              <m:d>
                <m:dPr>
                  <m:begChr m:val="{"/>
                  <m:endChr m:val="}"/>
                  <m:ctrlPr>
                    <w:rPr>
                      <w:rFonts w:ascii="Cambria Math" w:eastAsia="Times New Roman" w:hAnsi="Cambria Math"/>
                      <w:color w:val="000000" w:themeColor="text1"/>
                    </w:rPr>
                  </m:ctrlPr>
                </m:dPr>
                <m:e>
                  <m:sSup>
                    <m:sSupPr>
                      <m:ctrlPr>
                        <w:rPr>
                          <w:rFonts w:ascii="Cambria Math" w:eastAsia="Times New Roman" w:hAnsi="Cambria Math"/>
                          <w:i/>
                          <w:color w:val="000000" w:themeColor="text1"/>
                        </w:rPr>
                      </m:ctrlPr>
                    </m:sSupPr>
                    <m:e>
                      <m:d>
                        <m:dPr>
                          <m:begChr m:val="["/>
                          <m:endChr m:val="]"/>
                          <m:ctrlPr>
                            <w:rPr>
                              <w:rFonts w:ascii="Cambria Math" w:eastAsia="Times New Roman" w:hAnsi="Cambria Math"/>
                              <w:i/>
                              <w:color w:val="000000" w:themeColor="text1"/>
                            </w:rPr>
                          </m:ctrlPr>
                        </m:dPr>
                        <m:e>
                          <m:nary>
                            <m:naryPr>
                              <m:chr m:val="∏"/>
                              <m:limLoc m:val="undOvr"/>
                              <m:ctrlPr>
                                <w:rPr>
                                  <w:rFonts w:ascii="Cambria Math" w:eastAsia="Times New Roman" w:hAnsi="Cambria Math"/>
                                  <w:i/>
                                  <w:color w:val="000000" w:themeColor="text1"/>
                                </w:rPr>
                              </m:ctrlPr>
                            </m:naryPr>
                            <m:sub>
                              <m:r>
                                <w:rPr>
                                  <w:rFonts w:ascii="Cambria Math" w:eastAsia="Times New Roman" w:hAnsi="Cambria Math"/>
                                  <w:color w:val="000000" w:themeColor="text1"/>
                                </w:rPr>
                                <m:t>i=1</m:t>
                              </m:r>
                            </m:sub>
                            <m:sup>
                              <m:r>
                                <w:rPr>
                                  <w:rFonts w:ascii="Cambria Math" w:eastAsia="Times New Roman" w:hAnsi="Cambria Math"/>
                                  <w:color w:val="000000" w:themeColor="text1"/>
                                </w:rPr>
                                <m:t>7</m:t>
                              </m:r>
                            </m:sup>
                            <m:e>
                              <m:r>
                                <w:rPr>
                                  <w:rFonts w:ascii="Cambria Math" w:eastAsia="Times New Roman" w:hAnsi="Cambria Math"/>
                                  <w:color w:val="000000" w:themeColor="text1"/>
                                </w:rPr>
                                <m:t>(1+</m:t>
                              </m:r>
                              <m:f>
                                <m:fPr>
                                  <m:ctrlPr>
                                    <w:rPr>
                                      <w:rFonts w:ascii="Cambria Math" w:eastAsia="Times New Roman" w:hAnsi="Cambria Math"/>
                                      <w:i/>
                                      <w:color w:val="000000" w:themeColor="text1"/>
                                    </w:rPr>
                                  </m:ctrlPr>
                                </m:fPr>
                                <m:num>
                                  <m:sSub>
                                    <m:sSubPr>
                                      <m:ctrlPr>
                                        <w:rPr>
                                          <w:rFonts w:ascii="Cambria Math" w:eastAsia="Times New Roman" w:hAnsi="Cambria Math"/>
                                          <w:i/>
                                          <w:color w:val="000000" w:themeColor="text1"/>
                                        </w:rPr>
                                      </m:ctrlPr>
                                    </m:sSubPr>
                                    <m:e>
                                      <m:r>
                                        <w:rPr>
                                          <w:rFonts w:ascii="Cambria Math" w:eastAsia="Times New Roman" w:hAnsi="Cambria Math"/>
                                          <w:color w:val="000000" w:themeColor="text1"/>
                                        </w:rPr>
                                        <m:t>R</m:t>
                                      </m:r>
                                    </m:e>
                                    <m:sub>
                                      <m:r>
                                        <w:rPr>
                                          <w:rFonts w:ascii="Cambria Math" w:eastAsia="Times New Roman" w:hAnsi="Cambria Math"/>
                                          <w:color w:val="000000" w:themeColor="text1"/>
                                        </w:rPr>
                                        <m:t>i</m:t>
                                      </m:r>
                                    </m:sub>
                                  </m:sSub>
                                </m:num>
                                <m:den>
                                  <m:r>
                                    <w:rPr>
                                      <w:rFonts w:ascii="Cambria Math" w:eastAsia="Times New Roman" w:hAnsi="Cambria Math"/>
                                      <w:color w:val="000000" w:themeColor="text1"/>
                                    </w:rPr>
                                    <m:t>10000</m:t>
                                  </m:r>
                                </m:den>
                              </m:f>
                              <m:r>
                                <w:rPr>
                                  <w:rFonts w:ascii="Cambria Math" w:eastAsia="Times New Roman" w:hAnsi="Cambria Math"/>
                                  <w:color w:val="000000" w:themeColor="text1"/>
                                </w:rPr>
                                <m:t>)</m:t>
                              </m:r>
                            </m:e>
                          </m:nary>
                        </m:e>
                      </m:d>
                    </m:e>
                    <m:sup>
                      <m:f>
                        <m:fPr>
                          <m:ctrlPr>
                            <w:rPr>
                              <w:rFonts w:ascii="Cambria Math" w:eastAsia="Times New Roman" w:hAnsi="Cambria Math"/>
                              <w:i/>
                              <w:color w:val="000000" w:themeColor="text1"/>
                            </w:rPr>
                          </m:ctrlPr>
                        </m:fPr>
                        <m:num>
                          <m:r>
                            <w:rPr>
                              <w:rFonts w:ascii="Cambria Math" w:hAnsi="Cambria Math"/>
                              <w:color w:val="000000" w:themeColor="text1"/>
                            </w:rPr>
                            <m:t>365</m:t>
                          </m:r>
                        </m:num>
                        <m:den>
                          <m:r>
                            <w:rPr>
                              <w:rFonts w:ascii="Cambria Math" w:eastAsia="Times New Roman" w:hAnsi="Cambria Math"/>
                              <w:color w:val="000000" w:themeColor="text1"/>
                            </w:rPr>
                            <m:t>7</m:t>
                          </m:r>
                        </m:den>
                      </m:f>
                    </m:sup>
                  </m:sSup>
                  <m:r>
                    <w:rPr>
                      <w:rFonts w:ascii="Cambria Math" w:eastAsia="Times New Roman" w:hAnsi="Cambria Math"/>
                      <w:color w:val="000000" w:themeColor="text1"/>
                    </w:rPr>
                    <m:t>-1</m:t>
                  </m:r>
                </m:e>
              </m:d>
              <m:r>
                <w:rPr>
                  <w:rFonts w:ascii="Cambria Math" w:eastAsia="Times New Roman" w:hAnsi="Cambria Math"/>
                  <w:color w:val="000000" w:themeColor="text1"/>
                </w:rPr>
                <m:t>×100%</m:t>
              </m:r>
            </m:oMath>
          </w:p>
          <w:p w:rsidR="00F57BEF" w:rsidRPr="00B46892" w:rsidP="009D6EC2" w14:paraId="2CA1B377" w14:textId="1FAB5EEE">
            <w:pPr>
              <w:autoSpaceDE w:val="0"/>
              <w:autoSpaceDN w:val="0"/>
              <w:adjustRightInd w:val="0"/>
              <w:jc w:val="left"/>
              <w:rPr>
                <w:rFonts w:ascii="黑体" w:eastAsia="黑体" w:hAnsi="黑体" w:cs="宋体" w:hint="eastAsia"/>
                <w:kern w:val="0"/>
                <w:szCs w:val="21"/>
              </w:rPr>
            </w:pPr>
            <w:r w:rsidRPr="00B46892">
              <w:rPr>
                <w:rFonts w:ascii="黑体" w:eastAsia="黑体" w:hAnsi="黑体" w:cs="黑体" w:hint="eastAsia"/>
                <w:color w:val="000000" w:themeColor="text1"/>
              </w:rPr>
              <w:t>其中，</w:t>
            </w:r>
            <m:oMath>
              <m:sSub>
                <m:sSubPr>
                  <m:ctrlPr>
                    <w:rPr>
                      <w:rFonts w:ascii="Cambria Math" w:eastAsia="Times New Roman" w:hAnsi="Cambria Math"/>
                      <w:i/>
                      <w:color w:val="000000" w:themeColor="text1"/>
                    </w:rPr>
                  </m:ctrlPr>
                </m:sSubPr>
                <m:e>
                  <m:r>
                    <w:rPr>
                      <w:rFonts w:ascii="Cambria Math" w:eastAsia="Times New Roman" w:hAnsi="Cambria Math"/>
                      <w:color w:val="000000" w:themeColor="text1"/>
                    </w:rPr>
                    <m:t>R</m:t>
                  </m:r>
                </m:e>
                <m:sub>
                  <m:r>
                    <w:rPr>
                      <w:rFonts w:ascii="Cambria Math" w:eastAsia="Times New Roman" w:hAnsi="Cambria Math"/>
                      <w:color w:val="000000" w:themeColor="text1"/>
                    </w:rPr>
                    <m:t>i</m:t>
                  </m:r>
                </m:sub>
              </m:sSub>
            </m:oMath>
            <w:r w:rsidRPr="00B46892">
              <w:rPr>
                <w:rFonts w:ascii="黑体" w:eastAsia="黑体" w:hAnsi="黑体" w:cs="黑体" w:hint="eastAsia"/>
                <w:color w:val="000000" w:themeColor="text1"/>
              </w:rPr>
              <w:t>为最近第</w:t>
            </w:r>
            <w:r w:rsidRPr="00B46892">
              <w:rPr>
                <w:rFonts w:ascii="黑体" w:eastAsia="黑体" w:hAnsi="黑体" w:cs="黑体"/>
                <w:color w:val="000000" w:themeColor="text1"/>
              </w:rPr>
              <w:t>i</w:t>
            </w:r>
            <w:r w:rsidRPr="00B46892">
              <w:rPr>
                <w:rFonts w:ascii="黑体" w:eastAsia="黑体" w:hAnsi="黑体" w:cs="黑体"/>
                <w:color w:val="000000" w:themeColor="text1"/>
              </w:rPr>
              <w:t>个</w:t>
            </w:r>
            <w:r w:rsidRPr="00B46892">
              <w:rPr>
                <w:rFonts w:ascii="黑体" w:eastAsia="黑体" w:hAnsi="黑体" w:cs="黑体" w:hint="eastAsia"/>
                <w:color w:val="000000" w:themeColor="text1"/>
              </w:rPr>
              <w:t>自然日的每万份产品净收益，</w:t>
            </w:r>
            <w:r w:rsidRPr="00B46892">
              <w:rPr>
                <w:rFonts w:ascii="黑体" w:eastAsia="黑体" w:hAnsi="黑体" w:cs="黑体" w:hint="eastAsia"/>
                <w:color w:val="000000" w:themeColor="text1"/>
                <w:kern w:val="0"/>
                <w:szCs w:val="21"/>
              </w:rPr>
              <w:t>七日年化收益率</w:t>
            </w:r>
            <w:r w:rsidRPr="00B46892">
              <w:rPr>
                <w:rFonts w:ascii="黑体" w:eastAsia="黑体" w:hAnsi="黑体" w:cs="黑体" w:hint="eastAsia"/>
                <w:color w:val="000000" w:themeColor="text1"/>
                <w:kern w:val="0"/>
                <w:szCs w:val="21"/>
              </w:rPr>
              <w:t>的计算按照四舍五入原则，精确至小数点后</w:t>
            </w:r>
            <w:r w:rsidRPr="00B46892">
              <w:rPr>
                <w:rFonts w:ascii="黑体" w:eastAsia="黑体" w:hAnsi="黑体" w:cs="黑体"/>
                <w:color w:val="000000" w:themeColor="text1"/>
                <w:kern w:val="0"/>
                <w:szCs w:val="21"/>
              </w:rPr>
              <w:t>4</w:t>
            </w:r>
            <w:r w:rsidRPr="00B46892">
              <w:rPr>
                <w:rFonts w:ascii="黑体" w:eastAsia="黑体" w:hAnsi="黑体" w:cs="黑体" w:hint="eastAsia"/>
                <w:color w:val="000000" w:themeColor="text1"/>
                <w:kern w:val="0"/>
                <w:szCs w:val="21"/>
              </w:rPr>
              <w:t>位（实际展示以销售机构为准）。</w:t>
            </w:r>
          </w:p>
        </w:tc>
      </w:tr>
      <w:tr w14:paraId="1EAD6E5D" w14:textId="77777777">
        <w:tblPrEx>
          <w:tblW w:w="8443" w:type="dxa"/>
          <w:tblInd w:w="-147" w:type="dxa"/>
          <w:tblLayout w:type="fixed"/>
          <w:tblLook w:val="04A0"/>
        </w:tblPrEx>
        <w:tc>
          <w:tcPr>
            <w:tcW w:w="1985" w:type="dxa"/>
            <w:vAlign w:val="center"/>
          </w:tcPr>
          <w:p w:rsidR="00F57BEF" w:rsidRPr="00B46892" w14:paraId="7C87FF7E"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最低成立</w:t>
            </w:r>
            <w:r w:rsidRPr="00B46892">
              <w:rPr>
                <w:rFonts w:ascii="黑体" w:eastAsia="黑体" w:hAnsi="黑体" w:cs="黑体"/>
                <w:kern w:val="0"/>
                <w:szCs w:val="21"/>
              </w:rPr>
              <w:t>规模</w:t>
            </w:r>
          </w:p>
        </w:tc>
        <w:tc>
          <w:tcPr>
            <w:tcW w:w="6458" w:type="dxa"/>
          </w:tcPr>
          <w:p w:rsidR="00F57BEF" w:rsidRPr="00B46892" w14:paraId="08617AB7" w14:textId="5B0A71F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无</w:t>
            </w:r>
          </w:p>
        </w:tc>
      </w:tr>
      <w:tr w14:paraId="283E3F34" w14:textId="77777777">
        <w:tblPrEx>
          <w:tblW w:w="8443" w:type="dxa"/>
          <w:tblInd w:w="-147" w:type="dxa"/>
          <w:tblLayout w:type="fixed"/>
          <w:tblLook w:val="04A0"/>
        </w:tblPrEx>
        <w:tc>
          <w:tcPr>
            <w:tcW w:w="1985" w:type="dxa"/>
            <w:vAlign w:val="center"/>
          </w:tcPr>
          <w:p w:rsidR="00F57BEF" w:rsidRPr="00B46892" w14:paraId="7E6F9BE1"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kern w:val="0"/>
                <w:szCs w:val="21"/>
              </w:rPr>
              <w:t>产品规模上限</w:t>
            </w:r>
          </w:p>
        </w:tc>
        <w:tc>
          <w:tcPr>
            <w:tcW w:w="6458" w:type="dxa"/>
          </w:tcPr>
          <w:p w:rsidR="00F57BEF" w:rsidRPr="00B46892" w14:paraId="1ABC0C7D" w14:textId="603D1C75">
            <w:pPr>
              <w:autoSpaceDE w:val="0"/>
              <w:autoSpaceDN w:val="0"/>
              <w:adjustRightInd w:val="0"/>
              <w:jc w:val="left"/>
              <w:rPr>
                <w:rFonts w:ascii="黑体" w:eastAsia="黑体" w:hAnsi="黑体" w:cs="黑体" w:hint="eastAsia"/>
                <w:b/>
                <w:kern w:val="0"/>
                <w:szCs w:val="21"/>
                <w:u w:val="single"/>
              </w:rPr>
            </w:pPr>
            <w:r w:rsidRPr="00B46892">
              <w:rPr>
                <w:rFonts w:ascii="黑体" w:eastAsia="黑体" w:hAnsi="黑体" w:cs="黑体" w:hint="eastAsia"/>
                <w:b/>
                <w:kern w:val="0"/>
                <w:szCs w:val="21"/>
              </w:rPr>
              <w:t>产品募集期规模</w:t>
            </w:r>
            <w:r w:rsidRPr="00B46892">
              <w:rPr>
                <w:rFonts w:ascii="黑体" w:eastAsia="黑体" w:hAnsi="黑体" w:cs="黑体"/>
                <w:b/>
                <w:kern w:val="0"/>
                <w:szCs w:val="21"/>
              </w:rPr>
              <w:t>上限为</w:t>
            </w:r>
            <w:r w:rsidRPr="00B46892" w:rsidR="00FC196E">
              <w:rPr>
                <w:rFonts w:ascii="黑体" w:eastAsia="黑体" w:hAnsi="黑体" w:cs="黑体" w:hint="eastAsia"/>
                <w:b/>
                <w:kern w:val="0"/>
                <w:szCs w:val="21"/>
              </w:rPr>
              <w:t>1</w:t>
            </w:r>
            <w:r w:rsidRPr="00B46892" w:rsidR="00FC196E">
              <w:rPr>
                <w:rFonts w:ascii="黑体" w:eastAsia="黑体" w:hAnsi="黑体" w:cs="黑体"/>
                <w:b/>
                <w:kern w:val="0"/>
                <w:szCs w:val="21"/>
              </w:rPr>
              <w:t>0</w:t>
            </w:r>
            <w:r w:rsidRPr="00B46892" w:rsidR="00FC196E">
              <w:rPr>
                <w:rFonts w:ascii="黑体" w:eastAsia="黑体" w:hAnsi="黑体" w:cs="黑体" w:hint="eastAsia"/>
                <w:b/>
                <w:kern w:val="0"/>
                <w:szCs w:val="21"/>
              </w:rPr>
              <w:t>亿元</w:t>
            </w:r>
          </w:p>
          <w:p w:rsidR="00F57BEF" w:rsidRPr="00B46892" w14:paraId="3B37D3BA"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若募集期产品认购金额达到产品规模上限，则产品管理人有权停止产品的认购交易。</w:t>
            </w:r>
          </w:p>
          <w:p w:rsidR="00F57BEF" w:rsidRPr="00B46892" w14:paraId="67C268E0"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产品管理人有权根据产品实际运作情况调整产品存续期间的规模上限，具体以产品销售机构显示为准。</w:t>
            </w:r>
          </w:p>
        </w:tc>
      </w:tr>
      <w:tr w14:paraId="116E5432" w14:textId="77777777">
        <w:tblPrEx>
          <w:tblW w:w="8443" w:type="dxa"/>
          <w:tblInd w:w="-147" w:type="dxa"/>
          <w:tblLayout w:type="fixed"/>
          <w:tblLook w:val="04A0"/>
        </w:tblPrEx>
        <w:tc>
          <w:tcPr>
            <w:tcW w:w="1985" w:type="dxa"/>
            <w:vAlign w:val="center"/>
          </w:tcPr>
          <w:p w:rsidR="00F57BEF" w:rsidRPr="00B46892" w14:paraId="770B81F5"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首次</w:t>
            </w:r>
            <w:r w:rsidRPr="00B46892">
              <w:rPr>
                <w:rFonts w:ascii="黑体" w:eastAsia="黑体" w:hAnsi="黑体" w:cs="黑体"/>
                <w:kern w:val="0"/>
                <w:szCs w:val="21"/>
              </w:rPr>
              <w:t>购买起点金额</w:t>
            </w:r>
          </w:p>
        </w:tc>
        <w:tc>
          <w:tcPr>
            <w:tcW w:w="6458" w:type="dxa"/>
          </w:tcPr>
          <w:p w:rsidR="00936773" w:rsidRPr="00B46892" w:rsidP="00936773" w14:paraId="4559A059" w14:textId="49F1E081">
            <w:pPr>
              <w:autoSpaceDE w:val="0"/>
              <w:autoSpaceDN w:val="0"/>
              <w:adjustRightInd w:val="0"/>
              <w:jc w:val="left"/>
              <w:rPr>
                <w:rFonts w:ascii="黑体" w:eastAsia="黑体" w:hAnsi="黑体" w:cs="黑体" w:hint="eastAsia"/>
                <w:kern w:val="0"/>
                <w:szCs w:val="21"/>
              </w:rPr>
            </w:pPr>
            <w:r w:rsidRPr="00B46892">
              <w:rPr>
                <w:rFonts w:ascii="黑体" w:eastAsia="黑体" w:hAnsi="黑体" w:cs="黑体"/>
                <w:kern w:val="0"/>
                <w:szCs w:val="21"/>
              </w:rPr>
              <w:t>0.01</w:t>
            </w:r>
            <w:r w:rsidRPr="00B46892">
              <w:rPr>
                <w:rFonts w:ascii="黑体" w:eastAsia="黑体" w:hAnsi="黑体" w:cs="黑体"/>
                <w:kern w:val="0"/>
                <w:szCs w:val="21"/>
              </w:rPr>
              <w:t>元起售</w:t>
            </w:r>
          </w:p>
          <w:p w:rsidR="00F57BEF" w:rsidRPr="00B46892" w:rsidP="00936773" w14:paraId="0F858C91" w14:textId="1A694BC1">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（销售机构可以不低于上述标准</w:t>
            </w:r>
            <w:r w:rsidRPr="00B46892">
              <w:rPr>
                <w:rFonts w:ascii="黑体" w:eastAsia="黑体" w:hAnsi="黑体" w:cs="黑体" w:hint="eastAsia"/>
                <w:kern w:val="0"/>
                <w:szCs w:val="21"/>
              </w:rPr>
              <w:t>设置起购金额</w:t>
            </w:r>
            <w:r w:rsidRPr="00B46892">
              <w:rPr>
                <w:rFonts w:ascii="黑体" w:eastAsia="黑体" w:hAnsi="黑体" w:cs="黑体" w:hint="eastAsia"/>
                <w:kern w:val="0"/>
                <w:szCs w:val="21"/>
              </w:rPr>
              <w:t>，投资者购买本理财产品时以该销售机构最终要求为准）</w:t>
            </w:r>
          </w:p>
        </w:tc>
      </w:tr>
      <w:tr w14:paraId="035A2189" w14:textId="77777777">
        <w:tblPrEx>
          <w:tblW w:w="8443" w:type="dxa"/>
          <w:tblInd w:w="-147" w:type="dxa"/>
          <w:tblLayout w:type="fixed"/>
          <w:tblLook w:val="04A0"/>
        </w:tblPrEx>
        <w:tc>
          <w:tcPr>
            <w:tcW w:w="1985" w:type="dxa"/>
            <w:vAlign w:val="center"/>
          </w:tcPr>
          <w:p w:rsidR="00F57BEF" w:rsidRPr="00B46892" w14:paraId="50A0BA82"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追加购买</w:t>
            </w:r>
            <w:r w:rsidRPr="00B46892">
              <w:rPr>
                <w:rFonts w:ascii="黑体" w:eastAsia="黑体" w:hAnsi="黑体" w:cs="黑体"/>
                <w:kern w:val="0"/>
                <w:szCs w:val="21"/>
              </w:rPr>
              <w:t>金额</w:t>
            </w:r>
          </w:p>
        </w:tc>
        <w:tc>
          <w:tcPr>
            <w:tcW w:w="6458" w:type="dxa"/>
          </w:tcPr>
          <w:p w:rsidR="00760BA6" w:rsidRPr="00B46892" w:rsidP="00760BA6" w14:paraId="5CD91C4E" w14:textId="187B9E8A">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追加金额以0</w:t>
            </w:r>
            <w:r w:rsidRPr="00B46892">
              <w:rPr>
                <w:rFonts w:ascii="黑体" w:eastAsia="黑体" w:hAnsi="黑体" w:cs="黑体"/>
                <w:kern w:val="0"/>
                <w:szCs w:val="21"/>
              </w:rPr>
              <w:t>.0</w:t>
            </w:r>
            <w:r w:rsidRPr="00B46892">
              <w:rPr>
                <w:rFonts w:ascii="黑体" w:eastAsia="黑体" w:hAnsi="黑体" w:cs="黑体" w:hint="eastAsia"/>
                <w:kern w:val="0"/>
                <w:szCs w:val="21"/>
              </w:rPr>
              <w:t>1元整数倍增加，追加购买金额中不足0</w:t>
            </w:r>
            <w:r w:rsidRPr="00B46892">
              <w:rPr>
                <w:rFonts w:ascii="黑体" w:eastAsia="黑体" w:hAnsi="黑体" w:cs="黑体"/>
                <w:kern w:val="0"/>
                <w:szCs w:val="21"/>
              </w:rPr>
              <w:t>.0</w:t>
            </w:r>
            <w:r w:rsidRPr="00B46892">
              <w:rPr>
                <w:rFonts w:ascii="黑体" w:eastAsia="黑体" w:hAnsi="黑体" w:cs="黑体" w:hint="eastAsia"/>
                <w:kern w:val="0"/>
                <w:szCs w:val="21"/>
              </w:rPr>
              <w:t>1元的部分，产品管理人有权不确认</w:t>
            </w:r>
          </w:p>
          <w:p w:rsidR="00F57BEF" w:rsidRPr="00B46892" w:rsidP="00760BA6" w14:paraId="411FFDD8" w14:textId="101FBA73">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（销售机构可以不低于上述标准设置追加购买金额，投资者购买本理财产品时以该销售机构最终要求为准）</w:t>
            </w:r>
          </w:p>
        </w:tc>
      </w:tr>
      <w:tr w14:paraId="02F78AC1" w14:textId="77777777">
        <w:tblPrEx>
          <w:tblW w:w="8443" w:type="dxa"/>
          <w:tblInd w:w="-147" w:type="dxa"/>
          <w:tblLayout w:type="fixed"/>
          <w:tblLook w:val="04A0"/>
        </w:tblPrEx>
        <w:tc>
          <w:tcPr>
            <w:tcW w:w="1985" w:type="dxa"/>
            <w:vAlign w:val="center"/>
          </w:tcPr>
          <w:p w:rsidR="00F57BEF" w:rsidRPr="00B46892" w14:paraId="33C544FC"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最低</w:t>
            </w:r>
            <w:r w:rsidRPr="00B46892">
              <w:rPr>
                <w:rFonts w:ascii="黑体" w:eastAsia="黑体" w:hAnsi="黑体" w:cs="黑体"/>
                <w:kern w:val="0"/>
                <w:szCs w:val="21"/>
              </w:rPr>
              <w:t>赎回起点份额</w:t>
            </w:r>
          </w:p>
        </w:tc>
        <w:tc>
          <w:tcPr>
            <w:tcW w:w="6458" w:type="dxa"/>
          </w:tcPr>
          <w:p w:rsidR="00F57BEF" w:rsidRPr="00B46892" w14:paraId="31F44493" w14:textId="345850F8">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0.01份（具体以销售机构的规则为准）</w:t>
            </w:r>
          </w:p>
        </w:tc>
      </w:tr>
      <w:tr w14:paraId="6DF9D06D" w14:textId="77777777">
        <w:tblPrEx>
          <w:tblW w:w="8443" w:type="dxa"/>
          <w:tblInd w:w="-147" w:type="dxa"/>
          <w:tblLayout w:type="fixed"/>
          <w:tblLook w:val="04A0"/>
        </w:tblPrEx>
        <w:tc>
          <w:tcPr>
            <w:tcW w:w="1985" w:type="dxa"/>
            <w:vAlign w:val="center"/>
          </w:tcPr>
          <w:p w:rsidR="00F57BEF" w:rsidRPr="00B46892" w14:paraId="6D92CF4C"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追加</w:t>
            </w:r>
            <w:r w:rsidRPr="00B46892">
              <w:rPr>
                <w:rFonts w:ascii="黑体" w:eastAsia="黑体" w:hAnsi="黑体" w:cs="黑体"/>
                <w:kern w:val="0"/>
                <w:szCs w:val="21"/>
              </w:rPr>
              <w:t>赎回份额</w:t>
            </w:r>
          </w:p>
        </w:tc>
        <w:tc>
          <w:tcPr>
            <w:tcW w:w="6458" w:type="dxa"/>
          </w:tcPr>
          <w:p w:rsidR="00F57BEF" w:rsidRPr="00B46892" w14:paraId="342797DD" w14:textId="3B271761">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0.01份（具体以销售机构的规则为准）</w:t>
            </w:r>
          </w:p>
        </w:tc>
      </w:tr>
      <w:tr w14:paraId="4F2A1652" w14:textId="77777777">
        <w:tblPrEx>
          <w:tblW w:w="8443" w:type="dxa"/>
          <w:tblInd w:w="-147" w:type="dxa"/>
          <w:tblLayout w:type="fixed"/>
          <w:tblLook w:val="04A0"/>
        </w:tblPrEx>
        <w:tc>
          <w:tcPr>
            <w:tcW w:w="1985" w:type="dxa"/>
            <w:vAlign w:val="center"/>
          </w:tcPr>
          <w:p w:rsidR="00F57BEF" w:rsidRPr="00B46892" w14:paraId="23BDC8F4"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单日单</w:t>
            </w:r>
            <w:r w:rsidRPr="00B46892">
              <w:rPr>
                <w:rFonts w:ascii="黑体" w:eastAsia="黑体" w:hAnsi="黑体" w:cs="黑体" w:hint="eastAsia"/>
                <w:kern w:val="0"/>
                <w:szCs w:val="21"/>
              </w:rPr>
              <w:t>户申赎</w:t>
            </w:r>
            <w:r w:rsidRPr="00B46892">
              <w:rPr>
                <w:rFonts w:ascii="黑体" w:eastAsia="黑体" w:hAnsi="黑体" w:cs="黑体" w:hint="eastAsia"/>
                <w:kern w:val="0"/>
                <w:szCs w:val="21"/>
              </w:rPr>
              <w:t>限额</w:t>
            </w:r>
          </w:p>
        </w:tc>
        <w:tc>
          <w:tcPr>
            <w:tcW w:w="6458" w:type="dxa"/>
          </w:tcPr>
          <w:p w:rsidR="00F57BEF" w:rsidRPr="00B46892" w14:paraId="42D30D16" w14:textId="2379A74C">
            <w:pPr>
              <w:autoSpaceDE w:val="0"/>
              <w:autoSpaceDN w:val="0"/>
              <w:adjustRightInd w:val="0"/>
              <w:jc w:val="left"/>
              <w:rPr>
                <w:rFonts w:ascii="黑体" w:eastAsia="黑体" w:hAnsi="黑体" w:cs="黑体" w:hint="eastAsia"/>
                <w:kern w:val="0"/>
                <w:szCs w:val="21"/>
              </w:rPr>
            </w:pPr>
            <w:r w:rsidRPr="00B46892">
              <w:rPr>
                <w:rFonts w:ascii="黑体" w:eastAsia="黑体" w:hAnsi="黑体" w:cs="黑体"/>
                <w:kern w:val="0"/>
                <w:szCs w:val="21"/>
              </w:rPr>
              <w:t>1、</w:t>
            </w:r>
            <w:r w:rsidRPr="00B46892">
              <w:rPr>
                <w:rFonts w:ascii="黑体" w:eastAsia="黑体" w:hAnsi="黑体" w:cs="黑体"/>
                <w:b/>
                <w:kern w:val="0"/>
                <w:szCs w:val="21"/>
              </w:rPr>
              <w:t>单个投资者对本产品单个开放日的申购</w:t>
            </w:r>
            <w:r w:rsidRPr="00B46892">
              <w:rPr>
                <w:rFonts w:ascii="黑体" w:eastAsia="黑体" w:hAnsi="黑体" w:cs="黑体" w:hint="eastAsia"/>
                <w:b/>
                <w:kern w:val="0"/>
                <w:szCs w:val="21"/>
              </w:rPr>
              <w:t>金额</w:t>
            </w:r>
            <w:r w:rsidRPr="00B46892">
              <w:rPr>
                <w:rFonts w:ascii="黑体" w:eastAsia="黑体" w:hAnsi="黑体" w:cs="黑体"/>
                <w:b/>
                <w:kern w:val="0"/>
                <w:szCs w:val="21"/>
              </w:rPr>
              <w:t>上限为</w:t>
            </w:r>
            <w:r w:rsidRPr="00B46892" w:rsidR="00E47D21">
              <w:rPr>
                <w:rFonts w:ascii="黑体" w:eastAsia="黑体" w:hAnsi="黑体" w:cs="黑体" w:hint="eastAsia"/>
                <w:b/>
                <w:bCs/>
                <w:kern w:val="0"/>
                <w:szCs w:val="21"/>
              </w:rPr>
              <w:t>无上限</w:t>
            </w:r>
            <w:r w:rsidRPr="00B46892">
              <w:rPr>
                <w:rFonts w:ascii="黑体" w:eastAsia="黑体" w:hAnsi="黑体" w:cs="黑体" w:hint="eastAsia"/>
                <w:b/>
                <w:kern w:val="0"/>
                <w:szCs w:val="21"/>
              </w:rPr>
              <w:t>；</w:t>
            </w:r>
            <w:r w:rsidRPr="00B46892">
              <w:rPr>
                <w:rFonts w:ascii="黑体" w:eastAsia="黑体" w:hAnsi="黑体" w:cs="黑体" w:hint="eastAsia"/>
                <w:kern w:val="0"/>
                <w:szCs w:val="21"/>
              </w:rPr>
              <w:t>若单个投资者在单个开放日对本产品的申购金额达到上限的，产品管理人有权不再继续接受其申购；</w:t>
            </w:r>
          </w:p>
          <w:p w:rsidR="00F57BEF" w:rsidRPr="00B46892" w:rsidP="00CF32FF" w14:paraId="35A9D3AB" w14:textId="46E00889">
            <w:pPr>
              <w:autoSpaceDE w:val="0"/>
              <w:autoSpaceDN w:val="0"/>
              <w:adjustRightInd w:val="0"/>
              <w:jc w:val="left"/>
              <w:rPr>
                <w:rFonts w:ascii="黑体" w:eastAsia="黑体" w:hAnsi="黑体" w:cs="黑体" w:hint="eastAsia"/>
                <w:kern w:val="0"/>
                <w:szCs w:val="21"/>
              </w:rPr>
            </w:pPr>
            <w:r w:rsidRPr="00B46892">
              <w:rPr>
                <w:rFonts w:ascii="黑体" w:eastAsia="黑体" w:hAnsi="黑体" w:cs="黑体"/>
                <w:kern w:val="0"/>
                <w:szCs w:val="21"/>
              </w:rPr>
              <w:t>2、</w:t>
            </w:r>
            <w:r w:rsidRPr="00B46892">
              <w:rPr>
                <w:rFonts w:ascii="黑体" w:eastAsia="黑体" w:hAnsi="黑体" w:cs="黑体"/>
                <w:b/>
                <w:kern w:val="0"/>
                <w:szCs w:val="21"/>
              </w:rPr>
              <w:t>单个投资者对本产品单个开放日的赎回</w:t>
            </w:r>
            <w:r w:rsidRPr="00B46892">
              <w:rPr>
                <w:rFonts w:ascii="黑体" w:eastAsia="黑体" w:hAnsi="黑体" w:cs="黑体" w:hint="eastAsia"/>
                <w:b/>
                <w:kern w:val="0"/>
                <w:szCs w:val="21"/>
              </w:rPr>
              <w:t>份额</w:t>
            </w:r>
            <w:r w:rsidRPr="00B46892">
              <w:rPr>
                <w:rFonts w:ascii="黑体" w:eastAsia="黑体" w:hAnsi="黑体" w:cs="黑体"/>
                <w:b/>
                <w:kern w:val="0"/>
                <w:szCs w:val="21"/>
              </w:rPr>
              <w:t>上限为</w:t>
            </w:r>
            <w:r w:rsidR="006330A0">
              <w:rPr>
                <w:rFonts w:ascii="黑体" w:eastAsia="黑体" w:hAnsi="黑体" w:cs="黑体" w:hint="eastAsia"/>
                <w:b/>
                <w:bCs/>
                <w:kern w:val="0"/>
                <w:szCs w:val="21"/>
              </w:rPr>
              <w:t>2</w:t>
            </w:r>
            <w:r w:rsidR="006330A0">
              <w:rPr>
                <w:rFonts w:ascii="黑体" w:eastAsia="黑体" w:hAnsi="黑体" w:cs="黑体"/>
                <w:b/>
                <w:bCs/>
                <w:kern w:val="0"/>
                <w:szCs w:val="21"/>
              </w:rPr>
              <w:t>500</w:t>
            </w:r>
            <w:r w:rsidR="006330A0">
              <w:rPr>
                <w:rFonts w:ascii="黑体" w:eastAsia="黑体" w:hAnsi="黑体" w:cs="黑体" w:hint="eastAsia"/>
                <w:b/>
                <w:bCs/>
                <w:kern w:val="0"/>
                <w:szCs w:val="21"/>
              </w:rPr>
              <w:t>万份</w:t>
            </w:r>
            <w:r w:rsidRPr="00B46892">
              <w:rPr>
                <w:rFonts w:ascii="黑体" w:eastAsia="黑体" w:hAnsi="黑体" w:cs="黑体" w:hint="eastAsia"/>
                <w:b/>
                <w:kern w:val="0"/>
                <w:szCs w:val="21"/>
              </w:rPr>
              <w:t>；</w:t>
            </w:r>
            <w:r w:rsidRPr="00B46892">
              <w:rPr>
                <w:rFonts w:ascii="黑体" w:eastAsia="黑体" w:hAnsi="黑体" w:cs="黑体" w:hint="eastAsia"/>
                <w:kern w:val="0"/>
                <w:szCs w:val="21"/>
              </w:rPr>
              <w:t>若单个投资者在单个开放日对本产品的赎回份额达到上限的，产品管理人有权不再继续接受其赎回。</w:t>
            </w:r>
          </w:p>
        </w:tc>
      </w:tr>
      <w:tr w14:paraId="4C0C0408" w14:textId="77777777">
        <w:tblPrEx>
          <w:tblW w:w="8443" w:type="dxa"/>
          <w:tblInd w:w="-147" w:type="dxa"/>
          <w:tblLayout w:type="fixed"/>
          <w:tblLook w:val="04A0"/>
        </w:tblPrEx>
        <w:tc>
          <w:tcPr>
            <w:tcW w:w="1985" w:type="dxa"/>
            <w:vAlign w:val="center"/>
          </w:tcPr>
          <w:p w:rsidR="00F57BEF" w:rsidRPr="00B46892" w14:paraId="1CA72168"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单户</w:t>
            </w:r>
            <w:r w:rsidRPr="00B46892">
              <w:rPr>
                <w:rFonts w:ascii="黑体" w:eastAsia="黑体" w:hAnsi="黑体" w:cs="黑体"/>
                <w:kern w:val="0"/>
                <w:szCs w:val="21"/>
              </w:rPr>
              <w:t>限额</w:t>
            </w:r>
          </w:p>
        </w:tc>
        <w:tc>
          <w:tcPr>
            <w:tcW w:w="6458" w:type="dxa"/>
          </w:tcPr>
          <w:p w:rsidR="00F57BEF" w:rsidRPr="00523BFA" w14:paraId="52B94F8C" w14:textId="3EE20BC2">
            <w:pPr>
              <w:autoSpaceDE w:val="0"/>
              <w:autoSpaceDN w:val="0"/>
              <w:adjustRightInd w:val="0"/>
              <w:jc w:val="left"/>
              <w:rPr>
                <w:rFonts w:ascii="黑体" w:eastAsia="黑体" w:hAnsi="黑体" w:cs="黑体" w:hint="eastAsia"/>
                <w:kern w:val="0"/>
                <w:szCs w:val="21"/>
              </w:rPr>
            </w:pPr>
            <w:r w:rsidRPr="00AF5093">
              <w:rPr>
                <w:rFonts w:ascii="黑体" w:eastAsia="黑体" w:hAnsi="黑体" w:hint="eastAsia"/>
                <w:color w:val="000000" w:themeColor="text1"/>
                <w:kern w:val="0"/>
              </w:rPr>
              <w:t>1、</w:t>
            </w:r>
            <w:r w:rsidRPr="00AF5093">
              <w:rPr>
                <w:rFonts w:ascii="黑体" w:eastAsia="黑体" w:hAnsi="黑体" w:hint="eastAsia"/>
                <w:b/>
                <w:color w:val="000000" w:themeColor="text1"/>
                <w:kern w:val="0"/>
              </w:rPr>
              <w:t>单个投资者对本产品持有金额上限为</w:t>
            </w:r>
            <w:r w:rsidRPr="00AF5093" w:rsidR="006330A0">
              <w:rPr>
                <w:rFonts w:ascii="黑体" w:eastAsia="黑体" w:hAnsi="黑体" w:hint="eastAsia"/>
                <w:b/>
                <w:color w:val="000000" w:themeColor="text1"/>
                <w:kern w:val="0"/>
              </w:rPr>
              <w:t>1亿</w:t>
            </w:r>
            <w:r w:rsidRPr="00523BFA" w:rsidR="00056F08">
              <w:rPr>
                <w:rFonts w:ascii="黑体" w:eastAsia="黑体" w:hAnsi="黑体" w:cs="黑体"/>
                <w:b/>
                <w:bCs/>
                <w:color w:val="000000" w:themeColor="text1"/>
                <w:kern w:val="0"/>
                <w:szCs w:val="21"/>
              </w:rPr>
              <w:t>元</w:t>
            </w:r>
            <w:r w:rsidRPr="00AF5093">
              <w:rPr>
                <w:rFonts w:ascii="黑体" w:eastAsia="黑体" w:hAnsi="黑体" w:hint="eastAsia"/>
                <w:b/>
                <w:color w:val="000000" w:themeColor="text1"/>
                <w:kern w:val="0"/>
              </w:rPr>
              <w:t>；</w:t>
            </w:r>
            <w:r w:rsidRPr="00523BFA">
              <w:rPr>
                <w:rFonts w:ascii="黑体" w:eastAsia="黑体" w:hAnsi="黑体" w:cs="黑体" w:hint="eastAsia"/>
                <w:kern w:val="0"/>
                <w:szCs w:val="21"/>
              </w:rPr>
              <w:t>若</w:t>
            </w:r>
            <w:r w:rsidRPr="00523BFA">
              <w:rPr>
                <w:rFonts w:ascii="黑体" w:eastAsia="黑体" w:hAnsi="黑体" w:cs="黑体"/>
                <w:kern w:val="0"/>
                <w:szCs w:val="21"/>
              </w:rPr>
              <w:t>单个投资者</w:t>
            </w:r>
            <w:r w:rsidRPr="00523BFA">
              <w:rPr>
                <w:rFonts w:ascii="黑体" w:eastAsia="黑体" w:hAnsi="黑体" w:cs="黑体" w:hint="eastAsia"/>
                <w:kern w:val="0"/>
                <w:szCs w:val="21"/>
              </w:rPr>
              <w:t>对</w:t>
            </w:r>
            <w:r w:rsidRPr="00523BFA">
              <w:rPr>
                <w:rFonts w:ascii="黑体" w:eastAsia="黑体" w:hAnsi="黑体" w:cs="黑体"/>
                <w:kern w:val="0"/>
                <w:szCs w:val="21"/>
              </w:rPr>
              <w:t>本产品</w:t>
            </w:r>
            <w:r w:rsidRPr="00523BFA">
              <w:rPr>
                <w:rFonts w:ascii="黑体" w:eastAsia="黑体" w:hAnsi="黑体" w:cs="黑体" w:hint="eastAsia"/>
                <w:kern w:val="0"/>
                <w:szCs w:val="21"/>
              </w:rPr>
              <w:t>持有金额</w:t>
            </w:r>
            <w:r w:rsidRPr="00523BFA">
              <w:rPr>
                <w:rFonts w:ascii="黑体" w:eastAsia="黑体" w:hAnsi="黑体" w:cs="黑体"/>
                <w:kern w:val="0"/>
                <w:szCs w:val="21"/>
              </w:rPr>
              <w:t>达到上限的，</w:t>
            </w:r>
            <w:r w:rsidRPr="00523BFA">
              <w:rPr>
                <w:rFonts w:ascii="黑体" w:eastAsia="黑体" w:hAnsi="黑体" w:cs="黑体" w:hint="eastAsia"/>
                <w:kern w:val="0"/>
                <w:szCs w:val="21"/>
              </w:rPr>
              <w:t>产品</w:t>
            </w:r>
            <w:r w:rsidRPr="00523BFA">
              <w:rPr>
                <w:rFonts w:ascii="黑体" w:eastAsia="黑体" w:hAnsi="黑体" w:cs="黑体"/>
                <w:kern w:val="0"/>
                <w:szCs w:val="21"/>
              </w:rPr>
              <w:t>管理人</w:t>
            </w:r>
            <w:r w:rsidRPr="00523BFA" w:rsidR="0027427C">
              <w:rPr>
                <w:rFonts w:ascii="黑体" w:eastAsia="黑体" w:hAnsi="黑体" w:cs="黑体" w:hint="eastAsia"/>
                <w:kern w:val="0"/>
                <w:szCs w:val="21"/>
              </w:rPr>
              <w:t>有权</w:t>
            </w:r>
            <w:r w:rsidRPr="00523BFA">
              <w:rPr>
                <w:rFonts w:ascii="黑体" w:eastAsia="黑体" w:hAnsi="黑体" w:cs="黑体"/>
                <w:kern w:val="0"/>
                <w:szCs w:val="21"/>
              </w:rPr>
              <w:t>不再继续</w:t>
            </w:r>
            <w:r w:rsidRPr="00523BFA">
              <w:rPr>
                <w:rFonts w:ascii="黑体" w:eastAsia="黑体" w:hAnsi="黑体" w:cs="黑体" w:hint="eastAsia"/>
                <w:kern w:val="0"/>
                <w:szCs w:val="21"/>
              </w:rPr>
              <w:t>接受其</w:t>
            </w:r>
            <w:r w:rsidRPr="00523BFA">
              <w:rPr>
                <w:rFonts w:ascii="黑体" w:eastAsia="黑体" w:hAnsi="黑体" w:cs="黑体"/>
                <w:kern w:val="0"/>
                <w:szCs w:val="21"/>
              </w:rPr>
              <w:t>认</w:t>
            </w:r>
            <w:r w:rsidRPr="00523BFA">
              <w:rPr>
                <w:rFonts w:ascii="黑体" w:eastAsia="黑体" w:hAnsi="黑体" w:cs="黑体" w:hint="eastAsia"/>
                <w:kern w:val="0"/>
                <w:szCs w:val="21"/>
              </w:rPr>
              <w:t>（申）购；</w:t>
            </w:r>
            <w:r w:rsidRPr="00523BFA" w:rsidR="00DB26AB">
              <w:rPr>
                <w:rFonts w:ascii="黑体" w:eastAsia="黑体" w:hAnsi="黑体" w:cs="黑体" w:hint="eastAsia"/>
                <w:kern w:val="0"/>
                <w:szCs w:val="21"/>
              </w:rPr>
              <w:t>若单个投资者对本产品持有金额达到上限以后</w:t>
            </w:r>
            <w:r w:rsidRPr="00523BFA" w:rsidR="00DB26AB">
              <w:rPr>
                <w:rFonts w:ascii="黑体" w:eastAsia="黑体" w:hAnsi="黑体" w:cs="黑体" w:hint="eastAsia"/>
                <w:kern w:val="0"/>
                <w:szCs w:val="21"/>
              </w:rPr>
              <w:t>仍有认</w:t>
            </w:r>
            <w:r w:rsidRPr="00523BFA" w:rsidR="00DB26AB">
              <w:rPr>
                <w:rFonts w:ascii="黑体" w:eastAsia="黑体" w:hAnsi="黑体" w:cs="黑体" w:hint="eastAsia"/>
                <w:kern w:val="0"/>
                <w:szCs w:val="21"/>
              </w:rPr>
              <w:t xml:space="preserve"> (申)购需求的，可咨询本产品销售机构各营业网点或通过电话方式</w:t>
            </w:r>
            <w:r w:rsidRPr="00523BFA" w:rsidR="00DB26AB">
              <w:rPr>
                <w:rFonts w:ascii="黑体" w:eastAsia="黑体" w:hAnsi="黑体" w:cs="黑体" w:hint="eastAsia"/>
                <w:kern w:val="0"/>
                <w:szCs w:val="21"/>
              </w:rPr>
              <w:t>咨询其客服</w:t>
            </w:r>
            <w:r w:rsidRPr="00523BFA" w:rsidR="00DB26AB">
              <w:rPr>
                <w:rFonts w:ascii="黑体" w:eastAsia="黑体" w:hAnsi="黑体" w:cs="黑体" w:hint="eastAsia"/>
                <w:kern w:val="0"/>
                <w:szCs w:val="21"/>
              </w:rPr>
              <w:t>热线，产品管理人将审慎分析</w:t>
            </w:r>
            <w:r w:rsidRPr="00523BFA" w:rsidR="00DB26AB">
              <w:rPr>
                <w:rFonts w:ascii="黑体" w:eastAsia="黑体" w:hAnsi="黑体" w:cs="黑体" w:hint="eastAsia"/>
                <w:kern w:val="0"/>
                <w:szCs w:val="21"/>
              </w:rPr>
              <w:t>评估其认</w:t>
            </w:r>
            <w:r w:rsidRPr="00523BFA" w:rsidR="00DB26AB">
              <w:rPr>
                <w:rFonts w:ascii="黑体" w:eastAsia="黑体" w:hAnsi="黑体" w:cs="黑体" w:hint="eastAsia"/>
                <w:kern w:val="0"/>
                <w:szCs w:val="21"/>
              </w:rPr>
              <w:t xml:space="preserve"> (申)购申请，当继续</w:t>
            </w:r>
            <w:r w:rsidRPr="00523BFA" w:rsidR="00DB26AB">
              <w:rPr>
                <w:rFonts w:ascii="黑体" w:eastAsia="黑体" w:hAnsi="黑体" w:cs="黑体" w:hint="eastAsia"/>
                <w:kern w:val="0"/>
                <w:szCs w:val="21"/>
              </w:rPr>
              <w:t>接受其认</w:t>
            </w:r>
            <w:r w:rsidRPr="00523BFA" w:rsidR="00DB26AB">
              <w:rPr>
                <w:rFonts w:ascii="黑体" w:eastAsia="黑体" w:hAnsi="黑体" w:cs="黑体" w:hint="eastAsia"/>
                <w:kern w:val="0"/>
                <w:szCs w:val="21"/>
              </w:rPr>
              <w:t xml:space="preserve"> (申)</w:t>
            </w:r>
            <w:r w:rsidRPr="00523BFA" w:rsidR="00DB26AB">
              <w:rPr>
                <w:rFonts w:ascii="黑体" w:eastAsia="黑体" w:hAnsi="黑体" w:cs="黑体" w:hint="eastAsia"/>
                <w:kern w:val="0"/>
                <w:szCs w:val="21"/>
              </w:rPr>
              <w:t>购可能</w:t>
            </w:r>
            <w:r w:rsidRPr="00523BFA" w:rsidR="00DB26AB">
              <w:rPr>
                <w:rFonts w:ascii="黑体" w:eastAsia="黑体" w:hAnsi="黑体" w:cs="黑体" w:hint="eastAsia"/>
                <w:kern w:val="0"/>
                <w:szCs w:val="21"/>
              </w:rPr>
              <w:t>对理财产品存量投资者利益构成重大不利影响时，或者基于投资运作与风险控制需要，产品管理人有权不再继续</w:t>
            </w:r>
            <w:r w:rsidRPr="00523BFA" w:rsidR="00DB26AB">
              <w:rPr>
                <w:rFonts w:ascii="黑体" w:eastAsia="黑体" w:hAnsi="黑体" w:cs="黑体" w:hint="eastAsia"/>
                <w:kern w:val="0"/>
                <w:szCs w:val="21"/>
              </w:rPr>
              <w:t>接受其认</w:t>
            </w:r>
            <w:r w:rsidRPr="00523BFA" w:rsidR="00DB26AB">
              <w:rPr>
                <w:rFonts w:ascii="黑体" w:eastAsia="黑体" w:hAnsi="黑体" w:cs="黑体" w:hint="eastAsia"/>
                <w:kern w:val="0"/>
                <w:szCs w:val="21"/>
              </w:rPr>
              <w:t xml:space="preserve"> (申)购。</w:t>
            </w:r>
          </w:p>
          <w:p w:rsidR="00D81F27" w:rsidRPr="00B46892" w:rsidP="00B171F8" w14:paraId="60E6FCB2" w14:textId="0F42044D">
            <w:pPr>
              <w:autoSpaceDE w:val="0"/>
              <w:autoSpaceDN w:val="0"/>
              <w:adjustRightInd w:val="0"/>
              <w:jc w:val="left"/>
              <w:rPr>
                <w:rFonts w:ascii="黑体" w:hAnsi="黑体" w:hint="eastAsia"/>
                <w:kern w:val="0"/>
              </w:rPr>
            </w:pPr>
            <w:r w:rsidRPr="00B46892">
              <w:rPr>
                <w:rFonts w:ascii="黑体" w:eastAsia="黑体" w:hAnsi="黑体" w:cs="黑体" w:hint="eastAsia"/>
                <w:kern w:val="0"/>
                <w:szCs w:val="21"/>
              </w:rPr>
              <w:t>非因产品管理人主观因素导致</w:t>
            </w:r>
            <w:r w:rsidRPr="00B46892">
              <w:rPr>
                <w:rFonts w:ascii="黑体" w:eastAsia="黑体" w:hAnsi="黑体" w:cs="黑体"/>
                <w:kern w:val="0"/>
                <w:szCs w:val="21"/>
              </w:rPr>
              <w:t>单</w:t>
            </w:r>
            <w:r w:rsidRPr="00B46892" w:rsidR="00384987">
              <w:rPr>
                <w:rFonts w:ascii="黑体" w:eastAsia="黑体" w:hAnsi="黑体" w:cs="黑体" w:hint="eastAsia"/>
                <w:kern w:val="0"/>
                <w:szCs w:val="21"/>
              </w:rPr>
              <w:t>一</w:t>
            </w:r>
            <w:r w:rsidRPr="00B46892">
              <w:rPr>
                <w:rFonts w:ascii="黑体" w:eastAsia="黑体" w:hAnsi="黑体" w:cs="黑体"/>
                <w:kern w:val="0"/>
                <w:szCs w:val="21"/>
              </w:rPr>
              <w:t>投资者持有份额比例超过</w:t>
            </w:r>
            <w:r w:rsidRPr="00B46892">
              <w:rPr>
                <w:rFonts w:ascii="黑体" w:eastAsia="黑体" w:hAnsi="黑体" w:cs="黑体" w:hint="eastAsia"/>
                <w:kern w:val="0"/>
                <w:szCs w:val="21"/>
              </w:rPr>
              <w:t>总份额</w:t>
            </w:r>
            <w:r w:rsidRPr="00B46892">
              <w:rPr>
                <w:rFonts w:ascii="黑体" w:eastAsia="黑体" w:hAnsi="黑体" w:cs="黑体"/>
                <w:kern w:val="0"/>
                <w:szCs w:val="21"/>
              </w:rPr>
              <w:t>的50%</w:t>
            </w:r>
            <w:r w:rsidRPr="00B46892">
              <w:rPr>
                <w:rFonts w:ascii="黑体" w:eastAsia="黑体" w:hAnsi="黑体" w:cs="黑体" w:hint="eastAsia"/>
                <w:kern w:val="0"/>
                <w:szCs w:val="21"/>
              </w:rPr>
              <w:t>（含</w:t>
            </w:r>
            <w:r w:rsidRPr="00B46892">
              <w:rPr>
                <w:rFonts w:ascii="黑体" w:eastAsia="黑体" w:hAnsi="黑体" w:cs="黑体"/>
                <w:kern w:val="0"/>
                <w:szCs w:val="21"/>
              </w:rPr>
              <w:t>）时，</w:t>
            </w:r>
            <w:r w:rsidRPr="00B46892">
              <w:rPr>
                <w:rFonts w:ascii="黑体" w:eastAsia="黑体" w:hAnsi="黑体" w:cs="黑体" w:hint="eastAsia"/>
                <w:kern w:val="0"/>
                <w:szCs w:val="21"/>
              </w:rPr>
              <w:t>产品</w:t>
            </w:r>
            <w:r w:rsidRPr="00B46892">
              <w:rPr>
                <w:rFonts w:ascii="黑体" w:eastAsia="黑体" w:hAnsi="黑体" w:cs="黑体"/>
                <w:kern w:val="0"/>
                <w:szCs w:val="21"/>
              </w:rPr>
              <w:t>管理人</w:t>
            </w:r>
            <w:r w:rsidRPr="00B46892">
              <w:rPr>
                <w:rFonts w:ascii="黑体" w:eastAsia="黑体" w:hAnsi="黑体" w:cs="黑体" w:hint="eastAsia"/>
                <w:kern w:val="0"/>
                <w:szCs w:val="21"/>
              </w:rPr>
              <w:t>将暂停接受</w:t>
            </w:r>
            <w:r w:rsidRPr="00B46892">
              <w:rPr>
                <w:rFonts w:ascii="黑体" w:eastAsia="黑体" w:hAnsi="黑体" w:cs="黑体"/>
                <w:kern w:val="0"/>
                <w:szCs w:val="21"/>
              </w:rPr>
              <w:t>其</w:t>
            </w:r>
            <w:r w:rsidRPr="00B46892">
              <w:rPr>
                <w:rFonts w:ascii="黑体" w:eastAsia="黑体" w:hAnsi="黑体" w:cs="黑体" w:hint="eastAsia"/>
                <w:kern w:val="0"/>
                <w:szCs w:val="21"/>
              </w:rPr>
              <w:t>认（</w:t>
            </w:r>
            <w:r w:rsidRPr="00B46892">
              <w:rPr>
                <w:rFonts w:ascii="黑体" w:eastAsia="黑体" w:hAnsi="黑体" w:cs="黑体"/>
                <w:kern w:val="0"/>
                <w:szCs w:val="21"/>
              </w:rPr>
              <w:t>申</w:t>
            </w:r>
            <w:r w:rsidRPr="00B46892">
              <w:rPr>
                <w:rFonts w:ascii="黑体" w:eastAsia="黑体" w:hAnsi="黑体" w:cs="黑体" w:hint="eastAsia"/>
                <w:kern w:val="0"/>
                <w:szCs w:val="21"/>
              </w:rPr>
              <w:t>）</w:t>
            </w:r>
            <w:r w:rsidRPr="00B46892">
              <w:rPr>
                <w:rFonts w:ascii="黑体" w:eastAsia="黑体" w:hAnsi="黑体" w:cs="黑体"/>
                <w:kern w:val="0"/>
                <w:szCs w:val="21"/>
              </w:rPr>
              <w:t>购申请</w:t>
            </w:r>
            <w:r w:rsidRPr="00B46892">
              <w:rPr>
                <w:rFonts w:ascii="黑体" w:hAnsi="黑体"/>
                <w:kern w:val="0"/>
              </w:rPr>
              <w:t>。</w:t>
            </w:r>
          </w:p>
          <w:p w:rsidR="00F57BEF" w:rsidRPr="00B46892" w:rsidP="003A6329" w14:paraId="3184BB23" w14:textId="72ABB2CB">
            <w:pPr>
              <w:rPr>
                <w:rFonts w:ascii="黑体" w:eastAsia="黑体" w:hAnsi="黑体" w:hint="eastAsia"/>
                <w:szCs w:val="21"/>
              </w:rPr>
            </w:pPr>
            <w:r w:rsidRPr="00B46892">
              <w:rPr>
                <w:rFonts w:ascii="黑体" w:eastAsia="黑体" w:hAnsi="黑体" w:cs="黑体"/>
                <w:kern w:val="0"/>
                <w:szCs w:val="21"/>
              </w:rPr>
              <w:t>2</w:t>
            </w:r>
            <w:r w:rsidRPr="00B46892">
              <w:rPr>
                <w:rFonts w:ascii="黑体" w:eastAsia="黑体" w:hAnsi="黑体" w:cs="黑体" w:hint="eastAsia"/>
                <w:kern w:val="0"/>
                <w:szCs w:val="21"/>
              </w:rPr>
              <w:t>、</w:t>
            </w:r>
            <w:r w:rsidRPr="00B46892">
              <w:rPr>
                <w:rFonts w:ascii="黑体" w:eastAsia="黑体" w:hAnsi="黑体" w:cs="黑体" w:hint="eastAsia"/>
                <w:b/>
                <w:kern w:val="0"/>
                <w:szCs w:val="21"/>
              </w:rPr>
              <w:t>单个投资者对本产品</w:t>
            </w:r>
            <w:r w:rsidRPr="00B46892">
              <w:rPr>
                <w:rFonts w:ascii="黑体" w:eastAsia="黑体" w:hAnsi="黑体" w:cs="黑体"/>
                <w:b/>
                <w:kern w:val="0"/>
                <w:szCs w:val="21"/>
              </w:rPr>
              <w:t>的</w:t>
            </w:r>
            <w:r w:rsidRPr="00B46892" w:rsidR="00056F08">
              <w:rPr>
                <w:rFonts w:ascii="黑体" w:eastAsia="黑体" w:hAnsi="黑体" w:cs="黑体" w:hint="eastAsia"/>
                <w:b/>
                <w:bCs/>
                <w:kern w:val="0"/>
                <w:szCs w:val="21"/>
              </w:rPr>
              <w:t>每类份额最低持有金额为</w:t>
            </w:r>
            <w:r w:rsidRPr="00B46892" w:rsidR="00056F08">
              <w:rPr>
                <w:rFonts w:ascii="黑体" w:eastAsia="黑体" w:hAnsi="黑体" w:cs="黑体"/>
                <w:b/>
                <w:bCs/>
                <w:kern w:val="0"/>
                <w:szCs w:val="21"/>
              </w:rPr>
              <w:t>0.01元</w:t>
            </w:r>
            <w:r w:rsidRPr="00B46892">
              <w:rPr>
                <w:rFonts w:ascii="黑体" w:eastAsia="黑体" w:hAnsi="黑体" w:cs="黑体"/>
                <w:b/>
                <w:kern w:val="0"/>
                <w:szCs w:val="21"/>
              </w:rPr>
              <w:t>，</w:t>
            </w:r>
            <w:r w:rsidRPr="00B46892">
              <w:rPr>
                <w:rFonts w:ascii="黑体" w:eastAsia="黑体" w:hAnsi="黑体" w:cs="黑体"/>
                <w:kern w:val="0"/>
                <w:szCs w:val="21"/>
              </w:rPr>
              <w:t>若投资</w:t>
            </w:r>
            <w:r w:rsidRPr="00B46892">
              <w:rPr>
                <w:rFonts w:ascii="黑体" w:eastAsia="黑体" w:hAnsi="黑体" w:cs="黑体"/>
                <w:kern w:val="0"/>
                <w:szCs w:val="21"/>
              </w:rPr>
              <w:t>者持有不足该</w:t>
            </w:r>
            <w:r w:rsidRPr="00B46892">
              <w:rPr>
                <w:rFonts w:ascii="黑体" w:eastAsia="黑体" w:hAnsi="黑体" w:cs="黑体" w:hint="eastAsia"/>
                <w:kern w:val="0"/>
                <w:szCs w:val="21"/>
              </w:rPr>
              <w:t>金额</w:t>
            </w:r>
            <w:r w:rsidRPr="00B46892">
              <w:rPr>
                <w:rFonts w:ascii="黑体" w:eastAsia="黑体" w:hAnsi="黑体" w:cs="黑体"/>
                <w:kern w:val="0"/>
                <w:szCs w:val="21"/>
              </w:rPr>
              <w:t>时</w:t>
            </w:r>
            <w:r w:rsidRPr="00B46892">
              <w:rPr>
                <w:rFonts w:ascii="黑体" w:eastAsia="黑体" w:hAnsi="黑体" w:cs="黑体" w:hint="eastAsia"/>
                <w:kern w:val="0"/>
                <w:szCs w:val="21"/>
              </w:rPr>
              <w:t>，产品管理人可对投资者持有的产品剩余金额进行强制赎回。</w:t>
            </w:r>
          </w:p>
        </w:tc>
      </w:tr>
      <w:tr w14:paraId="7F5797D7" w14:textId="77777777">
        <w:tblPrEx>
          <w:tblW w:w="8443" w:type="dxa"/>
          <w:tblInd w:w="-147" w:type="dxa"/>
          <w:tblLayout w:type="fixed"/>
          <w:tblLook w:val="04A0"/>
        </w:tblPrEx>
        <w:tc>
          <w:tcPr>
            <w:tcW w:w="1985" w:type="dxa"/>
            <w:vAlign w:val="center"/>
          </w:tcPr>
          <w:p w:rsidR="00F57BEF" w:rsidRPr="00B46892" w14:paraId="04038A57"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销售</w:t>
            </w:r>
            <w:r w:rsidRPr="00B46892">
              <w:rPr>
                <w:rFonts w:ascii="黑体" w:eastAsia="黑体" w:hAnsi="黑体" w:cs="黑体"/>
                <w:kern w:val="0"/>
                <w:szCs w:val="21"/>
              </w:rPr>
              <w:t>区域</w:t>
            </w:r>
          </w:p>
        </w:tc>
        <w:tc>
          <w:tcPr>
            <w:tcW w:w="6458" w:type="dxa"/>
          </w:tcPr>
          <w:p w:rsidR="00F57BEF" w:rsidRPr="00B46892" w14:paraId="16DEE082" w14:textId="0C5B3DB5">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全国（不含港澳台地区）</w:t>
            </w:r>
          </w:p>
        </w:tc>
      </w:tr>
      <w:tr w14:paraId="5B19DDDA" w14:textId="77777777">
        <w:tblPrEx>
          <w:tblW w:w="8443" w:type="dxa"/>
          <w:tblInd w:w="-147" w:type="dxa"/>
          <w:tblLayout w:type="fixed"/>
          <w:tblLook w:val="04A0"/>
        </w:tblPrEx>
        <w:tc>
          <w:tcPr>
            <w:tcW w:w="1985" w:type="dxa"/>
            <w:vAlign w:val="center"/>
          </w:tcPr>
          <w:p w:rsidR="00F57BEF" w:rsidRPr="00B46892" w14:paraId="5E691148"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管理</w:t>
            </w:r>
            <w:r w:rsidRPr="00B46892">
              <w:rPr>
                <w:rFonts w:ascii="黑体" w:eastAsia="黑体" w:hAnsi="黑体" w:cs="黑体"/>
                <w:kern w:val="0"/>
                <w:szCs w:val="21"/>
              </w:rPr>
              <w:t>机构</w:t>
            </w:r>
            <w:r w:rsidRPr="00B46892">
              <w:rPr>
                <w:rFonts w:ascii="黑体" w:eastAsia="黑体" w:hAnsi="黑体" w:cs="黑体" w:hint="eastAsia"/>
                <w:kern w:val="0"/>
                <w:szCs w:val="21"/>
              </w:rPr>
              <w:t>/产品</w:t>
            </w:r>
            <w:r w:rsidRPr="00B46892">
              <w:rPr>
                <w:rFonts w:ascii="黑体" w:eastAsia="黑体" w:hAnsi="黑体" w:cs="黑体"/>
                <w:kern w:val="0"/>
                <w:szCs w:val="21"/>
              </w:rPr>
              <w:t>管理人</w:t>
            </w:r>
          </w:p>
        </w:tc>
        <w:tc>
          <w:tcPr>
            <w:tcW w:w="6458" w:type="dxa"/>
          </w:tcPr>
          <w:p w:rsidR="00F57BEF" w:rsidRPr="00B46892" w14:paraId="7FC8F2DC"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宁银理财</w:t>
            </w:r>
            <w:r w:rsidRPr="00B46892">
              <w:rPr>
                <w:rFonts w:ascii="黑体" w:eastAsia="黑体" w:hAnsi="黑体" w:cs="黑体"/>
                <w:kern w:val="0"/>
                <w:szCs w:val="21"/>
              </w:rPr>
              <w:t>有限责任公司</w:t>
            </w:r>
          </w:p>
        </w:tc>
      </w:tr>
      <w:tr w14:paraId="57469E73" w14:textId="77777777">
        <w:tblPrEx>
          <w:tblW w:w="8443" w:type="dxa"/>
          <w:tblInd w:w="-147" w:type="dxa"/>
          <w:tblLayout w:type="fixed"/>
          <w:tblLook w:val="04A0"/>
        </w:tblPrEx>
        <w:tc>
          <w:tcPr>
            <w:tcW w:w="1985" w:type="dxa"/>
            <w:vAlign w:val="center"/>
          </w:tcPr>
          <w:p w:rsidR="00F57BEF" w:rsidRPr="00B46892" w14:paraId="0A60DED2"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销售</w:t>
            </w:r>
            <w:r w:rsidRPr="00B46892">
              <w:rPr>
                <w:rFonts w:ascii="黑体" w:eastAsia="黑体" w:hAnsi="黑体" w:cs="黑体"/>
                <w:kern w:val="0"/>
                <w:szCs w:val="21"/>
              </w:rPr>
              <w:t>机构</w:t>
            </w:r>
          </w:p>
        </w:tc>
        <w:tc>
          <w:tcPr>
            <w:tcW w:w="6458" w:type="dxa"/>
          </w:tcPr>
          <w:p w:rsidR="00F57BEF" w:rsidRPr="00CA2BF1" w:rsidP="00C542B4" w14:paraId="4150E3F9" w14:textId="7259E945">
            <w:pPr>
              <w:rPr>
                <w:rFonts w:ascii="黑体" w:eastAsia="黑体" w:hAnsi="黑体" w:cs="黑体" w:hint="eastAsia"/>
                <w:kern w:val="0"/>
                <w:szCs w:val="21"/>
              </w:rPr>
            </w:pPr>
            <w:r w:rsidRPr="00B46892">
              <w:rPr>
                <w:rFonts w:ascii="黑体" w:eastAsia="黑体" w:hAnsi="黑体" w:cs="黑体" w:hint="eastAsia"/>
                <w:kern w:val="0"/>
                <w:szCs w:val="21"/>
              </w:rPr>
              <w:t>宁银理财</w:t>
            </w:r>
            <w:r w:rsidRPr="00B46892">
              <w:rPr>
                <w:rFonts w:ascii="黑体" w:eastAsia="黑体" w:hAnsi="黑体" w:cs="黑体"/>
                <w:kern w:val="0"/>
                <w:szCs w:val="21"/>
              </w:rPr>
              <w:t>有限责任公司</w:t>
            </w:r>
            <w:r w:rsidR="00F531A8">
              <w:rPr>
                <w:rFonts w:ascii="黑体" w:eastAsia="黑体" w:hAnsi="黑体" w:cs="黑体" w:hint="eastAsia"/>
                <w:kern w:val="0"/>
                <w:szCs w:val="21"/>
              </w:rPr>
              <w:t>、九江</w:t>
            </w:r>
            <w:r w:rsidRPr="009A1C14" w:rsidR="00F531A8">
              <w:rPr>
                <w:rFonts w:ascii="黑体" w:eastAsia="黑体" w:hAnsi="黑体" w:cs="黑体" w:hint="eastAsia"/>
                <w:kern w:val="0"/>
                <w:szCs w:val="21"/>
              </w:rPr>
              <w:t>银行股份有限公司</w:t>
            </w:r>
            <w:r w:rsidR="00F531A8">
              <w:rPr>
                <w:rFonts w:ascii="黑体" w:eastAsia="黑体" w:hAnsi="黑体" w:cs="黑体" w:hint="eastAsia"/>
                <w:kern w:val="0"/>
                <w:szCs w:val="21"/>
              </w:rPr>
              <w:t>、</w:t>
            </w:r>
            <w:r w:rsidRPr="009A1C14" w:rsidR="00F531A8">
              <w:rPr>
                <w:rFonts w:ascii="黑体" w:eastAsia="黑体" w:hAnsi="黑体" w:cs="黑体" w:hint="eastAsia"/>
                <w:kern w:val="0"/>
                <w:szCs w:val="21"/>
              </w:rPr>
              <w:t>宁波银行股份有限公司、</w:t>
            </w:r>
            <w:r w:rsidRPr="00CC1305" w:rsidR="00F531A8">
              <w:rPr>
                <w:rFonts w:ascii="黑体" w:eastAsia="黑体" w:hAnsi="黑体" w:cs="黑体" w:hint="eastAsia"/>
                <w:kern w:val="0"/>
                <w:szCs w:val="21"/>
              </w:rPr>
              <w:t>苏州银行股份有限公司</w:t>
            </w:r>
            <w:r w:rsidR="008938BB">
              <w:rPr>
                <w:rFonts w:ascii="黑体" w:eastAsia="黑体" w:hAnsi="黑体" w:cs="黑体" w:hint="eastAsia"/>
                <w:kern w:val="0"/>
                <w:szCs w:val="21"/>
              </w:rPr>
              <w:t>、</w:t>
            </w:r>
            <w:r w:rsidRPr="008938BB" w:rsidR="008938BB">
              <w:rPr>
                <w:rFonts w:ascii="黑体" w:eastAsia="黑体" w:hAnsi="黑体" w:cs="黑体" w:hint="eastAsia"/>
                <w:kern w:val="0"/>
                <w:szCs w:val="21"/>
              </w:rPr>
              <w:t>上海银行股份有限公司</w:t>
            </w:r>
            <w:r w:rsidR="008938BB">
              <w:rPr>
                <w:rFonts w:ascii="黑体" w:eastAsia="黑体" w:hAnsi="黑体" w:cs="黑体" w:hint="eastAsia"/>
                <w:kern w:val="0"/>
                <w:szCs w:val="21"/>
              </w:rPr>
              <w:t>、</w:t>
            </w:r>
            <w:r w:rsidRPr="00003B2C" w:rsidR="00003B2C">
              <w:rPr>
                <w:rFonts w:ascii="黑体" w:eastAsia="黑体" w:hAnsi="黑体" w:cs="黑体" w:hint="eastAsia"/>
                <w:kern w:val="0"/>
                <w:szCs w:val="21"/>
              </w:rPr>
              <w:t>威海银行股份有限公司</w:t>
            </w:r>
            <w:r w:rsidR="008938BB">
              <w:rPr>
                <w:rFonts w:ascii="黑体" w:eastAsia="黑体" w:hAnsi="黑体" w:cs="黑体" w:hint="eastAsia"/>
                <w:kern w:val="0"/>
                <w:szCs w:val="21"/>
              </w:rPr>
              <w:t>、</w:t>
            </w:r>
            <w:r w:rsidRPr="008938BB" w:rsidR="008938BB">
              <w:rPr>
                <w:rFonts w:ascii="黑体" w:eastAsia="黑体" w:hAnsi="黑体" w:cs="黑体" w:hint="eastAsia"/>
                <w:kern w:val="0"/>
                <w:szCs w:val="21"/>
              </w:rPr>
              <w:t>绍兴银行股份有限公司</w:t>
            </w:r>
            <w:r w:rsidR="00743178">
              <w:rPr>
                <w:rFonts w:ascii="黑体" w:eastAsia="黑体" w:hAnsi="黑体" w:cs="黑体" w:hint="eastAsia"/>
                <w:kern w:val="0"/>
                <w:szCs w:val="21"/>
              </w:rPr>
              <w:t>、</w:t>
            </w:r>
            <w:r w:rsidRPr="00743178" w:rsidR="00743178">
              <w:rPr>
                <w:rFonts w:ascii="黑体" w:eastAsia="黑体" w:hAnsi="黑体" w:cs="黑体" w:hint="eastAsia"/>
                <w:kern w:val="0"/>
                <w:szCs w:val="21"/>
              </w:rPr>
              <w:t>兴业银行股份有限公司</w:t>
            </w:r>
            <w:r w:rsidR="00743178">
              <w:rPr>
                <w:rFonts w:ascii="黑体" w:eastAsia="黑体" w:hAnsi="黑体" w:cs="黑体" w:hint="eastAsia"/>
                <w:kern w:val="0"/>
                <w:szCs w:val="21"/>
              </w:rPr>
              <w:t>、</w:t>
            </w:r>
            <w:r w:rsidRPr="00743178" w:rsidR="00743178">
              <w:rPr>
                <w:rFonts w:ascii="黑体" w:eastAsia="黑体" w:hAnsi="黑体" w:cs="黑体" w:hint="eastAsia"/>
                <w:kern w:val="0"/>
                <w:szCs w:val="21"/>
              </w:rPr>
              <w:t>交通银行股份有限公司</w:t>
            </w:r>
            <w:r w:rsidR="00B0323A">
              <w:rPr>
                <w:rFonts w:ascii="黑体" w:eastAsia="黑体" w:hAnsi="黑体" w:cs="黑体" w:hint="eastAsia"/>
                <w:kern w:val="0"/>
                <w:szCs w:val="21"/>
              </w:rPr>
              <w:t>、甘肃银行股份有限公司</w:t>
            </w:r>
            <w:r w:rsidR="00CA2BF1">
              <w:rPr>
                <w:rFonts w:ascii="黑体" w:eastAsia="黑体" w:hAnsi="黑体" w:cs="黑体" w:hint="eastAsia"/>
                <w:kern w:val="0"/>
                <w:szCs w:val="21"/>
              </w:rPr>
              <w:t>、</w:t>
            </w:r>
            <w:r w:rsidRPr="00CA2BF1" w:rsidR="00CA2BF1">
              <w:rPr>
                <w:rFonts w:ascii="黑体" w:eastAsia="黑体" w:hAnsi="黑体" w:cs="黑体" w:hint="eastAsia"/>
                <w:kern w:val="0"/>
                <w:szCs w:val="21"/>
              </w:rPr>
              <w:t>广东华兴银行股份有限公司</w:t>
            </w:r>
            <w:r w:rsidR="007710B4">
              <w:rPr>
                <w:rFonts w:ascii="黑体" w:eastAsia="黑体" w:hAnsi="黑体" w:cs="黑体" w:hint="eastAsia"/>
                <w:kern w:val="0"/>
                <w:szCs w:val="21"/>
              </w:rPr>
              <w:t>、</w:t>
            </w:r>
            <w:r w:rsidRPr="00C10469" w:rsidR="00C10469">
              <w:rPr>
                <w:rFonts w:ascii="黑体" w:eastAsia="黑体" w:hAnsi="黑体" w:cs="黑体" w:hint="eastAsia"/>
                <w:kern w:val="0"/>
                <w:szCs w:val="21"/>
              </w:rPr>
              <w:t>莱</w:t>
            </w:r>
            <w:r w:rsidRPr="00C10469" w:rsidR="00C10469">
              <w:rPr>
                <w:rFonts w:ascii="黑体" w:eastAsia="黑体" w:hAnsi="黑体" w:cs="黑体" w:hint="eastAsia"/>
                <w:kern w:val="0"/>
                <w:szCs w:val="21"/>
              </w:rPr>
              <w:t>商银行股份有限公司</w:t>
            </w:r>
            <w:r w:rsidR="00331B10">
              <w:rPr>
                <w:rFonts w:ascii="黑体" w:eastAsia="黑体" w:hAnsi="黑体" w:cs="黑体" w:hint="eastAsia"/>
                <w:kern w:val="0"/>
                <w:szCs w:val="21"/>
              </w:rPr>
              <w:t>、</w:t>
            </w:r>
            <w:r w:rsidRPr="0091403B" w:rsidR="00331B10">
              <w:rPr>
                <w:rFonts w:ascii="黑体" w:eastAsia="黑体" w:hAnsi="黑体" w:cs="宋体" w:hint="eastAsia"/>
                <w:kern w:val="0"/>
                <w:szCs w:val="21"/>
              </w:rPr>
              <w:t>江苏常熟农村商业银行股份有限公司</w:t>
            </w:r>
            <w:r w:rsidR="00A06E5F">
              <w:rPr>
                <w:rFonts w:ascii="黑体" w:eastAsia="黑体" w:hAnsi="黑体" w:cs="宋体" w:hint="eastAsia"/>
                <w:kern w:val="0"/>
                <w:szCs w:val="21"/>
              </w:rPr>
              <w:t>、</w:t>
            </w:r>
            <w:r w:rsidRPr="00A06E5F" w:rsidR="00A06E5F">
              <w:rPr>
                <w:rFonts w:ascii="黑体" w:eastAsia="黑体" w:hAnsi="黑体" w:cs="宋体" w:hint="eastAsia"/>
                <w:kern w:val="0"/>
                <w:szCs w:val="21"/>
              </w:rPr>
              <w:t>上饶银行股份有限公司</w:t>
            </w:r>
            <w:r w:rsidR="00DB1836">
              <w:rPr>
                <w:rFonts w:ascii="黑体" w:eastAsia="黑体" w:hAnsi="黑体" w:cs="宋体" w:hint="eastAsia"/>
                <w:kern w:val="0"/>
                <w:szCs w:val="21"/>
              </w:rPr>
              <w:t>、</w:t>
            </w:r>
            <w:r w:rsidRPr="00DB1836" w:rsidR="00DB1836">
              <w:rPr>
                <w:rFonts w:ascii="黑体" w:eastAsia="黑体" w:hAnsi="黑体" w:cs="宋体"/>
                <w:kern w:val="0"/>
                <w:szCs w:val="21"/>
              </w:rPr>
              <w:t>上海浦东发展银行股份有限公司</w:t>
            </w:r>
            <w:r w:rsidR="00DB1836">
              <w:rPr>
                <w:rFonts w:ascii="黑体" w:eastAsia="黑体" w:hAnsi="黑体" w:cs="宋体" w:hint="eastAsia"/>
                <w:kern w:val="0"/>
                <w:szCs w:val="21"/>
              </w:rPr>
              <w:t>、</w:t>
            </w:r>
            <w:r w:rsidRPr="00DB1836" w:rsidR="00DB1836">
              <w:rPr>
                <w:rFonts w:ascii="黑体" w:eastAsia="黑体" w:hAnsi="黑体" w:cs="宋体"/>
                <w:kern w:val="0"/>
                <w:szCs w:val="21"/>
              </w:rPr>
              <w:t>中信银行股份有限公司</w:t>
            </w:r>
            <w:r w:rsidR="00DB1836">
              <w:rPr>
                <w:rFonts w:ascii="黑体" w:eastAsia="黑体" w:hAnsi="黑体" w:cs="宋体" w:hint="eastAsia"/>
                <w:kern w:val="0"/>
                <w:szCs w:val="21"/>
              </w:rPr>
              <w:t>、</w:t>
            </w:r>
            <w:r w:rsidRPr="00DB1836" w:rsidR="00DB1836">
              <w:rPr>
                <w:rFonts w:ascii="黑体" w:eastAsia="黑体" w:hAnsi="黑体" w:cs="宋体"/>
                <w:kern w:val="0"/>
                <w:szCs w:val="21"/>
              </w:rPr>
              <w:t>沧州银行股份有限公司</w:t>
            </w:r>
          </w:p>
        </w:tc>
      </w:tr>
      <w:tr w14:paraId="3CE1DA61" w14:textId="77777777">
        <w:tblPrEx>
          <w:tblW w:w="8443" w:type="dxa"/>
          <w:tblInd w:w="-147" w:type="dxa"/>
          <w:tblLayout w:type="fixed"/>
          <w:tblLook w:val="04A0"/>
        </w:tblPrEx>
        <w:tc>
          <w:tcPr>
            <w:tcW w:w="1985" w:type="dxa"/>
            <w:vAlign w:val="center"/>
          </w:tcPr>
          <w:p w:rsidR="00F57BEF" w:rsidRPr="00B46892" w14:paraId="4B397732"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托管机构</w:t>
            </w:r>
          </w:p>
        </w:tc>
        <w:tc>
          <w:tcPr>
            <w:tcW w:w="6458" w:type="dxa"/>
          </w:tcPr>
          <w:p w:rsidR="00F57BEF" w:rsidRPr="00B46892" w14:paraId="769E95B3" w14:textId="0306283B">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宁波银行股份有限公司</w:t>
            </w:r>
          </w:p>
        </w:tc>
      </w:tr>
      <w:tr w14:paraId="02C6D1F9" w14:textId="77777777">
        <w:tblPrEx>
          <w:tblW w:w="8443" w:type="dxa"/>
          <w:tblInd w:w="-147" w:type="dxa"/>
          <w:tblLayout w:type="fixed"/>
          <w:tblLook w:val="04A0"/>
        </w:tblPrEx>
        <w:tc>
          <w:tcPr>
            <w:tcW w:w="1985" w:type="dxa"/>
            <w:vAlign w:val="center"/>
          </w:tcPr>
          <w:p w:rsidR="00F57BEF" w:rsidRPr="00B46892" w14:paraId="3F8399E0"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投资合作机构</w:t>
            </w:r>
          </w:p>
        </w:tc>
        <w:tc>
          <w:tcPr>
            <w:tcW w:w="6458" w:type="dxa"/>
          </w:tcPr>
          <w:p w:rsidR="00F57BEF" w:rsidRPr="00B46892" w14:paraId="36B2E9A9"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投资合作机构包括但不限于理财产品所投资资产管理产品的发行机构、根据合同约定从事理财产品受托投资的机构以及与理财产品投资管理相关的投资顾问等。</w:t>
            </w:r>
          </w:p>
          <w:p w:rsidR="007A5EE5" w:rsidRPr="00B46892" w:rsidP="007A5EE5" w14:paraId="69101C88" w14:textId="05653934">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本理财产品投资合作机构可能包括但不限于太平资产管理有限公司、民生通惠资产管理有限公司、华润深国投信托有限公司、平安资产管理有限责任公司、阳光资产管理股份有限公司等。</w:t>
            </w:r>
          </w:p>
          <w:p w:rsidR="00F57BEF" w:rsidRPr="00B46892" w:rsidP="007A5EE5" w14:paraId="08BAD695" w14:textId="531906A1">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后续新增投资合作机构时，管理人将对合作机构的资质条件、专业服务能力和风险管理水平等进行充分评价，切实履行投资管理职责。</w:t>
            </w:r>
          </w:p>
        </w:tc>
      </w:tr>
      <w:tr w14:paraId="301A476C" w14:textId="77777777">
        <w:tblPrEx>
          <w:tblW w:w="8443" w:type="dxa"/>
          <w:tblInd w:w="-147" w:type="dxa"/>
          <w:tblLayout w:type="fixed"/>
          <w:tblLook w:val="04A0"/>
        </w:tblPrEx>
        <w:tc>
          <w:tcPr>
            <w:tcW w:w="1985" w:type="dxa"/>
            <w:vAlign w:val="center"/>
          </w:tcPr>
          <w:p w:rsidR="00F57BEF" w:rsidRPr="00B46892" w14:paraId="2071E7A5"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费用</w:t>
            </w:r>
            <w:r w:rsidRPr="00B46892">
              <w:rPr>
                <w:rFonts w:ascii="黑体" w:eastAsia="黑体" w:hAnsi="黑体" w:cs="黑体" w:hint="eastAsia"/>
                <w:kern w:val="0"/>
                <w:szCs w:val="21"/>
              </w:rPr>
              <w:t>及</w:t>
            </w:r>
            <w:r w:rsidRPr="00B46892">
              <w:rPr>
                <w:rFonts w:ascii="黑体" w:eastAsia="黑体" w:hAnsi="黑体" w:cs="黑体"/>
                <w:kern w:val="0"/>
                <w:szCs w:val="21"/>
              </w:rPr>
              <w:t>税收</w:t>
            </w:r>
            <w:r w:rsidRPr="00B46892">
              <w:rPr>
                <w:rFonts w:ascii="黑体" w:eastAsia="黑体" w:hAnsi="黑体" w:cs="黑体" w:hint="eastAsia"/>
                <w:kern w:val="0"/>
                <w:szCs w:val="21"/>
              </w:rPr>
              <w:t>规定</w:t>
            </w:r>
          </w:p>
        </w:tc>
        <w:tc>
          <w:tcPr>
            <w:tcW w:w="6458" w:type="dxa"/>
          </w:tcPr>
          <w:p w:rsidR="001A7B24" w:rsidP="004672D0" w14:paraId="10AE1794" w14:textId="6D8C3E4D">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本产品</w:t>
            </w:r>
            <w:r w:rsidRPr="00B46892">
              <w:rPr>
                <w:rFonts w:ascii="黑体" w:eastAsia="黑体" w:hAnsi="黑体" w:cs="黑体"/>
                <w:b/>
                <w:kern w:val="0"/>
                <w:szCs w:val="21"/>
              </w:rPr>
              <w:t>收取的费用</w:t>
            </w:r>
            <w:r w:rsidRPr="00B46892">
              <w:rPr>
                <w:rFonts w:ascii="黑体" w:eastAsia="黑体" w:hAnsi="黑体" w:cs="黑体" w:hint="eastAsia"/>
                <w:b/>
                <w:kern w:val="0"/>
                <w:szCs w:val="21"/>
              </w:rPr>
              <w:t>包括</w:t>
            </w:r>
            <w:r>
              <w:rPr>
                <w:rFonts w:ascii="黑体" w:eastAsia="黑体" w:hAnsi="黑体" w:cs="黑体" w:hint="eastAsia"/>
                <w:b/>
                <w:kern w:val="0"/>
                <w:szCs w:val="21"/>
              </w:rPr>
              <w:t>销售服务费、</w:t>
            </w:r>
            <w:r w:rsidRPr="00B46892">
              <w:rPr>
                <w:rFonts w:ascii="黑体" w:eastAsia="黑体" w:hAnsi="黑体" w:cs="黑体" w:hint="eastAsia"/>
                <w:b/>
                <w:kern w:val="0"/>
                <w:szCs w:val="21"/>
              </w:rPr>
              <w:t>固定管理费、托管费、强制赎回费（若有）</w:t>
            </w:r>
            <w:r>
              <w:rPr>
                <w:rFonts w:ascii="黑体" w:eastAsia="黑体" w:hAnsi="黑体" w:cs="黑体" w:hint="eastAsia"/>
                <w:b/>
                <w:kern w:val="0"/>
                <w:szCs w:val="21"/>
              </w:rPr>
              <w:t>等。</w:t>
            </w:r>
            <w:r w:rsidRPr="009A1C14" w:rsidR="00CF32FF">
              <w:rPr>
                <w:rFonts w:ascii="黑体" w:eastAsia="黑体" w:hAnsi="黑体" w:cs="黑体" w:hint="eastAsia"/>
                <w:b/>
                <w:kern w:val="0"/>
                <w:szCs w:val="21"/>
              </w:rPr>
              <w:t>其中</w:t>
            </w:r>
            <w:r>
              <w:rPr>
                <w:rFonts w:ascii="黑体" w:eastAsia="黑体" w:hAnsi="黑体" w:cs="黑体" w:hint="eastAsia"/>
                <w:b/>
                <w:kern w:val="0"/>
                <w:szCs w:val="21"/>
              </w:rPr>
              <w:t>：</w:t>
            </w:r>
          </w:p>
          <w:p w:rsidR="001A7B24" w:rsidRPr="00AD3923" w:rsidP="00A20246" w14:paraId="0D629F63" w14:textId="1E48F43B">
            <w:pPr>
              <w:pStyle w:val="ListParagraph"/>
              <w:numPr>
                <w:ilvl w:val="0"/>
                <w:numId w:val="1"/>
              </w:numPr>
              <w:autoSpaceDE w:val="0"/>
              <w:autoSpaceDN w:val="0"/>
              <w:adjustRightInd w:val="0"/>
              <w:ind w:firstLineChars="0"/>
              <w:jc w:val="left"/>
              <w:rPr>
                <w:rFonts w:ascii="黑体" w:eastAsia="黑体" w:hAnsi="黑体" w:cs="黑体" w:hint="eastAsia"/>
                <w:b/>
                <w:kern w:val="0"/>
                <w:szCs w:val="21"/>
              </w:rPr>
            </w:pPr>
            <w:r w:rsidRPr="00AD3923">
              <w:rPr>
                <w:rFonts w:ascii="黑体" w:eastAsia="黑体" w:hAnsi="黑体" w:cs="黑体" w:hint="eastAsia"/>
                <w:b/>
                <w:kern w:val="0"/>
                <w:szCs w:val="21"/>
              </w:rPr>
              <w:t>销售服务费：【F</w:t>
            </w:r>
            <w:r w:rsidR="00F71D95">
              <w:rPr>
                <w:rFonts w:ascii="黑体" w:eastAsia="黑体" w:hAnsi="黑体" w:cs="黑体" w:hint="eastAsia"/>
                <w:b/>
                <w:kern w:val="0"/>
                <w:szCs w:val="21"/>
              </w:rPr>
              <w:t>、P、H</w:t>
            </w:r>
            <w:r w:rsidRPr="00AD3923">
              <w:rPr>
                <w:rFonts w:ascii="黑体" w:eastAsia="黑体" w:hAnsi="黑体" w:cs="黑体" w:hint="eastAsia"/>
                <w:b/>
                <w:kern w:val="0"/>
                <w:szCs w:val="21"/>
              </w:rPr>
              <w:t>份额】年化费率【0.40%】；</w:t>
            </w:r>
          </w:p>
          <w:p w:rsidR="004672D0" w:rsidRPr="00AD3923" w:rsidP="001A7B24" w14:paraId="420B74C4" w14:textId="283A0F23">
            <w:pPr>
              <w:pStyle w:val="ListParagraph"/>
              <w:numPr>
                <w:ilvl w:val="0"/>
                <w:numId w:val="1"/>
              </w:numPr>
              <w:autoSpaceDE w:val="0"/>
              <w:autoSpaceDN w:val="0"/>
              <w:adjustRightInd w:val="0"/>
              <w:ind w:firstLineChars="0"/>
              <w:jc w:val="left"/>
              <w:rPr>
                <w:rFonts w:ascii="黑体" w:eastAsia="黑体" w:hAnsi="黑体" w:cs="黑体" w:hint="eastAsia"/>
                <w:b/>
                <w:kern w:val="0"/>
                <w:szCs w:val="21"/>
              </w:rPr>
            </w:pPr>
            <w:r w:rsidRPr="00AD3923">
              <w:rPr>
                <w:rFonts w:ascii="黑体" w:eastAsia="黑体" w:hAnsi="黑体" w:cs="黑体" w:hint="eastAsia"/>
                <w:b/>
                <w:kern w:val="0"/>
                <w:szCs w:val="21"/>
              </w:rPr>
              <w:t>固定管理费：【A、B、C、D、E、F</w:t>
            </w:r>
            <w:r w:rsidRPr="00AD3923" w:rsidR="00DA0744">
              <w:rPr>
                <w:rFonts w:ascii="黑体" w:eastAsia="黑体" w:hAnsi="黑体" w:cs="黑体" w:hint="eastAsia"/>
                <w:b/>
                <w:kern w:val="0"/>
                <w:szCs w:val="21"/>
              </w:rPr>
              <w:t>、G、P、H</w:t>
            </w:r>
            <w:r w:rsidRPr="00AD3923">
              <w:rPr>
                <w:rFonts w:ascii="黑体" w:eastAsia="黑体" w:hAnsi="黑体" w:cs="黑体" w:hint="eastAsia"/>
                <w:b/>
                <w:kern w:val="0"/>
                <w:szCs w:val="21"/>
              </w:rPr>
              <w:t>份额】年化费率【</w:t>
            </w:r>
            <w:r w:rsidRPr="00AD3923" w:rsidR="00CF32FF">
              <w:rPr>
                <w:rFonts w:ascii="黑体" w:eastAsia="黑体" w:hAnsi="黑体" w:cs="黑体" w:hint="eastAsia"/>
                <w:b/>
                <w:kern w:val="0"/>
                <w:szCs w:val="21"/>
              </w:rPr>
              <w:t>0.40%</w:t>
            </w:r>
            <w:r w:rsidRPr="00AD3923">
              <w:rPr>
                <w:rFonts w:ascii="黑体" w:eastAsia="黑体" w:hAnsi="黑体" w:cs="黑体" w:hint="eastAsia"/>
                <w:b/>
                <w:kern w:val="0"/>
                <w:szCs w:val="21"/>
              </w:rPr>
              <w:t>】；</w:t>
            </w:r>
          </w:p>
          <w:p w:rsidR="001A7B24" w:rsidRPr="00AD3923" w:rsidP="001A7B24" w14:paraId="6A9F97A9" w14:textId="01404823">
            <w:pPr>
              <w:pStyle w:val="ListParagraph"/>
              <w:numPr>
                <w:ilvl w:val="0"/>
                <w:numId w:val="1"/>
              </w:numPr>
              <w:autoSpaceDE w:val="0"/>
              <w:autoSpaceDN w:val="0"/>
              <w:adjustRightInd w:val="0"/>
              <w:ind w:firstLineChars="0"/>
              <w:jc w:val="left"/>
              <w:rPr>
                <w:rFonts w:ascii="黑体" w:eastAsia="黑体" w:hAnsi="黑体" w:cs="黑体" w:hint="eastAsia"/>
                <w:b/>
                <w:kern w:val="0"/>
                <w:szCs w:val="21"/>
              </w:rPr>
            </w:pPr>
            <w:r w:rsidRPr="00AD3923">
              <w:rPr>
                <w:rFonts w:ascii="黑体" w:eastAsia="黑体" w:hAnsi="黑体" w:cs="黑体" w:hint="eastAsia"/>
                <w:b/>
                <w:kern w:val="0"/>
                <w:szCs w:val="21"/>
              </w:rPr>
              <w:t>托管费年化费</w:t>
            </w:r>
            <w:r w:rsidRPr="00AD3923">
              <w:rPr>
                <w:rFonts w:ascii="黑体" w:eastAsia="黑体" w:hAnsi="黑体" w:cs="黑体" w:hint="eastAsia"/>
                <w:b/>
                <w:kern w:val="0"/>
                <w:szCs w:val="21"/>
              </w:rPr>
              <w:t>率【0.01%】；</w:t>
            </w:r>
          </w:p>
          <w:p w:rsidR="001A7B24" w:rsidRPr="00AD3923" w:rsidP="001A7B24" w14:paraId="31E8A86A" w14:textId="77777777">
            <w:pPr>
              <w:pStyle w:val="ListParagraph"/>
              <w:numPr>
                <w:ilvl w:val="0"/>
                <w:numId w:val="1"/>
              </w:numPr>
              <w:autoSpaceDE w:val="0"/>
              <w:autoSpaceDN w:val="0"/>
              <w:adjustRightInd w:val="0"/>
              <w:ind w:firstLineChars="0"/>
              <w:jc w:val="left"/>
              <w:rPr>
                <w:rFonts w:ascii="黑体" w:eastAsia="黑体" w:hAnsi="黑体" w:cs="黑体" w:hint="eastAsia"/>
                <w:b/>
                <w:kern w:val="0"/>
                <w:szCs w:val="21"/>
              </w:rPr>
            </w:pPr>
            <w:r w:rsidRPr="00AD3923">
              <w:rPr>
                <w:rFonts w:ascii="黑体" w:eastAsia="黑体" w:hAnsi="黑体" w:cs="黑体" w:hint="eastAsia"/>
                <w:b/>
                <w:kern w:val="0"/>
                <w:szCs w:val="21"/>
              </w:rPr>
              <w:t>强制赎回费（若有）：</w:t>
            </w:r>
          </w:p>
          <w:p w:rsidR="001A7B24" w:rsidRPr="00AD3923" w:rsidP="001A7B24" w14:paraId="4591CB9D" w14:textId="77777777">
            <w:pPr>
              <w:autoSpaceDE w:val="0"/>
              <w:autoSpaceDN w:val="0"/>
              <w:adjustRightInd w:val="0"/>
              <w:jc w:val="left"/>
              <w:rPr>
                <w:rFonts w:ascii="黑体" w:eastAsia="黑体" w:hAnsi="黑体" w:cs="黑体" w:hint="eastAsia"/>
                <w:b/>
                <w:kern w:val="0"/>
                <w:szCs w:val="21"/>
              </w:rPr>
            </w:pPr>
            <w:r w:rsidRPr="00AD3923">
              <w:rPr>
                <w:rFonts w:ascii="黑体" w:eastAsia="黑体" w:hAnsi="黑体" w:cs="黑体" w:hint="eastAsia"/>
                <w:b/>
                <w:kern w:val="0"/>
                <w:szCs w:val="21"/>
              </w:rPr>
              <w:t>（1）在满足相关流动性风险管理要求的前提下，当本产品持有的现金、国债、中央银行票据、政策性金融债券以及5个交易日内到期的其他金融工具占产品资产净值的比例合计低于5%且偏离度为负时，产品管理人将对当日单个产品投资者申请赎回份额超过本产品总份额1%以上的赎回申请征收【1%】的强制赎回费用，并将上述赎回费用全额计入产品财产。产品管理人与托管机构协商确认上述做法无益于本产品利益最大化的情形除外。</w:t>
            </w:r>
          </w:p>
          <w:p w:rsidR="001A7B24" w:rsidRPr="00DA0744" w:rsidP="001A7B24" w14:paraId="6250A87F" w14:textId="053D2F77">
            <w:pPr>
              <w:autoSpaceDE w:val="0"/>
              <w:autoSpaceDN w:val="0"/>
              <w:adjustRightInd w:val="0"/>
              <w:jc w:val="left"/>
              <w:rPr>
                <w:rFonts w:ascii="黑体" w:eastAsia="黑体" w:hAnsi="黑体" w:cs="黑体" w:hint="eastAsia"/>
                <w:b/>
                <w:kern w:val="0"/>
                <w:szCs w:val="21"/>
              </w:rPr>
            </w:pPr>
            <w:r w:rsidRPr="00AD3923">
              <w:rPr>
                <w:rFonts w:ascii="黑体" w:eastAsia="黑体" w:hAnsi="黑体" w:cs="黑体" w:hint="eastAsia"/>
                <w:b/>
                <w:kern w:val="0"/>
                <w:szCs w:val="21"/>
              </w:rPr>
              <w:t>（2）本产品前10名投资者的持有份额合计超过该产品总份额50%的，当投资组合中现金、国债、中央银行票据、政策性金融债券以及5个交易日内到期的其他金融工具占该产品资产净值的比例合计低于10%且偏离度为负时，产品管理人将对投资者超过该产品总份额1%以上的赎回申请征收【1%】的强制赎回费用。</w:t>
            </w:r>
          </w:p>
          <w:p w:rsidR="00F57BEF" w:rsidRPr="00B46892" w14:paraId="7160F816" w14:textId="0583A712">
            <w:pPr>
              <w:autoSpaceDE w:val="0"/>
              <w:autoSpaceDN w:val="0"/>
              <w:adjustRightInd w:val="0"/>
              <w:jc w:val="left"/>
              <w:rPr>
                <w:rFonts w:ascii="黑体" w:eastAsia="黑体" w:hAnsi="黑体" w:cs="黑体" w:hint="eastAsia"/>
                <w:b/>
                <w:kern w:val="0"/>
                <w:szCs w:val="21"/>
              </w:rPr>
            </w:pPr>
            <w:r w:rsidRPr="00BC07AD">
              <w:rPr>
                <w:rFonts w:ascii="黑体" w:eastAsia="黑体" w:hAnsi="黑体" w:cs="黑体" w:hint="eastAsia"/>
                <w:b/>
                <w:kern w:val="0"/>
                <w:szCs w:val="21"/>
              </w:rPr>
              <w:t>具体的理财产品费用和税收规则</w:t>
            </w:r>
            <w:r w:rsidRPr="00B46892" w:rsidR="00CC57FA">
              <w:rPr>
                <w:rFonts w:ascii="黑体" w:eastAsia="黑体" w:hAnsi="黑体" w:cs="黑体" w:hint="eastAsia"/>
                <w:b/>
                <w:kern w:val="0"/>
                <w:szCs w:val="21"/>
              </w:rPr>
              <w:t>详见</w:t>
            </w:r>
            <w:r w:rsidRPr="00B46892" w:rsidR="00CC57FA">
              <w:rPr>
                <w:rFonts w:ascii="黑体" w:eastAsia="黑体" w:hAnsi="黑体" w:cs="黑体"/>
                <w:b/>
                <w:kern w:val="0"/>
                <w:szCs w:val="21"/>
              </w:rPr>
              <w:t>本说明书第</w:t>
            </w:r>
            <w:r w:rsidRPr="00B46892" w:rsidR="00CC57FA">
              <w:rPr>
                <w:rFonts w:ascii="黑体" w:eastAsia="黑体" w:hAnsi="黑体" w:cs="黑体" w:hint="eastAsia"/>
                <w:b/>
                <w:kern w:val="0"/>
                <w:szCs w:val="21"/>
              </w:rPr>
              <w:t>六</w:t>
            </w:r>
            <w:r w:rsidRPr="00B46892" w:rsidR="00CC57FA">
              <w:rPr>
                <w:rFonts w:ascii="黑体" w:eastAsia="黑体" w:hAnsi="黑体" w:cs="黑体"/>
                <w:b/>
                <w:kern w:val="0"/>
                <w:szCs w:val="21"/>
              </w:rPr>
              <w:t>部分</w:t>
            </w:r>
            <w:r w:rsidRPr="00B46892" w:rsidR="00CC57FA">
              <w:rPr>
                <w:rFonts w:ascii="黑体" w:eastAsia="黑体" w:hAnsi="黑体" w:cs="黑体" w:hint="eastAsia"/>
                <w:b/>
                <w:kern w:val="0"/>
                <w:szCs w:val="21"/>
              </w:rPr>
              <w:t>产品费用、收益及税收说明</w:t>
            </w:r>
            <w:r w:rsidRPr="00B46892" w:rsidR="00CC57FA">
              <w:rPr>
                <w:rFonts w:ascii="黑体" w:eastAsia="黑体" w:hAnsi="黑体" w:cs="黑体"/>
                <w:b/>
                <w:kern w:val="0"/>
                <w:szCs w:val="21"/>
              </w:rPr>
              <w:t>。</w:t>
            </w:r>
          </w:p>
        </w:tc>
      </w:tr>
      <w:tr w14:paraId="65A81920" w14:textId="77777777">
        <w:tblPrEx>
          <w:tblW w:w="8443" w:type="dxa"/>
          <w:tblInd w:w="-147" w:type="dxa"/>
          <w:tblLayout w:type="fixed"/>
          <w:tblLook w:val="04A0"/>
        </w:tblPrEx>
        <w:tc>
          <w:tcPr>
            <w:tcW w:w="1985" w:type="dxa"/>
            <w:vAlign w:val="center"/>
          </w:tcPr>
          <w:p w:rsidR="00F57BEF" w:rsidRPr="00B46892" w14:paraId="7B32D592" w14:textId="77777777">
            <w:pPr>
              <w:autoSpaceDE w:val="0"/>
              <w:autoSpaceDN w:val="0"/>
              <w:adjustRightInd w:val="0"/>
              <w:rPr>
                <w:rFonts w:ascii="黑体" w:eastAsia="黑体" w:hAnsi="黑体" w:cs="黑体" w:hint="eastAsia"/>
                <w:kern w:val="0"/>
                <w:szCs w:val="21"/>
              </w:rPr>
            </w:pPr>
            <w:r w:rsidRPr="00B46892">
              <w:rPr>
                <w:rFonts w:ascii="黑体" w:eastAsia="黑体" w:hAnsi="黑体" w:cs="黑体" w:hint="eastAsia"/>
                <w:kern w:val="0"/>
                <w:szCs w:val="21"/>
              </w:rPr>
              <w:t>其他</w:t>
            </w:r>
          </w:p>
        </w:tc>
        <w:tc>
          <w:tcPr>
            <w:tcW w:w="6458" w:type="dxa"/>
          </w:tcPr>
          <w:p w:rsidR="00F57BEF" w:rsidRPr="00B46892" w14:paraId="68382BFC" w14:textId="77777777">
            <w:pPr>
              <w:rPr>
                <w:rFonts w:ascii="黑体" w:eastAsia="黑体" w:hAnsi="黑体" w:cs="黑体" w:hint="eastAsia"/>
                <w:b/>
                <w:kern w:val="0"/>
                <w:szCs w:val="21"/>
              </w:rPr>
            </w:pPr>
            <w:r w:rsidRPr="00B46892">
              <w:rPr>
                <w:rFonts w:ascii="黑体" w:eastAsia="黑体" w:hAnsi="黑体" w:cs="黑体" w:hint="eastAsia"/>
                <w:kern w:val="0"/>
                <w:szCs w:val="21"/>
              </w:rPr>
              <w:t>1、</w:t>
            </w:r>
            <w:r w:rsidRPr="00B46892">
              <w:rPr>
                <w:rFonts w:ascii="黑体" w:eastAsia="黑体" w:hAnsi="黑体" w:cs="黑体" w:hint="eastAsia"/>
                <w:b/>
                <w:kern w:val="0"/>
                <w:szCs w:val="21"/>
              </w:rPr>
              <w:t>在</w:t>
            </w:r>
            <w:r w:rsidRPr="00B46892">
              <w:rPr>
                <w:rFonts w:ascii="黑体" w:eastAsia="黑体" w:hAnsi="黑体" w:cs="黑体"/>
                <w:b/>
                <w:kern w:val="0"/>
                <w:szCs w:val="21"/>
              </w:rPr>
              <w:t>本</w:t>
            </w:r>
            <w:r w:rsidRPr="00B46892">
              <w:rPr>
                <w:rFonts w:ascii="黑体" w:eastAsia="黑体" w:hAnsi="黑体" w:cs="黑体" w:hint="eastAsia"/>
                <w:b/>
                <w:kern w:val="0"/>
                <w:szCs w:val="21"/>
              </w:rPr>
              <w:t>产品存续期内，产品</w:t>
            </w:r>
            <w:r w:rsidRPr="00B46892">
              <w:rPr>
                <w:rFonts w:ascii="黑体" w:eastAsia="黑体" w:hAnsi="黑体" w:cs="黑体"/>
                <w:b/>
                <w:kern w:val="0"/>
                <w:szCs w:val="21"/>
              </w:rPr>
              <w:t>管理人</w:t>
            </w:r>
            <w:r w:rsidRPr="00B46892">
              <w:rPr>
                <w:rFonts w:ascii="黑体" w:eastAsia="黑体" w:hAnsi="黑体" w:cs="黑体" w:hint="eastAsia"/>
                <w:b/>
                <w:kern w:val="0"/>
                <w:szCs w:val="21"/>
              </w:rPr>
              <w:t>有权根据市场情况调整本产品前</w:t>
            </w:r>
            <w:r w:rsidRPr="00B46892">
              <w:rPr>
                <w:rFonts w:ascii="黑体" w:eastAsia="黑体" w:hAnsi="黑体" w:cs="黑体" w:hint="eastAsia"/>
                <w:b/>
                <w:kern w:val="0"/>
                <w:szCs w:val="21"/>
              </w:rPr>
              <w:t>述产品要素，调整前将进行相关信息披露。</w:t>
            </w:r>
          </w:p>
          <w:p w:rsidR="00F57BEF" w:rsidRPr="00B46892" w14:paraId="4DFC5CC1" w14:textId="63E22D0E">
            <w:pPr>
              <w:rPr>
                <w:rFonts w:ascii="黑体" w:eastAsia="黑体" w:hAnsi="黑体" w:cs="黑体" w:hint="eastAsia"/>
                <w:kern w:val="0"/>
                <w:szCs w:val="21"/>
              </w:rPr>
            </w:pPr>
            <w:r w:rsidRPr="00B46892">
              <w:rPr>
                <w:rFonts w:ascii="黑体" w:eastAsia="黑体" w:hAnsi="黑体" w:cs="黑体"/>
                <w:kern w:val="0"/>
                <w:szCs w:val="21"/>
              </w:rPr>
              <w:t>2</w:t>
            </w:r>
            <w:r w:rsidRPr="00B46892">
              <w:rPr>
                <w:rFonts w:ascii="黑体" w:eastAsia="黑体" w:hAnsi="黑体" w:cs="黑体" w:hint="eastAsia"/>
                <w:kern w:val="0"/>
                <w:szCs w:val="21"/>
              </w:rPr>
              <w:t>、产品成立日和到期日</w:t>
            </w:r>
            <w:r w:rsidRPr="00B46892">
              <w:rPr>
                <w:rFonts w:ascii="黑体" w:eastAsia="黑体" w:hAnsi="黑体" w:cs="黑体" w:hint="eastAsia"/>
                <w:kern w:val="0"/>
                <w:szCs w:val="21"/>
              </w:rPr>
              <w:t>如遇非工作日</w:t>
            </w:r>
            <w:r w:rsidRPr="00B46892">
              <w:rPr>
                <w:rFonts w:ascii="黑体" w:eastAsia="黑体" w:hAnsi="黑体" w:cs="黑体" w:hint="eastAsia"/>
                <w:kern w:val="0"/>
                <w:szCs w:val="21"/>
              </w:rPr>
              <w:t>，则顺延至下一工作日。</w:t>
            </w:r>
          </w:p>
          <w:p w:rsidR="00F57BEF" w:rsidRPr="00B46892" w14:paraId="657F3BC4" w14:textId="456E3815">
            <w:pPr>
              <w:rPr>
                <w:rFonts w:ascii="黑体" w:eastAsia="黑体" w:hAnsi="黑体" w:cs="黑体" w:hint="eastAsia"/>
                <w:kern w:val="0"/>
                <w:szCs w:val="21"/>
              </w:rPr>
            </w:pPr>
            <w:r w:rsidRPr="00B46892">
              <w:rPr>
                <w:rFonts w:ascii="黑体" w:eastAsia="黑体" w:hAnsi="黑体" w:cs="黑体"/>
                <w:kern w:val="0"/>
                <w:szCs w:val="21"/>
              </w:rPr>
              <w:t>3</w:t>
            </w:r>
            <w:r w:rsidRPr="00B46892">
              <w:rPr>
                <w:rFonts w:ascii="黑体" w:eastAsia="黑体" w:hAnsi="黑体" w:cs="黑体" w:hint="eastAsia"/>
                <w:kern w:val="0"/>
                <w:szCs w:val="21"/>
              </w:rPr>
              <w:t>、</w:t>
            </w:r>
            <w:r w:rsidRPr="00B46892">
              <w:rPr>
                <w:rFonts w:ascii="黑体" w:eastAsia="黑体" w:hAnsi="黑体" w:cs="黑体" w:hint="eastAsia"/>
                <w:szCs w:val="21"/>
              </w:rPr>
              <w:t>本产品说明书中的工作日指国家法定工作日。</w:t>
            </w:r>
          </w:p>
          <w:p w:rsidR="00F57BEF" w:rsidRPr="00B46892" w14:paraId="5D24BE5F" w14:textId="22D9309A">
            <w:pPr>
              <w:rPr>
                <w:rFonts w:ascii="黑体" w:eastAsia="黑体" w:hAnsi="黑体" w:cs="黑体" w:hint="eastAsia"/>
                <w:kern w:val="0"/>
                <w:szCs w:val="21"/>
              </w:rPr>
            </w:pPr>
            <w:r w:rsidRPr="00B46892">
              <w:rPr>
                <w:rFonts w:ascii="黑体" w:eastAsia="黑体" w:hAnsi="黑体" w:cs="黑体" w:hint="eastAsia"/>
                <w:kern w:val="0"/>
                <w:szCs w:val="21"/>
              </w:rPr>
              <w:t>4、其他：</w:t>
            </w:r>
            <w:r w:rsidRPr="00B46892" w:rsidR="00895E06">
              <w:rPr>
                <w:rFonts w:ascii="黑体" w:eastAsia="黑体" w:hAnsi="黑体" w:cs="黑体" w:hint="eastAsia"/>
                <w:kern w:val="0"/>
                <w:szCs w:val="21"/>
              </w:rPr>
              <w:t>无</w:t>
            </w:r>
          </w:p>
        </w:tc>
      </w:tr>
    </w:tbl>
    <w:p w:rsidR="00F57BEF" w:rsidRPr="00B46892" w14:paraId="7CD8DFED" w14:textId="77777777">
      <w:pPr>
        <w:autoSpaceDE w:val="0"/>
        <w:autoSpaceDN w:val="0"/>
        <w:adjustRightInd w:val="0"/>
        <w:jc w:val="left"/>
        <w:rPr>
          <w:rFonts w:ascii="黑体" w:eastAsia="黑体" w:hAnsi="黑体" w:cs="黑体" w:hint="eastAsia"/>
          <w:b/>
          <w:kern w:val="0"/>
          <w:szCs w:val="21"/>
        </w:rPr>
      </w:pPr>
    </w:p>
    <w:p w:rsidR="00F57BEF" w:rsidRPr="00B46892" w14:paraId="2713783E"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三、产品投资管理</w:t>
      </w:r>
    </w:p>
    <w:p w:rsidR="00F57BEF" w:rsidRPr="00B46892" w14:paraId="30F8A0CA" w14:textId="77777777">
      <w:pPr>
        <w:autoSpaceDE w:val="0"/>
        <w:autoSpaceDN w:val="0"/>
        <w:adjustRightInd w:val="0"/>
        <w:jc w:val="left"/>
        <w:rPr>
          <w:rFonts w:ascii="黑体" w:eastAsia="黑体" w:hAnsi="黑体" w:cs="黑体" w:hint="eastAsia"/>
          <w:bCs/>
          <w:kern w:val="0"/>
          <w:szCs w:val="21"/>
        </w:rPr>
      </w:pPr>
      <w:r w:rsidRPr="00B46892">
        <w:rPr>
          <w:rFonts w:ascii="黑体" w:eastAsia="黑体" w:hAnsi="黑体" w:cs="黑体" w:hint="eastAsia"/>
          <w:bCs/>
          <w:kern w:val="0"/>
          <w:szCs w:val="21"/>
        </w:rPr>
        <w:t>（一</w:t>
      </w:r>
      <w:r w:rsidRPr="00B46892">
        <w:rPr>
          <w:rFonts w:ascii="黑体" w:eastAsia="黑体" w:hAnsi="黑体" w:cs="黑体"/>
          <w:bCs/>
          <w:kern w:val="0"/>
          <w:szCs w:val="21"/>
        </w:rPr>
        <w:t>）</w:t>
      </w:r>
      <w:r w:rsidRPr="00B46892">
        <w:rPr>
          <w:rFonts w:ascii="黑体" w:eastAsia="黑体" w:hAnsi="黑体" w:cs="黑体" w:hint="eastAsia"/>
          <w:bCs/>
          <w:kern w:val="0"/>
          <w:szCs w:val="21"/>
        </w:rPr>
        <w:t>投资范围</w:t>
      </w:r>
    </w:p>
    <w:p w:rsidR="00F57BEF" w:rsidRPr="00B46892" w14:paraId="4D3D3D0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本产品投资于以下金融工具：</w:t>
      </w:r>
    </w:p>
    <w:p w:rsidR="00F57BEF" w:rsidRPr="00B46892" w14:paraId="415BE321"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1、现金；</w:t>
      </w:r>
    </w:p>
    <w:p w:rsidR="00F57BEF" w:rsidRPr="00B46892" w14:paraId="7D2546C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2、期限在1年以内（含1年）的银行存款、债券回购、中央银行票据、同业存单；</w:t>
      </w:r>
    </w:p>
    <w:p w:rsidR="00F57BEF" w:rsidRPr="00B46892" w14:paraId="1A19E9D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3、剩余期限在397天以内（含397天）的债券、在银行间市场和证券交易所市场发行的资产支持证券；</w:t>
      </w:r>
    </w:p>
    <w:p w:rsidR="00F57BEF" w:rsidRPr="00B46892" w14:paraId="6F2C759B" w14:textId="7BED7A11">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4、</w:t>
      </w:r>
      <w:r w:rsidRPr="00B46892" w:rsidR="00D83351">
        <w:rPr>
          <w:rFonts w:ascii="黑体" w:eastAsia="黑体" w:hAnsi="黑体" w:cs="黑体" w:hint="eastAsia"/>
          <w:kern w:val="0"/>
          <w:szCs w:val="21"/>
        </w:rPr>
        <w:t>国家金融监督管理总局</w:t>
      </w:r>
      <w:r w:rsidRPr="00B46892">
        <w:rPr>
          <w:rFonts w:ascii="黑体" w:eastAsia="黑体" w:hAnsi="黑体" w:cs="黑体" w:hint="eastAsia"/>
          <w:kern w:val="0"/>
          <w:szCs w:val="21"/>
        </w:rPr>
        <w:t>、中国人民银行认可的其他具有良好流动性的货币市场工具。</w:t>
      </w:r>
    </w:p>
    <w:p w:rsidR="006D3F24" w:rsidRPr="00B46892" w14:paraId="3196D197" w14:textId="6DDD3C26">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可直接或通过依法设立的资产管理产品（包括信托公司、证券公司、证券公司子公司、基金管理公司、基金管理子公司、期货公司、期货公司子公司、保险资产管理机构、金融资产投资公司发行的资产管理产品等）以及其他符合国家相关政策、法律法规的投资渠道和方式投资于上述资产。</w:t>
      </w:r>
    </w:p>
    <w:p w:rsidR="00F57BEF" w:rsidRPr="00B46892" w14:paraId="17A8A45C" w14:textId="6070E605">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本产品不投资于股票、可转换债券、可交换债券、以定期存款利率为基准利率的浮动利率债券（已进入最后一个利率调整期的除外）、信用等级在AA+以下的债券和资产支持证券以及</w:t>
      </w:r>
      <w:r w:rsidRPr="00B46892" w:rsidR="00D83351">
        <w:rPr>
          <w:rFonts w:ascii="黑体" w:eastAsia="黑体" w:hAnsi="黑体" w:cs="黑体" w:hint="eastAsia"/>
          <w:kern w:val="0"/>
          <w:szCs w:val="21"/>
        </w:rPr>
        <w:t>国家金融监督管理总局</w:t>
      </w:r>
      <w:r w:rsidRPr="00B46892">
        <w:rPr>
          <w:rFonts w:ascii="黑体" w:eastAsia="黑体" w:hAnsi="黑体" w:cs="黑体" w:hint="eastAsia"/>
          <w:kern w:val="0"/>
          <w:szCs w:val="21"/>
        </w:rPr>
        <w:t>、中国人民银行禁止投资的其他金融工具。</w:t>
      </w:r>
    </w:p>
    <w:p w:rsidR="009C0C9D" w:rsidRPr="00B46892" w:rsidP="009C0C9D" w14:paraId="0CD57632"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本产品符合包括但不限于以下要求：</w:t>
      </w:r>
    </w:p>
    <w:p w:rsidR="009C0C9D" w:rsidRPr="00B46892" w:rsidP="009C0C9D" w14:paraId="74240F0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1、本产品投资于同一机构发行的债券及其作为原始权益人的资产支持证券的比例合计不超过该产品资产净值的10%，投资于国债、中央银行票据、政策性金融债券的除外。</w:t>
      </w:r>
    </w:p>
    <w:p w:rsidR="009C0C9D" w:rsidRPr="00B46892" w:rsidP="009C0C9D" w14:paraId="2661D94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本产品投资于所有主体信用评级低于AAA的机构发行的金融工具的比例合计不超过该产品资产净值的10%，其中单一机构发行的金融工具的比例合计不超过该产品资产净值的2%；本款所称金融工具包括债券、银行存款、同业存单、相关机构作为原始权益人的资产支持证券及国家金融监督管理总局认可的其他金融工具。</w:t>
      </w:r>
    </w:p>
    <w:p w:rsidR="009C0C9D" w:rsidRPr="00B46892" w:rsidP="009C0C9D" w14:paraId="12D999AB"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本产品投资于有固定期限银行存款的比例合计不超过该产品资产净值的30%，投资于有存款期限，根据协议可提前支取的银行存款除外；本产品投资于主体信用评级为AAA的同一商业银行的银行存款、同业存单占该产品资产净值的比例合计不超过20%。</w:t>
      </w:r>
    </w:p>
    <w:p w:rsidR="009C0C9D" w:rsidRPr="00B46892" w:rsidP="009C0C9D" w14:paraId="40E8E7E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4、本产品拟投资于主体信用评级低于AA+的商业银行的银行存款与同业存单的，将经本机构董事会审议批准，相关交易事先告知托管机构，并作为重大事项履行信息披露程序。</w:t>
      </w:r>
    </w:p>
    <w:p w:rsidR="009C0C9D" w:rsidRPr="00B46892" w:rsidP="009C0C9D" w14:paraId="4216286B"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非主观因素导致突破前述各项比例限制的，产品管理人将在10个交易日内调整至符合要求，国家金融监督管理总局规定的特殊情形除外。</w:t>
      </w:r>
    </w:p>
    <w:p w:rsidR="009C0C9D" w:rsidRPr="00B46892" w:rsidP="009C0C9D" w14:paraId="671968F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以及：</w:t>
      </w:r>
    </w:p>
    <w:p w:rsidR="009C0C9D" w:rsidRPr="00B46892" w:rsidP="009C0C9D" w14:paraId="54DD7CC3"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1、本产品持有不低于该产品资产净值5%的现金、国债、中央银行票据、政策性金融债券；</w:t>
      </w:r>
    </w:p>
    <w:p w:rsidR="009C0C9D" w:rsidRPr="00B46892" w:rsidP="009C0C9D" w14:paraId="5008304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2、本产品持有不低于该产品资产净值10%的现金、国债、中央银行票据、政策性金融债券以及五个交易日内到期的其他金融工具；</w:t>
      </w:r>
    </w:p>
    <w:p w:rsidR="009C0C9D" w:rsidRPr="00B46892" w:rsidP="009C0C9D" w14:paraId="65314C7D"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3、本产品投资到期日在10个交易日以上的债券买入返售、银行定期存款（</w:t>
      </w:r>
      <w:r w:rsidRPr="00B46892">
        <w:rPr>
          <w:rFonts w:ascii="黑体" w:eastAsia="黑体" w:hAnsi="黑体" w:cs="黑体" w:hint="eastAsia"/>
          <w:kern w:val="0"/>
          <w:szCs w:val="21"/>
        </w:rPr>
        <w:t>含协议</w:t>
      </w:r>
      <w:r w:rsidRPr="00B46892">
        <w:rPr>
          <w:rFonts w:ascii="黑体" w:eastAsia="黑体" w:hAnsi="黑体" w:cs="黑体" w:hint="eastAsia"/>
          <w:kern w:val="0"/>
          <w:szCs w:val="21"/>
        </w:rPr>
        <w:t>约定有条件提前支取的银行存款），以及资产支持证券、因发行人债务违约无法进行转让或者交易的债券等由于法律法规、合同或者操作障碍等原因无法以合理价格予以变现的流动性</w:t>
      </w:r>
      <w:r w:rsidRPr="00B46892">
        <w:rPr>
          <w:rFonts w:ascii="黑体" w:eastAsia="黑体" w:hAnsi="黑体" w:cs="黑体" w:hint="eastAsia"/>
          <w:kern w:val="0"/>
          <w:szCs w:val="21"/>
        </w:rPr>
        <w:t>受限资产，合计不超过该产品资产净值的10%；</w:t>
      </w:r>
    </w:p>
    <w:p w:rsidR="009C0C9D" w:rsidRPr="00B46892" w:rsidP="009C0C9D" w14:paraId="2F504DC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4、本产品的杠杆水平不超过120%，发生巨额赎回、连续3个交易日累计赎回20%以上或者连续5个交易日累计赎回30%以上的情形除外。</w:t>
      </w:r>
    </w:p>
    <w:p w:rsidR="009C0C9D" w:rsidRPr="00B46892" w:rsidP="009C0C9D" w14:paraId="36C564A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非主观因素导致突破前述第2、4项比例限制的，产品管理人将在10个交易日内调整至符合要求；非主观因素导致突破前述第3项比例限制的，产品管理人不再主动新增流动性受限资产的投资。</w:t>
      </w:r>
    </w:p>
    <w:p w:rsidR="009C0C9D" w:rsidRPr="00B46892" w:rsidP="009C0C9D" w14:paraId="4DB31077"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本产品投资组合的平均剩余期限不超过120天，平均剩余存续期限不超过240天。</w:t>
      </w:r>
    </w:p>
    <w:p w:rsidR="00F57BEF" w:rsidRPr="00B46892" w14:paraId="3BB62A60" w14:textId="1DC369B9">
      <w:pPr>
        <w:autoSpaceDE w:val="0"/>
        <w:autoSpaceDN w:val="0"/>
        <w:adjustRightInd w:val="0"/>
        <w:ind w:firstLine="420" w:firstLineChars="200"/>
        <w:jc w:val="left"/>
        <w:rPr>
          <w:rFonts w:ascii="黑体" w:eastAsia="黑体" w:hAnsi="黑体" w:cs="黑体" w:hint="eastAsia"/>
          <w:kern w:val="0"/>
          <w:szCs w:val="21"/>
          <w:u w:val="single"/>
        </w:rPr>
      </w:pPr>
      <w:r w:rsidRPr="00B46892">
        <w:rPr>
          <w:rFonts w:ascii="黑体" w:eastAsia="黑体" w:hAnsi="黑体" w:cs="黑体" w:hint="eastAsia"/>
          <w:kern w:val="0"/>
          <w:szCs w:val="21"/>
        </w:rPr>
        <w:t>本产品可接受的合格质押品包括但不限于</w:t>
      </w:r>
      <w:r w:rsidRPr="00B46892" w:rsidR="005F2BE7">
        <w:rPr>
          <w:rFonts w:ascii="黑体" w:eastAsia="黑体" w:hAnsi="黑体" w:cs="黑体" w:hint="eastAsia"/>
          <w:kern w:val="0"/>
          <w:szCs w:val="21"/>
        </w:rPr>
        <w:t>央票、国债、政策性金融债、中国铁路建设债券、地方政府债券、同业存单、信用债、金融债</w:t>
      </w:r>
      <w:r w:rsidRPr="00B46892">
        <w:rPr>
          <w:rFonts w:ascii="黑体" w:eastAsia="黑体" w:hAnsi="黑体" w:cs="黑体" w:hint="eastAsia"/>
          <w:kern w:val="0"/>
          <w:szCs w:val="21"/>
        </w:rPr>
        <w:t>等。</w:t>
      </w:r>
    </w:p>
    <w:p w:rsidR="00F57BEF" w:rsidRPr="00B46892" w14:paraId="56846D41"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具体投向如下：</w:t>
      </w:r>
    </w:p>
    <w:tbl>
      <w:tblPr>
        <w:tblW w:w="7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2"/>
        <w:gridCol w:w="2071"/>
      </w:tblGrid>
      <w:tr w14:paraId="0E22ADEF" w14:textId="77777777">
        <w:tblPrEx>
          <w:tblW w:w="7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5072" w:type="dxa"/>
          </w:tcPr>
          <w:p w:rsidR="00F57BEF" w:rsidRPr="00B46892" w14:paraId="31604249" w14:textId="77777777">
            <w:pPr>
              <w:ind w:firstLine="420" w:firstLineChars="200"/>
              <w:rPr>
                <w:rFonts w:ascii="黑体" w:eastAsia="黑体" w:hAnsi="黑体" w:hint="eastAsia"/>
                <w:szCs w:val="21"/>
              </w:rPr>
            </w:pPr>
            <w:r w:rsidRPr="00B46892">
              <w:rPr>
                <w:rFonts w:ascii="黑体" w:eastAsia="黑体" w:hAnsi="黑体" w:hint="eastAsia"/>
                <w:szCs w:val="21"/>
              </w:rPr>
              <w:t>投资资产</w:t>
            </w:r>
          </w:p>
        </w:tc>
        <w:tc>
          <w:tcPr>
            <w:tcW w:w="2071" w:type="dxa"/>
          </w:tcPr>
          <w:p w:rsidR="00F57BEF" w:rsidRPr="00B46892" w14:paraId="54DBC508" w14:textId="77777777">
            <w:pPr>
              <w:rPr>
                <w:rFonts w:ascii="黑体" w:eastAsia="黑体" w:hAnsi="黑体" w:hint="eastAsia"/>
                <w:szCs w:val="21"/>
              </w:rPr>
            </w:pPr>
            <w:r w:rsidRPr="00B46892">
              <w:rPr>
                <w:rFonts w:ascii="黑体" w:eastAsia="黑体" w:hAnsi="黑体" w:hint="eastAsia"/>
                <w:szCs w:val="21"/>
              </w:rPr>
              <w:t>计划配置比例</w:t>
            </w:r>
          </w:p>
        </w:tc>
      </w:tr>
      <w:tr w14:paraId="68E83420" w14:textId="77777777">
        <w:tblPrEx>
          <w:tblW w:w="7143" w:type="dxa"/>
          <w:jc w:val="center"/>
          <w:tblLayout w:type="fixed"/>
          <w:tblLook w:val="04A0"/>
        </w:tblPrEx>
        <w:trPr>
          <w:jc w:val="center"/>
        </w:trPr>
        <w:tc>
          <w:tcPr>
            <w:tcW w:w="5072" w:type="dxa"/>
            <w:vAlign w:val="bottom"/>
          </w:tcPr>
          <w:p w:rsidR="00F57BEF" w:rsidRPr="00B46892" w14:paraId="63775E1F" w14:textId="55D63DBC">
            <w:pPr>
              <w:ind w:firstLine="420" w:firstLineChars="200"/>
              <w:rPr>
                <w:rFonts w:ascii="黑体" w:eastAsia="黑体" w:hAnsi="黑体" w:hint="eastAsia"/>
                <w:szCs w:val="21"/>
              </w:rPr>
            </w:pPr>
            <w:r w:rsidRPr="00B46892">
              <w:rPr>
                <w:rFonts w:ascii="黑体" w:eastAsia="黑体" w:hAnsi="黑体" w:hint="eastAsia"/>
                <w:szCs w:val="21"/>
              </w:rPr>
              <w:t>固定收益类资产</w:t>
            </w:r>
          </w:p>
        </w:tc>
        <w:tc>
          <w:tcPr>
            <w:tcW w:w="2071" w:type="dxa"/>
          </w:tcPr>
          <w:p w:rsidR="00F57BEF" w:rsidRPr="00B46892" w14:paraId="7562C338" w14:textId="52620BEF">
            <w:pPr>
              <w:ind w:firstLine="420" w:firstLineChars="200"/>
              <w:rPr>
                <w:rFonts w:ascii="黑体" w:eastAsia="黑体" w:hAnsi="黑体" w:hint="eastAsia"/>
                <w:szCs w:val="21"/>
              </w:rPr>
            </w:pPr>
            <w:r w:rsidRPr="00B46892">
              <w:rPr>
                <w:rFonts w:ascii="黑体" w:eastAsia="黑体" w:hAnsi="黑体" w:hint="eastAsia"/>
                <w:szCs w:val="21"/>
              </w:rPr>
              <w:t>1</w:t>
            </w:r>
            <w:r w:rsidRPr="00B46892">
              <w:rPr>
                <w:rFonts w:ascii="黑体" w:eastAsia="黑体" w:hAnsi="黑体"/>
                <w:szCs w:val="21"/>
              </w:rPr>
              <w:t>00%</w:t>
            </w:r>
          </w:p>
        </w:tc>
      </w:tr>
      <w:tr w14:paraId="2F1CC143" w14:textId="77777777">
        <w:tblPrEx>
          <w:tblW w:w="7143" w:type="dxa"/>
          <w:jc w:val="center"/>
          <w:tblLayout w:type="fixed"/>
          <w:tblLook w:val="04A0"/>
        </w:tblPrEx>
        <w:trPr>
          <w:trHeight w:val="259"/>
          <w:jc w:val="center"/>
        </w:trPr>
        <w:tc>
          <w:tcPr>
            <w:tcW w:w="5072" w:type="dxa"/>
            <w:vAlign w:val="center"/>
          </w:tcPr>
          <w:p w:rsidR="00F57BEF" w:rsidRPr="00B46892" w14:paraId="2F24A856" w14:textId="6DE7D61D">
            <w:pPr>
              <w:ind w:firstLine="420" w:firstLineChars="200"/>
              <w:rPr>
                <w:rFonts w:ascii="黑体" w:eastAsia="黑体" w:hAnsi="黑体" w:hint="eastAsia"/>
                <w:szCs w:val="21"/>
              </w:rPr>
            </w:pPr>
            <w:r w:rsidRPr="00B46892">
              <w:rPr>
                <w:rFonts w:ascii="黑体" w:eastAsia="黑体" w:hAnsi="黑体" w:hint="eastAsia"/>
                <w:szCs w:val="21"/>
              </w:rPr>
              <w:t>权益类资产</w:t>
            </w:r>
          </w:p>
        </w:tc>
        <w:tc>
          <w:tcPr>
            <w:tcW w:w="2071" w:type="dxa"/>
            <w:vAlign w:val="center"/>
          </w:tcPr>
          <w:p w:rsidR="00F57BEF" w:rsidRPr="00B46892" w14:paraId="2C5AB69F" w14:textId="369730D4">
            <w:pPr>
              <w:ind w:firstLine="420" w:firstLineChars="200"/>
              <w:rPr>
                <w:rFonts w:ascii="黑体" w:eastAsia="黑体" w:hAnsi="黑体" w:hint="eastAsia"/>
                <w:szCs w:val="21"/>
              </w:rPr>
            </w:pPr>
            <w:r w:rsidRPr="00B46892">
              <w:rPr>
                <w:rFonts w:ascii="黑体" w:eastAsia="黑体" w:hAnsi="黑体" w:hint="eastAsia"/>
                <w:szCs w:val="21"/>
              </w:rPr>
              <w:t>0</w:t>
            </w:r>
            <w:r w:rsidRPr="00B46892">
              <w:rPr>
                <w:rFonts w:ascii="黑体" w:eastAsia="黑体" w:hAnsi="黑体"/>
                <w:szCs w:val="21"/>
              </w:rPr>
              <w:t>%</w:t>
            </w:r>
          </w:p>
        </w:tc>
      </w:tr>
      <w:tr w14:paraId="019849B5" w14:textId="77777777">
        <w:tblPrEx>
          <w:tblW w:w="7143" w:type="dxa"/>
          <w:jc w:val="center"/>
          <w:tblLayout w:type="fixed"/>
          <w:tblLook w:val="04A0"/>
        </w:tblPrEx>
        <w:trPr>
          <w:trHeight w:val="259"/>
          <w:jc w:val="center"/>
        </w:trPr>
        <w:tc>
          <w:tcPr>
            <w:tcW w:w="5072" w:type="dxa"/>
            <w:vAlign w:val="center"/>
          </w:tcPr>
          <w:p w:rsidR="00F57BEF" w:rsidRPr="00B46892" w14:paraId="7D2EF676" w14:textId="5B4BA705">
            <w:pPr>
              <w:ind w:firstLine="420" w:firstLineChars="200"/>
              <w:rPr>
                <w:rFonts w:ascii="黑体" w:eastAsia="黑体" w:hAnsi="黑体" w:hint="eastAsia"/>
                <w:szCs w:val="21"/>
              </w:rPr>
            </w:pPr>
            <w:r w:rsidRPr="00B46892">
              <w:rPr>
                <w:rFonts w:ascii="黑体" w:eastAsia="黑体" w:hAnsi="黑体" w:hint="eastAsia"/>
                <w:szCs w:val="21"/>
              </w:rPr>
              <w:t>商品及金融衍生品类资产</w:t>
            </w:r>
          </w:p>
        </w:tc>
        <w:tc>
          <w:tcPr>
            <w:tcW w:w="2071" w:type="dxa"/>
            <w:vAlign w:val="center"/>
          </w:tcPr>
          <w:p w:rsidR="00F57BEF" w:rsidRPr="00B46892" w14:paraId="0DB205E1" w14:textId="125240EB">
            <w:pPr>
              <w:ind w:firstLine="420" w:firstLineChars="200"/>
              <w:rPr>
                <w:rFonts w:ascii="黑体" w:eastAsia="黑体" w:hAnsi="黑体" w:hint="eastAsia"/>
                <w:szCs w:val="21"/>
              </w:rPr>
            </w:pPr>
            <w:r w:rsidRPr="00B46892">
              <w:rPr>
                <w:rFonts w:ascii="黑体" w:eastAsia="黑体" w:hAnsi="黑体" w:hint="eastAsia"/>
                <w:szCs w:val="21"/>
              </w:rPr>
              <w:t>0</w:t>
            </w:r>
            <w:r w:rsidRPr="00B46892">
              <w:rPr>
                <w:rFonts w:ascii="黑体" w:eastAsia="黑体" w:hAnsi="黑体"/>
                <w:szCs w:val="21"/>
              </w:rPr>
              <w:t>%</w:t>
            </w:r>
          </w:p>
        </w:tc>
      </w:tr>
    </w:tbl>
    <w:p w:rsidR="00F57BEF" w:rsidRPr="00B46892" w14:paraId="4A504460" w14:textId="7AEFD7BF">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w:t>
      </w:r>
      <w:r w:rsidRPr="00B46892">
        <w:rPr>
          <w:rFonts w:ascii="黑体" w:eastAsia="黑体" w:hAnsi="黑体" w:hint="eastAsia"/>
          <w:szCs w:val="21"/>
        </w:rPr>
        <w:t>本产品可以通过质押式和买断式债券正回购进行融资。</w:t>
      </w:r>
    </w:p>
    <w:p w:rsidR="00F57BEF" w:rsidRPr="00B46892" w14:paraId="045BE362" w14:textId="5A880015">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2、本产品存续期间的投资比例将按上述计划配置比例合理浮动，非因主观因素导致突破上述比例限制的，产品管理人将在流动性受限资产可出售、可转让或者恢复交易之日的</w:t>
      </w:r>
      <w:r w:rsidRPr="00B46892">
        <w:rPr>
          <w:rFonts w:ascii="黑体" w:eastAsia="黑体" w:hAnsi="黑体" w:cs="黑体"/>
          <w:kern w:val="0"/>
          <w:szCs w:val="21"/>
        </w:rPr>
        <w:t>15个</w:t>
      </w:r>
      <w:r w:rsidRPr="00B46892">
        <w:rPr>
          <w:rFonts w:ascii="黑体" w:eastAsia="黑体" w:hAnsi="黑体" w:cs="黑体" w:hint="eastAsia"/>
          <w:kern w:val="0"/>
          <w:szCs w:val="21"/>
        </w:rPr>
        <w:t>交易日内</w:t>
      </w:r>
      <w:r w:rsidRPr="00B46892">
        <w:rPr>
          <w:rFonts w:ascii="黑体" w:eastAsia="黑体" w:hAnsi="黑体" w:cs="黑体"/>
          <w:kern w:val="0"/>
          <w:szCs w:val="21"/>
        </w:rPr>
        <w:t>将投资比例调整至符合要求</w:t>
      </w:r>
      <w:r w:rsidRPr="00B46892" w:rsidR="00133F37">
        <w:rPr>
          <w:rFonts w:ascii="黑体" w:eastAsia="黑体" w:hAnsi="黑体" w:cs="黑体" w:hint="eastAsia"/>
          <w:kern w:val="0"/>
          <w:szCs w:val="21"/>
        </w:rPr>
        <w:t>，国务院银行业监督管理机构规定的特殊情形除外</w:t>
      </w:r>
      <w:r w:rsidRPr="00B46892">
        <w:rPr>
          <w:rFonts w:ascii="黑体" w:eastAsia="黑体" w:hAnsi="黑体" w:cs="黑体" w:hint="eastAsia"/>
          <w:kern w:val="0"/>
          <w:szCs w:val="21"/>
        </w:rPr>
        <w:t>。</w:t>
      </w:r>
    </w:p>
    <w:p w:rsidR="00F57BEF" w:rsidRPr="00B46892" w14:paraId="542ED0A3"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3、在本产品存续期内，前述投资比例暂时超出浮动区间且可能对产品收益产生重大影响的，产品管理人将根据理财产品销售文件约定向投资者进行信息披露。</w:t>
      </w:r>
    </w:p>
    <w:p w:rsidR="00F57BEF" w:rsidRPr="00B46892" w14:paraId="2306D33C" w14:textId="6CBB9653">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4、</w:t>
      </w:r>
      <w:r w:rsidRPr="00B46892">
        <w:rPr>
          <w:rFonts w:ascii="黑体" w:eastAsia="黑体" w:hAnsi="黑体" w:cs="黑体" w:hint="eastAsia"/>
          <w:b/>
          <w:kern w:val="0"/>
          <w:szCs w:val="21"/>
        </w:rPr>
        <w:t>产品</w:t>
      </w:r>
      <w:r w:rsidRPr="00B46892">
        <w:rPr>
          <w:rFonts w:ascii="黑体" w:eastAsia="黑体" w:hAnsi="黑体" w:cs="黑体"/>
          <w:b/>
          <w:kern w:val="0"/>
          <w:szCs w:val="21"/>
        </w:rPr>
        <w:t>管理人</w:t>
      </w:r>
      <w:r w:rsidRPr="00B46892">
        <w:rPr>
          <w:rFonts w:ascii="黑体" w:eastAsia="黑体" w:hAnsi="黑体" w:cs="黑体" w:hint="eastAsia"/>
          <w:b/>
          <w:kern w:val="0"/>
          <w:szCs w:val="21"/>
        </w:rPr>
        <w:t>有权对投资范围、投资品种或投资比例进行调整，若发生调整情况，将提前至少</w:t>
      </w:r>
      <w:r w:rsidRPr="00B46892" w:rsidR="005F2BE7">
        <w:rPr>
          <w:rFonts w:ascii="黑体" w:eastAsia="黑体" w:hAnsi="黑体" w:cs="黑体" w:hint="eastAsia"/>
          <w:b/>
          <w:bCs/>
          <w:kern w:val="0"/>
          <w:szCs w:val="21"/>
        </w:rPr>
        <w:t>3个</w:t>
      </w:r>
      <w:r w:rsidRPr="00B46892">
        <w:rPr>
          <w:rFonts w:ascii="黑体" w:eastAsia="黑体" w:hAnsi="黑体" w:cs="黑体"/>
          <w:b/>
          <w:kern w:val="0"/>
          <w:szCs w:val="21"/>
        </w:rPr>
        <w:t>工作日进行相关信息披露。</w:t>
      </w:r>
      <w:r w:rsidRPr="00B46892">
        <w:rPr>
          <w:rFonts w:ascii="黑体" w:eastAsia="黑体" w:hAnsi="黑体" w:cs="黑体" w:hint="eastAsia"/>
          <w:b/>
          <w:kern w:val="0"/>
          <w:szCs w:val="21"/>
        </w:rPr>
        <w:t>上述情况下产品</w:t>
      </w:r>
      <w:r w:rsidRPr="00B46892">
        <w:rPr>
          <w:rFonts w:ascii="黑体" w:eastAsia="黑体" w:hAnsi="黑体" w:cs="黑体"/>
          <w:b/>
          <w:kern w:val="0"/>
          <w:szCs w:val="21"/>
        </w:rPr>
        <w:t>管理人</w:t>
      </w:r>
      <w:r w:rsidRPr="00B46892">
        <w:rPr>
          <w:rFonts w:ascii="黑体" w:eastAsia="黑体" w:hAnsi="黑体" w:cs="黑体" w:hint="eastAsia"/>
          <w:b/>
          <w:kern w:val="0"/>
          <w:szCs w:val="21"/>
        </w:rPr>
        <w:t>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w:t>
      </w:r>
      <w:r w:rsidRPr="00B46892">
        <w:rPr>
          <w:rFonts w:ascii="黑体" w:eastAsia="黑体" w:hAnsi="黑体" w:cs="黑体"/>
          <w:b/>
          <w:kern w:val="0"/>
          <w:szCs w:val="21"/>
        </w:rPr>
        <w:t>管理人</w:t>
      </w:r>
      <w:r w:rsidRPr="00B46892">
        <w:rPr>
          <w:rFonts w:ascii="黑体" w:eastAsia="黑体" w:hAnsi="黑体" w:cs="黑体" w:hint="eastAsia"/>
          <w:b/>
          <w:kern w:val="0"/>
          <w:szCs w:val="21"/>
        </w:rPr>
        <w:t>将事先取得投资者书面同意。</w:t>
      </w:r>
    </w:p>
    <w:p w:rsidR="00F57BEF" w:rsidRPr="00B46892" w14:paraId="57E26C5A" w14:textId="77777777">
      <w:pPr>
        <w:autoSpaceDE w:val="0"/>
        <w:autoSpaceDN w:val="0"/>
        <w:adjustRightInd w:val="0"/>
        <w:jc w:val="left"/>
        <w:rPr>
          <w:rFonts w:ascii="黑体" w:eastAsia="黑体" w:hAnsi="黑体" w:cs="黑体" w:hint="eastAsia"/>
          <w:bCs/>
          <w:kern w:val="0"/>
          <w:szCs w:val="21"/>
        </w:rPr>
      </w:pPr>
      <w:r w:rsidRPr="00B46892">
        <w:rPr>
          <w:rFonts w:ascii="黑体" w:eastAsia="黑体" w:hAnsi="黑体" w:cs="黑体" w:hint="eastAsia"/>
          <w:bCs/>
          <w:kern w:val="0"/>
          <w:szCs w:val="21"/>
        </w:rPr>
        <w:t>（二</w:t>
      </w:r>
      <w:r w:rsidRPr="00B46892">
        <w:rPr>
          <w:rFonts w:ascii="黑体" w:eastAsia="黑体" w:hAnsi="黑体" w:cs="黑体"/>
          <w:bCs/>
          <w:kern w:val="0"/>
          <w:szCs w:val="21"/>
        </w:rPr>
        <w:t>）</w:t>
      </w:r>
      <w:r w:rsidRPr="00B46892">
        <w:rPr>
          <w:rFonts w:ascii="黑体" w:eastAsia="黑体" w:hAnsi="黑体" w:cs="黑体" w:hint="eastAsia"/>
          <w:bCs/>
          <w:kern w:val="0"/>
          <w:szCs w:val="21"/>
        </w:rPr>
        <w:t>拟</w:t>
      </w:r>
      <w:r w:rsidRPr="00B46892">
        <w:rPr>
          <w:rFonts w:ascii="黑体" w:eastAsia="黑体" w:hAnsi="黑体" w:cs="黑体"/>
          <w:bCs/>
          <w:kern w:val="0"/>
          <w:szCs w:val="21"/>
        </w:rPr>
        <w:t>投资市场</w:t>
      </w:r>
      <w:r w:rsidRPr="00B46892">
        <w:rPr>
          <w:rFonts w:ascii="黑体" w:eastAsia="黑体" w:hAnsi="黑体" w:cs="黑体" w:hint="eastAsia"/>
          <w:bCs/>
          <w:kern w:val="0"/>
          <w:szCs w:val="21"/>
        </w:rPr>
        <w:t>和</w:t>
      </w:r>
      <w:r w:rsidRPr="00B46892">
        <w:rPr>
          <w:rFonts w:ascii="黑体" w:eastAsia="黑体" w:hAnsi="黑体" w:cs="黑体"/>
          <w:bCs/>
          <w:kern w:val="0"/>
          <w:szCs w:val="21"/>
        </w:rPr>
        <w:t>资产</w:t>
      </w:r>
      <w:r w:rsidRPr="00B46892">
        <w:rPr>
          <w:rFonts w:ascii="黑体" w:eastAsia="黑体" w:hAnsi="黑体" w:cs="黑体" w:hint="eastAsia"/>
          <w:bCs/>
          <w:kern w:val="0"/>
          <w:szCs w:val="21"/>
        </w:rPr>
        <w:t>的</w:t>
      </w:r>
      <w:r w:rsidRPr="00B46892">
        <w:rPr>
          <w:rFonts w:ascii="黑体" w:eastAsia="黑体" w:hAnsi="黑体" w:cs="黑体"/>
          <w:bCs/>
          <w:kern w:val="0"/>
          <w:szCs w:val="21"/>
        </w:rPr>
        <w:t>风险评估</w:t>
      </w:r>
    </w:p>
    <w:p w:rsidR="00F57BEF" w:rsidRPr="00B46892" w14:paraId="2463A472"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1、产品拟</w:t>
      </w:r>
      <w:r w:rsidRPr="00B46892">
        <w:rPr>
          <w:rFonts w:ascii="黑体" w:eastAsia="黑体" w:hAnsi="黑体" w:cs="黑体"/>
          <w:kern w:val="0"/>
          <w:szCs w:val="21"/>
        </w:rPr>
        <w:t>投资</w:t>
      </w:r>
      <w:r w:rsidRPr="00B46892">
        <w:rPr>
          <w:rFonts w:ascii="黑体" w:eastAsia="黑体" w:hAnsi="黑体" w:cs="黑体" w:hint="eastAsia"/>
          <w:kern w:val="0"/>
          <w:szCs w:val="21"/>
        </w:rPr>
        <w:t>资产</w:t>
      </w:r>
      <w:r w:rsidRPr="00B46892">
        <w:rPr>
          <w:rFonts w:ascii="黑体" w:eastAsia="黑体" w:hAnsi="黑体" w:cs="黑体"/>
          <w:kern w:val="0"/>
          <w:szCs w:val="21"/>
        </w:rPr>
        <w:t>类型</w:t>
      </w:r>
      <w:r w:rsidRPr="00B46892">
        <w:rPr>
          <w:rFonts w:ascii="黑体" w:eastAsia="黑体" w:hAnsi="黑体" w:cs="黑体" w:hint="eastAsia"/>
          <w:kern w:val="0"/>
          <w:szCs w:val="21"/>
        </w:rPr>
        <w:t>以</w:t>
      </w:r>
      <w:r w:rsidRPr="00B46892">
        <w:rPr>
          <w:rFonts w:ascii="黑体" w:eastAsia="黑体" w:hAnsi="黑体" w:cs="黑体"/>
          <w:kern w:val="0"/>
          <w:szCs w:val="21"/>
        </w:rPr>
        <w:t>本说明</w:t>
      </w:r>
      <w:r w:rsidRPr="00B46892">
        <w:rPr>
          <w:rFonts w:ascii="黑体" w:eastAsia="黑体" w:hAnsi="黑体" w:cs="黑体" w:hint="eastAsia"/>
          <w:kern w:val="0"/>
          <w:szCs w:val="21"/>
        </w:rPr>
        <w:t>书</w:t>
      </w:r>
      <w:r w:rsidRPr="00B46892">
        <w:rPr>
          <w:rFonts w:ascii="黑体" w:eastAsia="黑体" w:hAnsi="黑体" w:cs="黑体"/>
          <w:kern w:val="0"/>
          <w:szCs w:val="21"/>
        </w:rPr>
        <w:t>第</w:t>
      </w:r>
      <w:r w:rsidRPr="00B46892">
        <w:rPr>
          <w:rFonts w:ascii="黑体" w:eastAsia="黑体" w:hAnsi="黑体" w:cs="黑体" w:hint="eastAsia"/>
          <w:kern w:val="0"/>
          <w:szCs w:val="21"/>
        </w:rPr>
        <w:t>三（一）</w:t>
      </w:r>
      <w:r w:rsidRPr="00B46892">
        <w:rPr>
          <w:rFonts w:ascii="黑体" w:eastAsia="黑体" w:hAnsi="黑体" w:cs="黑体"/>
          <w:kern w:val="0"/>
          <w:szCs w:val="21"/>
        </w:rPr>
        <w:t>条</w:t>
      </w:r>
      <w:r w:rsidRPr="00B46892">
        <w:rPr>
          <w:rFonts w:ascii="黑体" w:eastAsia="黑体" w:hAnsi="黑体" w:cs="黑体" w:hint="eastAsia"/>
          <w:kern w:val="0"/>
          <w:szCs w:val="21"/>
        </w:rPr>
        <w:t>载明</w:t>
      </w:r>
      <w:r w:rsidRPr="00B46892">
        <w:rPr>
          <w:rFonts w:ascii="黑体" w:eastAsia="黑体" w:hAnsi="黑体" w:cs="黑体"/>
          <w:kern w:val="0"/>
          <w:szCs w:val="21"/>
        </w:rPr>
        <w:t>为准。</w:t>
      </w:r>
    </w:p>
    <w:p w:rsidR="00F57BEF" w:rsidRPr="00B46892" w14:paraId="1DA86489"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投资于上述</w:t>
      </w:r>
      <w:r w:rsidRPr="00B46892">
        <w:rPr>
          <w:rFonts w:ascii="黑体" w:eastAsia="黑体" w:hAnsi="黑体" w:cs="黑体"/>
          <w:b/>
          <w:kern w:val="0"/>
          <w:szCs w:val="21"/>
        </w:rPr>
        <w:t>市场和资产</w:t>
      </w:r>
      <w:r w:rsidRPr="00B46892">
        <w:rPr>
          <w:rFonts w:ascii="黑体" w:eastAsia="黑体" w:hAnsi="黑体" w:cs="黑体" w:hint="eastAsia"/>
          <w:b/>
          <w:kern w:val="0"/>
          <w:szCs w:val="21"/>
        </w:rPr>
        <w:t>，可能</w:t>
      </w:r>
      <w:r w:rsidRPr="00B46892">
        <w:rPr>
          <w:rFonts w:ascii="黑体" w:eastAsia="黑体" w:hAnsi="黑体" w:cs="黑体"/>
          <w:b/>
          <w:kern w:val="0"/>
          <w:szCs w:val="21"/>
        </w:rPr>
        <w:t>面临</w:t>
      </w:r>
      <w:r w:rsidRPr="00B46892">
        <w:rPr>
          <w:rFonts w:ascii="黑体" w:eastAsia="黑体" w:hAnsi="黑体" w:cs="黑体" w:hint="eastAsia"/>
          <w:b/>
          <w:kern w:val="0"/>
          <w:szCs w:val="21"/>
        </w:rPr>
        <w:t>包括但不限于</w:t>
      </w:r>
      <w:r w:rsidRPr="00B46892">
        <w:rPr>
          <w:rFonts w:ascii="黑体" w:eastAsia="黑体" w:hAnsi="黑体" w:cs="黑体"/>
          <w:b/>
          <w:kern w:val="0"/>
          <w:szCs w:val="21"/>
        </w:rPr>
        <w:t>如下风险：</w:t>
      </w:r>
    </w:p>
    <w:p w:rsidR="00F57BEF" w:rsidRPr="00B46892" w14:paraId="60259B4F"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政策风险</w:t>
      </w:r>
      <w:r w:rsidRPr="00B46892">
        <w:rPr>
          <w:rFonts w:ascii="黑体" w:eastAsia="黑体" w:hAnsi="黑体" w:cs="黑体"/>
          <w:b/>
          <w:kern w:val="0"/>
          <w:szCs w:val="21"/>
        </w:rPr>
        <w:t>：</w:t>
      </w:r>
      <w:r w:rsidRPr="00B46892">
        <w:rPr>
          <w:rFonts w:ascii="黑体" w:eastAsia="黑体" w:hAnsi="黑体" w:cs="黑体" w:hint="eastAsia"/>
          <w:b/>
          <w:kern w:val="0"/>
          <w:szCs w:val="21"/>
        </w:rPr>
        <w:t>理财产品在运作过程中，由于国家宏观政策以及市场相关法律法规、监管规定发生变化，导致产品的发行、投资、兑付等流程受到影响，进而影响产品的投资运作和收益的风险。</w:t>
      </w:r>
    </w:p>
    <w:p w:rsidR="00F57BEF" w:rsidRPr="00B46892" w14:paraId="1DC400BD"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市场风险：理财产品在运作过程中，由于市场变化造成产品所投资</w:t>
      </w:r>
      <w:r w:rsidRPr="00B46892">
        <w:rPr>
          <w:rFonts w:ascii="黑体" w:eastAsia="黑体" w:hAnsi="黑体" w:cs="黑体" w:hint="eastAsia"/>
          <w:b/>
          <w:kern w:val="0"/>
          <w:szCs w:val="21"/>
        </w:rPr>
        <w:t>产价格</w:t>
      </w:r>
      <w:r w:rsidRPr="00B46892">
        <w:rPr>
          <w:rFonts w:ascii="黑体" w:eastAsia="黑体" w:hAnsi="黑体" w:cs="黑体" w:hint="eastAsia"/>
          <w:b/>
          <w:kern w:val="0"/>
          <w:szCs w:val="21"/>
        </w:rPr>
        <w:t>波动、从而影响理财产品收益的风险。市场风险包括但不限于投资债券面临的利率变化及债券价格波动带来的风险，投资股票面临的股票价格波动带来的风险，投资商品及金融衍生</w:t>
      </w:r>
      <w:r w:rsidRPr="00B46892">
        <w:rPr>
          <w:rFonts w:ascii="黑体" w:eastAsia="黑体" w:hAnsi="黑体" w:cs="黑体" w:hint="eastAsia"/>
          <w:b/>
          <w:kern w:val="0"/>
          <w:szCs w:val="21"/>
        </w:rPr>
        <w:t>品面临</w:t>
      </w:r>
      <w:r w:rsidRPr="00B46892">
        <w:rPr>
          <w:rFonts w:ascii="黑体" w:eastAsia="黑体" w:hAnsi="黑体" w:cs="黑体" w:hint="eastAsia"/>
          <w:b/>
          <w:kern w:val="0"/>
          <w:szCs w:val="21"/>
        </w:rPr>
        <w:t>的商品及衍生品价格波动带来的风险等。</w:t>
      </w:r>
    </w:p>
    <w:p w:rsidR="00F57BEF" w:rsidRPr="00B46892" w14:paraId="035D20BD"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信用</w:t>
      </w:r>
      <w:r w:rsidRPr="00B46892">
        <w:rPr>
          <w:rFonts w:ascii="黑体" w:eastAsia="黑体" w:hAnsi="黑体" w:cs="黑体"/>
          <w:b/>
          <w:kern w:val="0"/>
          <w:szCs w:val="21"/>
        </w:rPr>
        <w:t>风险：</w:t>
      </w:r>
      <w:r w:rsidRPr="00B46892">
        <w:rPr>
          <w:rFonts w:ascii="黑体" w:eastAsia="黑体" w:hAnsi="黑体" w:cs="黑体" w:hint="eastAsia"/>
          <w:b/>
          <w:kern w:val="0"/>
          <w:szCs w:val="21"/>
        </w:rPr>
        <w:t>理财产品所投资产的相关债务人或关联责任人（包括但不限于担保人）等信用状况恶化、不能如期履约的风险。</w:t>
      </w:r>
    </w:p>
    <w:p w:rsidR="00F57BEF" w:rsidRPr="00B46892" w14:paraId="26BDB07A" w14:textId="5BCF79DE">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流动性风险：</w:t>
      </w:r>
      <w:r w:rsidRPr="00B46892">
        <w:rPr>
          <w:rFonts w:ascii="黑体" w:eastAsia="黑体" w:hAnsi="黑体" w:cs="宋体" w:hint="eastAsia"/>
          <w:b/>
          <w:kern w:val="0"/>
          <w:szCs w:val="21"/>
        </w:rPr>
        <w:t>在特定市场环境下，理财产品所投资的上述部分市场或资产可能出现流动性较差的情况，导致理财产品存在无法通过变现资产等途径以合理成本及时获得充足资金，用于满足投资者赎回需求、履行其他支付义务的风险。</w:t>
      </w:r>
      <w:r w:rsidRPr="00B46892">
        <w:rPr>
          <w:rFonts w:ascii="黑体" w:eastAsia="黑体" w:hAnsi="黑体" w:cs="黑体" w:hint="eastAsia"/>
          <w:b/>
          <w:kern w:val="0"/>
          <w:szCs w:val="21"/>
        </w:rPr>
        <w:t>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F75750" w:rsidRPr="00B46892" w:rsidP="00F75750" w14:paraId="4183106A" w14:textId="7382F03A">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提前终止风险：在本产品存续期内，如</w:t>
      </w:r>
      <w:r w:rsidRPr="00B46892">
        <w:rPr>
          <w:rFonts w:ascii="黑体" w:eastAsia="黑体" w:hAnsi="黑体" w:cs="黑体" w:hint="eastAsia"/>
          <w:b/>
          <w:kern w:val="0"/>
          <w:szCs w:val="21"/>
        </w:rPr>
        <w:t>遇包括</w:t>
      </w:r>
      <w:r w:rsidRPr="00B46892">
        <w:rPr>
          <w:rFonts w:ascii="黑体" w:eastAsia="黑体" w:hAnsi="黑体" w:cs="黑体" w:hint="eastAsia"/>
          <w:b/>
          <w:kern w:val="0"/>
          <w:szCs w:val="21"/>
        </w:rPr>
        <w:t>但不限于国家金融政策发生重大调整、金融市场发生重大波动、</w:t>
      </w:r>
      <w:r w:rsidRPr="00B46892">
        <w:rPr>
          <w:rFonts w:ascii="黑体" w:eastAsia="黑体" w:hAnsi="黑体" w:cs="黑体"/>
          <w:b/>
          <w:kern w:val="0"/>
          <w:szCs w:val="21"/>
        </w:rPr>
        <w:t>不可抗力</w:t>
      </w:r>
      <w:r w:rsidRPr="00B46892">
        <w:rPr>
          <w:rFonts w:ascii="黑体" w:eastAsia="黑体" w:hAnsi="黑体" w:cs="黑体" w:hint="eastAsia"/>
          <w:b/>
          <w:kern w:val="0"/>
          <w:szCs w:val="21"/>
        </w:rPr>
        <w:t>、产品存续规模低于产品</w:t>
      </w:r>
      <w:r w:rsidRPr="00B46892">
        <w:rPr>
          <w:rFonts w:ascii="黑体" w:eastAsia="黑体" w:hAnsi="黑体" w:cs="黑体" w:hint="eastAsia"/>
          <w:b/>
          <w:kern w:val="0"/>
          <w:szCs w:val="21"/>
        </w:rPr>
        <w:t>最低成立</w:t>
      </w:r>
      <w:r w:rsidRPr="00B46892">
        <w:rPr>
          <w:rFonts w:ascii="黑体" w:eastAsia="黑体" w:hAnsi="黑体" w:cs="黑体" w:hint="eastAsia"/>
          <w:b/>
          <w:kern w:val="0"/>
          <w:szCs w:val="21"/>
        </w:rPr>
        <w:t>规模或产品管理人认为影响产品运作需要提前终止产品的其他情况，产品管理人有权提前终止产品，并至少于提前终止日前</w:t>
      </w:r>
      <w:r w:rsidRPr="00B46892" w:rsidR="005F2BE7">
        <w:rPr>
          <w:rFonts w:ascii="黑体" w:eastAsia="黑体" w:hAnsi="黑体" w:cs="黑体" w:hint="eastAsia"/>
          <w:b/>
          <w:kern w:val="0"/>
          <w:szCs w:val="21"/>
        </w:rPr>
        <w:t>3个</w:t>
      </w:r>
      <w:r w:rsidRPr="00B46892">
        <w:rPr>
          <w:rFonts w:ascii="黑体" w:eastAsia="黑体" w:hAnsi="黑体" w:cs="黑体" w:hint="eastAsia"/>
          <w:b/>
          <w:kern w:val="0"/>
          <w:szCs w:val="21"/>
        </w:rPr>
        <w:t>工作日进行公告，相关兑付</w:t>
      </w:r>
      <w:r w:rsidRPr="00B46892">
        <w:rPr>
          <w:rFonts w:ascii="黑体" w:eastAsia="黑体" w:hAnsi="黑体" w:cs="黑体"/>
          <w:b/>
          <w:kern w:val="0"/>
          <w:szCs w:val="21"/>
        </w:rPr>
        <w:t>安排规则</w:t>
      </w:r>
      <w:r w:rsidRPr="00B46892">
        <w:rPr>
          <w:rFonts w:ascii="黑体" w:eastAsia="黑体" w:hAnsi="黑体" w:cs="黑体" w:hint="eastAsia"/>
          <w:b/>
          <w:kern w:val="0"/>
          <w:szCs w:val="21"/>
        </w:rPr>
        <w:t>将在</w:t>
      </w:r>
      <w:r w:rsidRPr="00B46892">
        <w:rPr>
          <w:rFonts w:ascii="黑体" w:eastAsia="黑体" w:hAnsi="黑体" w:cs="黑体"/>
          <w:b/>
          <w:kern w:val="0"/>
          <w:szCs w:val="21"/>
        </w:rPr>
        <w:t>公告</w:t>
      </w:r>
      <w:r w:rsidRPr="00B46892">
        <w:rPr>
          <w:rFonts w:ascii="黑体" w:eastAsia="黑体" w:hAnsi="黑体" w:cs="黑体" w:hint="eastAsia"/>
          <w:b/>
          <w:kern w:val="0"/>
          <w:szCs w:val="21"/>
        </w:rPr>
        <w:t>中</w:t>
      </w:r>
      <w:r w:rsidRPr="00B46892">
        <w:rPr>
          <w:rFonts w:ascii="黑体" w:eastAsia="黑体" w:hAnsi="黑体" w:cs="黑体"/>
          <w:b/>
          <w:kern w:val="0"/>
          <w:szCs w:val="21"/>
        </w:rPr>
        <w:t>披露。</w:t>
      </w:r>
      <w:r w:rsidRPr="00B46892">
        <w:rPr>
          <w:rFonts w:ascii="黑体" w:eastAsia="黑体" w:hAnsi="黑体" w:cs="黑体" w:hint="eastAsia"/>
          <w:b/>
          <w:kern w:val="0"/>
          <w:szCs w:val="21"/>
        </w:rPr>
        <w:t>（具体信息及相关</w:t>
      </w:r>
      <w:r w:rsidRPr="00B46892">
        <w:rPr>
          <w:rFonts w:ascii="黑体" w:eastAsia="黑体" w:hAnsi="黑体" w:cs="黑体" w:hint="eastAsia"/>
          <w:b/>
          <w:kern w:val="0"/>
          <w:szCs w:val="21"/>
        </w:rPr>
        <w:t>规则见</w:t>
      </w:r>
      <w:r w:rsidRPr="00B46892">
        <w:rPr>
          <w:rFonts w:ascii="黑体" w:eastAsia="黑体" w:hAnsi="黑体" w:cs="黑体" w:hint="eastAsia"/>
          <w:b/>
          <w:kern w:val="0"/>
          <w:szCs w:val="21"/>
        </w:rPr>
        <w:t>七、理财产品到期与终止。）</w:t>
      </w:r>
    </w:p>
    <w:p w:rsidR="00F57BEF" w:rsidRPr="00B46892" w14:paraId="56280C8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b/>
          <w:kern w:val="0"/>
          <w:szCs w:val="21"/>
        </w:rPr>
        <w:t>以上风险仅为列举性质，详见产品风险揭示书。</w:t>
      </w:r>
    </w:p>
    <w:p w:rsidR="00F57BEF" w:rsidRPr="00B46892" w14:paraId="5975EA44" w14:textId="0146C780">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2、综合考虑本产品的投资组合、同类产品过往业绩和风险水平（包括但不限于拟投资市场和资产的风险评估等）等因素，</w:t>
      </w:r>
      <w:r w:rsidRPr="00C542B4">
        <w:rPr>
          <w:rFonts w:ascii="黑体" w:eastAsia="黑体" w:hAnsi="黑体" w:cs="黑体" w:hint="eastAsia"/>
          <w:b/>
          <w:bCs/>
          <w:kern w:val="0"/>
          <w:szCs w:val="21"/>
        </w:rPr>
        <w:t>本产品评级为</w:t>
      </w:r>
      <w:r w:rsidRPr="00C542B4" w:rsidR="00457A6E">
        <w:rPr>
          <w:rFonts w:ascii="黑体" w:eastAsia="黑体" w:hAnsi="黑体" w:cs="黑体" w:hint="eastAsia"/>
          <w:b/>
          <w:bCs/>
          <w:kern w:val="0"/>
          <w:szCs w:val="21"/>
        </w:rPr>
        <w:t>PR1</w:t>
      </w:r>
      <w:r w:rsidRPr="00C542B4">
        <w:rPr>
          <w:rFonts w:ascii="黑体" w:eastAsia="黑体" w:hAnsi="黑体" w:cs="黑体" w:hint="eastAsia"/>
          <w:b/>
          <w:bCs/>
          <w:kern w:val="0"/>
          <w:szCs w:val="21"/>
        </w:rPr>
        <w:t>风险</w:t>
      </w:r>
      <w:r w:rsidRPr="00B46892">
        <w:rPr>
          <w:rFonts w:ascii="黑体" w:eastAsia="黑体" w:hAnsi="黑体" w:cs="黑体" w:hint="eastAsia"/>
          <w:kern w:val="0"/>
          <w:szCs w:val="21"/>
        </w:rPr>
        <w:t>（本评级为公司内部评级，仅供参考，该产品通过代理销售机构渠道销售的，理财产品评级应当以代理销售机构最终披露的评级结果为准）。</w:t>
      </w:r>
    </w:p>
    <w:p w:rsidR="00F57BEF" w:rsidRPr="00B46892" w14:paraId="1BA90E45" w14:textId="77777777">
      <w:pPr>
        <w:autoSpaceDE w:val="0"/>
        <w:autoSpaceDN w:val="0"/>
        <w:adjustRightInd w:val="0"/>
        <w:ind w:firstLine="420" w:firstLineChars="200"/>
        <w:jc w:val="left"/>
        <w:rPr>
          <w:rFonts w:ascii="黑体" w:eastAsia="黑体" w:hAnsi="黑体" w:cs="黑体" w:hint="eastAsia"/>
          <w:kern w:val="0"/>
          <w:szCs w:val="21"/>
        </w:rPr>
      </w:pPr>
    </w:p>
    <w:p w:rsidR="00F57BEF" w:rsidRPr="00B46892" w14:paraId="3F951F32"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四、产品交易相关规则</w:t>
      </w:r>
    </w:p>
    <w:p w:rsidR="00F57BEF" w:rsidRPr="00B46892" w14:paraId="56DA887F"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（一）认购和</w:t>
      </w:r>
      <w:r w:rsidRPr="00B46892">
        <w:rPr>
          <w:rFonts w:ascii="黑体" w:eastAsia="黑体" w:hAnsi="黑体" w:cs="宋体"/>
          <w:kern w:val="0"/>
          <w:szCs w:val="21"/>
        </w:rPr>
        <w:t>申购</w:t>
      </w:r>
      <w:r w:rsidRPr="00B46892">
        <w:rPr>
          <w:rFonts w:ascii="黑体" w:eastAsia="黑体" w:hAnsi="黑体" w:cs="宋体" w:hint="eastAsia"/>
          <w:kern w:val="0"/>
          <w:szCs w:val="21"/>
        </w:rPr>
        <w:t>相关规则</w:t>
      </w:r>
    </w:p>
    <w:p w:rsidR="00F57BEF" w:rsidRPr="00C542B4" w14:paraId="18B346FB" w14:textId="77777777">
      <w:pPr>
        <w:autoSpaceDE w:val="0"/>
        <w:autoSpaceDN w:val="0"/>
        <w:adjustRightInd w:val="0"/>
        <w:ind w:firstLine="420" w:firstLineChars="200"/>
        <w:jc w:val="left"/>
        <w:rPr>
          <w:rFonts w:ascii="黑体" w:eastAsia="黑体" w:hAnsi="黑体" w:cs="黑体" w:hint="eastAsia"/>
          <w:b/>
          <w:bCs/>
          <w:kern w:val="0"/>
          <w:szCs w:val="21"/>
        </w:rPr>
      </w:pPr>
      <w:r w:rsidRPr="00B46892">
        <w:rPr>
          <w:rFonts w:ascii="黑体" w:eastAsia="黑体" w:hAnsi="黑体" w:cs="黑体" w:hint="eastAsia"/>
          <w:kern w:val="0"/>
          <w:szCs w:val="21"/>
        </w:rPr>
        <w:t>1、产品募集期内，投资者可以</w:t>
      </w:r>
      <w:r w:rsidRPr="00B46892">
        <w:rPr>
          <w:rFonts w:ascii="黑体" w:eastAsia="黑体" w:hAnsi="黑体" w:cs="黑体"/>
          <w:kern w:val="0"/>
          <w:szCs w:val="21"/>
        </w:rPr>
        <w:t>对本产品进行认购、追加</w:t>
      </w:r>
      <w:r w:rsidRPr="00B46892">
        <w:rPr>
          <w:rFonts w:ascii="黑体" w:eastAsia="黑体" w:hAnsi="黑体" w:cs="黑体" w:hint="eastAsia"/>
          <w:kern w:val="0"/>
          <w:szCs w:val="21"/>
        </w:rPr>
        <w:t>、</w:t>
      </w:r>
      <w:r w:rsidRPr="00B46892">
        <w:rPr>
          <w:rFonts w:ascii="黑体" w:eastAsia="黑体" w:hAnsi="黑体" w:cs="黑体"/>
          <w:kern w:val="0"/>
          <w:szCs w:val="21"/>
        </w:rPr>
        <w:t>撤单</w:t>
      </w:r>
      <w:r w:rsidRPr="00B46892">
        <w:rPr>
          <w:rFonts w:ascii="黑体" w:eastAsia="黑体" w:hAnsi="黑体" w:cs="黑体" w:hint="eastAsia"/>
          <w:kern w:val="0"/>
          <w:szCs w:val="21"/>
        </w:rPr>
        <w:t>，销售机构有权在投资者指定账户中对相应资金进行冻结或通过相关支付渠道(如有)划转，具体以销售机构实际处理为准，产品</w:t>
      </w:r>
      <w:r w:rsidRPr="00B46892">
        <w:rPr>
          <w:rFonts w:ascii="黑体" w:eastAsia="黑体" w:hAnsi="黑体" w:cs="黑体"/>
          <w:kern w:val="0"/>
          <w:szCs w:val="21"/>
        </w:rPr>
        <w:t>管理人将在</w:t>
      </w:r>
      <w:r w:rsidRPr="00B46892">
        <w:rPr>
          <w:rFonts w:ascii="黑体" w:eastAsia="黑体" w:hAnsi="黑体" w:cs="黑体" w:hint="eastAsia"/>
          <w:kern w:val="0"/>
          <w:szCs w:val="21"/>
        </w:rPr>
        <w:t>产品成立日</w:t>
      </w:r>
      <w:r w:rsidRPr="00B46892">
        <w:rPr>
          <w:rFonts w:ascii="黑体" w:eastAsia="黑体" w:hAnsi="黑体" w:cs="黑体"/>
          <w:kern w:val="0"/>
          <w:szCs w:val="21"/>
        </w:rPr>
        <w:t>对</w:t>
      </w:r>
      <w:r w:rsidRPr="00B46892">
        <w:rPr>
          <w:rFonts w:ascii="黑体" w:eastAsia="黑体" w:hAnsi="黑体" w:cs="黑体" w:hint="eastAsia"/>
          <w:kern w:val="0"/>
          <w:szCs w:val="21"/>
        </w:rPr>
        <w:t>募集期</w:t>
      </w:r>
      <w:r w:rsidRPr="00B46892">
        <w:rPr>
          <w:rFonts w:ascii="黑体" w:eastAsia="黑体" w:hAnsi="黑体" w:cs="黑体"/>
          <w:kern w:val="0"/>
          <w:szCs w:val="21"/>
        </w:rPr>
        <w:t>的认购</w:t>
      </w:r>
      <w:r w:rsidRPr="00B46892">
        <w:rPr>
          <w:rFonts w:ascii="黑体" w:eastAsia="黑体" w:hAnsi="黑体" w:cs="黑体" w:hint="eastAsia"/>
          <w:kern w:val="0"/>
          <w:szCs w:val="21"/>
        </w:rPr>
        <w:t>及</w:t>
      </w:r>
      <w:r w:rsidRPr="00B46892">
        <w:rPr>
          <w:rFonts w:ascii="黑体" w:eastAsia="黑体" w:hAnsi="黑体" w:cs="黑体"/>
          <w:kern w:val="0"/>
          <w:szCs w:val="21"/>
        </w:rPr>
        <w:t>追加</w:t>
      </w:r>
      <w:r w:rsidRPr="00B46892">
        <w:rPr>
          <w:rFonts w:ascii="黑体" w:eastAsia="黑体" w:hAnsi="黑体" w:cs="黑体" w:hint="eastAsia"/>
          <w:kern w:val="0"/>
          <w:szCs w:val="21"/>
        </w:rPr>
        <w:t>申请进行</w:t>
      </w:r>
      <w:bookmarkStart w:id="1" w:name="_Hlk33019208"/>
      <w:r w:rsidRPr="00B46892">
        <w:rPr>
          <w:rFonts w:ascii="黑体" w:eastAsia="黑体" w:hAnsi="黑体" w:cs="黑体" w:hint="eastAsia"/>
          <w:kern w:val="0"/>
          <w:szCs w:val="21"/>
        </w:rPr>
        <w:t>确认和划款</w:t>
      </w:r>
      <w:bookmarkEnd w:id="1"/>
      <w:r w:rsidRPr="00B46892">
        <w:rPr>
          <w:rFonts w:ascii="黑体" w:eastAsia="黑体" w:hAnsi="黑体" w:cs="黑体" w:hint="eastAsia"/>
          <w:kern w:val="0"/>
          <w:szCs w:val="21"/>
        </w:rPr>
        <w:t>。</w:t>
      </w:r>
      <w:r w:rsidRPr="00C542B4">
        <w:rPr>
          <w:rFonts w:ascii="黑体" w:eastAsia="黑体" w:hAnsi="黑体" w:cs="黑体" w:hint="eastAsia"/>
          <w:b/>
          <w:bCs/>
          <w:kern w:val="0"/>
          <w:szCs w:val="21"/>
        </w:rPr>
        <w:t>募集期内管理人不向投资者认购款项计付利息，销售机构是否计付利息以销售机构为准。</w:t>
      </w:r>
    </w:p>
    <w:p w:rsidR="00F57BEF" w:rsidRPr="00C542B4" w14:paraId="30B6D2AB"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产品募集</w:t>
      </w:r>
      <w:r w:rsidRPr="00C542B4">
        <w:rPr>
          <w:rFonts w:ascii="黑体" w:eastAsia="黑体" w:hAnsi="黑体" w:cs="黑体" w:hint="eastAsia"/>
          <w:b/>
          <w:bCs/>
          <w:kern w:val="0"/>
          <w:szCs w:val="21"/>
        </w:rPr>
        <w:t>期单位</w:t>
      </w:r>
      <w:r w:rsidRPr="00C542B4">
        <w:rPr>
          <w:rFonts w:ascii="黑体" w:eastAsia="黑体" w:hAnsi="黑体" w:cs="黑体" w:hint="eastAsia"/>
          <w:b/>
          <w:bCs/>
          <w:kern w:val="0"/>
          <w:szCs w:val="21"/>
        </w:rPr>
        <w:t>净值为1元，募集期认购价格采用募集</w:t>
      </w:r>
      <w:r w:rsidRPr="00C542B4">
        <w:rPr>
          <w:rFonts w:ascii="黑体" w:eastAsia="黑体" w:hAnsi="黑体" w:cs="黑体" w:hint="eastAsia"/>
          <w:b/>
          <w:bCs/>
          <w:kern w:val="0"/>
          <w:szCs w:val="21"/>
        </w:rPr>
        <w:t>期单位</w:t>
      </w:r>
      <w:r w:rsidRPr="00C542B4">
        <w:rPr>
          <w:rFonts w:ascii="黑体" w:eastAsia="黑体" w:hAnsi="黑体" w:cs="黑体" w:hint="eastAsia"/>
          <w:b/>
          <w:bCs/>
          <w:kern w:val="0"/>
          <w:szCs w:val="21"/>
        </w:rPr>
        <w:t>净值。</w:t>
      </w:r>
    </w:p>
    <w:p w:rsidR="00F57BEF" w:rsidRPr="00B46892" w14:paraId="70BCA889" w14:textId="6D6AB051">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2、产品存续期间，投资者可以对本产品进行申购、追加、撤单，销售机构有权在投资者指定账户中对相应资金进行冻结或通过相关支付渠道(如有)划转，具体以销售机构实际处理为准，产品管理人将在</w:t>
      </w:r>
      <w:r w:rsidRPr="00B46892" w:rsidR="005F2BE7">
        <w:rPr>
          <w:rFonts w:ascii="黑体" w:hAnsi="黑体" w:hint="eastAsia"/>
          <w:kern w:val="0"/>
        </w:rPr>
        <w:t>申购</w:t>
      </w:r>
      <w:r w:rsidRPr="00B46892" w:rsidR="005F2BE7">
        <w:rPr>
          <w:rFonts w:ascii="黑体" w:eastAsia="黑体" w:hAnsi="黑体" w:cs="黑体" w:hint="eastAsia"/>
          <w:kern w:val="0"/>
          <w:szCs w:val="21"/>
        </w:rPr>
        <w:t>确认</w:t>
      </w:r>
      <w:r w:rsidRPr="00B46892" w:rsidR="005F2BE7">
        <w:rPr>
          <w:rFonts w:ascii="黑体" w:hAnsi="黑体" w:hint="eastAsia"/>
          <w:kern w:val="0"/>
        </w:rPr>
        <w:t>日</w:t>
      </w:r>
      <w:r w:rsidRPr="00B46892">
        <w:rPr>
          <w:rFonts w:ascii="黑体" w:eastAsia="黑体" w:hAnsi="黑体" w:cs="黑体" w:hint="eastAsia"/>
          <w:kern w:val="0"/>
          <w:szCs w:val="21"/>
        </w:rPr>
        <w:t>对上述申购及追加申请进行确认和划款。</w:t>
      </w:r>
    </w:p>
    <w:p w:rsidR="00F57BEF" w:rsidRPr="00C542B4" w14:paraId="109A7560"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产品存续</w:t>
      </w:r>
      <w:r w:rsidRPr="00C542B4">
        <w:rPr>
          <w:rFonts w:ascii="黑体" w:eastAsia="黑体" w:hAnsi="黑体" w:cs="黑体" w:hint="eastAsia"/>
          <w:b/>
          <w:bCs/>
          <w:kern w:val="0"/>
          <w:szCs w:val="21"/>
        </w:rPr>
        <w:t>期单位</w:t>
      </w:r>
      <w:r w:rsidRPr="00C542B4">
        <w:rPr>
          <w:rFonts w:ascii="黑体" w:eastAsia="黑体" w:hAnsi="黑体" w:cs="黑体" w:hint="eastAsia"/>
          <w:b/>
          <w:bCs/>
          <w:kern w:val="0"/>
          <w:szCs w:val="21"/>
        </w:rPr>
        <w:t>净值为1元，存续期申购、追加的价格采用存续</w:t>
      </w:r>
      <w:r w:rsidRPr="00C542B4">
        <w:rPr>
          <w:rFonts w:ascii="黑体" w:eastAsia="黑体" w:hAnsi="黑体" w:cs="黑体" w:hint="eastAsia"/>
          <w:b/>
          <w:bCs/>
          <w:kern w:val="0"/>
          <w:szCs w:val="21"/>
        </w:rPr>
        <w:t>期单位</w:t>
      </w:r>
      <w:r w:rsidRPr="00C542B4">
        <w:rPr>
          <w:rFonts w:ascii="黑体" w:eastAsia="黑体" w:hAnsi="黑体" w:cs="黑体" w:hint="eastAsia"/>
          <w:b/>
          <w:bCs/>
          <w:kern w:val="0"/>
          <w:szCs w:val="21"/>
        </w:rPr>
        <w:t>净值。</w:t>
      </w:r>
    </w:p>
    <w:p w:rsidR="00F57BEF" w:rsidRPr="00B46892" w14:paraId="1095A30B"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3</w:t>
      </w:r>
      <w:r w:rsidRPr="00B46892">
        <w:rPr>
          <w:rFonts w:ascii="黑体" w:eastAsia="黑体" w:hAnsi="黑体" w:cs="黑体" w:hint="eastAsia"/>
          <w:kern w:val="0"/>
          <w:szCs w:val="21"/>
        </w:rPr>
        <w:t>、产品采用金额认（申）购规则</w:t>
      </w:r>
      <w:r w:rsidRPr="00B46892">
        <w:rPr>
          <w:rFonts w:ascii="黑体" w:eastAsia="黑体" w:hAnsi="黑体" w:cs="黑体"/>
          <w:kern w:val="0"/>
          <w:szCs w:val="21"/>
        </w:rPr>
        <w:t>，</w:t>
      </w:r>
      <w:r w:rsidRPr="00B46892">
        <w:rPr>
          <w:rFonts w:ascii="黑体" w:eastAsia="黑体" w:hAnsi="黑体" w:cs="黑体" w:hint="eastAsia"/>
          <w:kern w:val="0"/>
          <w:szCs w:val="21"/>
        </w:rPr>
        <w:t>即认（申）</w:t>
      </w:r>
      <w:r w:rsidRPr="00B46892">
        <w:rPr>
          <w:rFonts w:ascii="黑体" w:eastAsia="黑体" w:hAnsi="黑体" w:cs="黑体" w:hint="eastAsia"/>
          <w:kern w:val="0"/>
          <w:szCs w:val="21"/>
        </w:rPr>
        <w:t>购以金额</w:t>
      </w:r>
      <w:r w:rsidRPr="00B46892">
        <w:rPr>
          <w:rFonts w:ascii="黑体" w:eastAsia="黑体" w:hAnsi="黑体" w:cs="黑体" w:hint="eastAsia"/>
          <w:kern w:val="0"/>
          <w:szCs w:val="21"/>
        </w:rPr>
        <w:t>确定投资者</w:t>
      </w:r>
      <w:r w:rsidRPr="00B46892">
        <w:rPr>
          <w:rFonts w:ascii="黑体" w:eastAsia="黑体" w:hAnsi="黑体" w:cs="黑体"/>
          <w:kern w:val="0"/>
          <w:szCs w:val="21"/>
        </w:rPr>
        <w:t>对应的</w:t>
      </w:r>
      <w:r w:rsidRPr="00B46892">
        <w:rPr>
          <w:rFonts w:ascii="黑体" w:eastAsia="黑体" w:hAnsi="黑体" w:cs="黑体" w:hint="eastAsia"/>
          <w:kern w:val="0"/>
          <w:szCs w:val="21"/>
        </w:rPr>
        <w:t>产品份额</w:t>
      </w:r>
      <w:r w:rsidRPr="00B46892">
        <w:rPr>
          <w:rFonts w:ascii="黑体" w:eastAsia="黑体" w:hAnsi="黑体" w:cs="黑体"/>
          <w:kern w:val="0"/>
          <w:szCs w:val="21"/>
        </w:rPr>
        <w:t>。</w:t>
      </w:r>
    </w:p>
    <w:p w:rsidR="00F57BEF" w:rsidRPr="00C542B4" w14:paraId="579C9531"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4、产品募集期及存续期内，若出现以下情况，产品管理人有权拒绝或暂停接受投资者的认（申）购或追加认（申）购申请：</w:t>
      </w:r>
    </w:p>
    <w:p w:rsidR="00F57BEF" w:rsidRPr="00B46892" w14:paraId="2D145B7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（1）因不可抗力导致产品管理机构无法接受投资者认（申）购或追加认（申）购申请；</w:t>
      </w:r>
    </w:p>
    <w:p w:rsidR="00F57BEF" w:rsidRPr="00B46892" w14:paraId="01065FF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w:t>
      </w:r>
      <w:r w:rsidRPr="00B46892">
        <w:rPr>
          <w:rFonts w:ascii="黑体" w:eastAsia="黑体" w:hAnsi="黑体" w:cs="黑体"/>
          <w:kern w:val="0"/>
          <w:szCs w:val="21"/>
        </w:rPr>
        <w:t>2</w:t>
      </w:r>
      <w:r w:rsidRPr="00B46892">
        <w:rPr>
          <w:rFonts w:ascii="黑体" w:eastAsia="黑体" w:hAnsi="黑体" w:cs="黑体" w:hint="eastAsia"/>
          <w:kern w:val="0"/>
          <w:szCs w:val="21"/>
        </w:rPr>
        <w:t>）因金融市场发生重大波动等原因，继续接受认（申）</w:t>
      </w:r>
      <w:r w:rsidRPr="00B46892">
        <w:rPr>
          <w:rFonts w:ascii="黑体" w:eastAsia="黑体" w:hAnsi="黑体" w:cs="黑体" w:hint="eastAsia"/>
          <w:kern w:val="0"/>
          <w:szCs w:val="21"/>
        </w:rPr>
        <w:t>购申请</w:t>
      </w:r>
      <w:r w:rsidRPr="00B46892">
        <w:rPr>
          <w:rFonts w:ascii="黑体" w:eastAsia="黑体" w:hAnsi="黑体" w:cs="黑体" w:hint="eastAsia"/>
          <w:kern w:val="0"/>
          <w:szCs w:val="21"/>
        </w:rPr>
        <w:t>可能对产品存量投资者利益构成重大不利影响；</w:t>
      </w:r>
    </w:p>
    <w:p w:rsidR="00F57BEF" w:rsidRPr="00B46892" w14:paraId="6C9D52B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（3）法律、法规或相关监管认定的其他情形，以及本说明书约定的其他情形。</w:t>
      </w:r>
    </w:p>
    <w:p w:rsidR="00F57BEF" w:rsidRPr="00B46892" w:rsidP="005F2BE7" w14:paraId="2FCF13AC" w14:textId="492A43F8">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5、其他</w:t>
      </w:r>
      <w:r w:rsidRPr="00B46892">
        <w:rPr>
          <w:rFonts w:ascii="黑体" w:eastAsia="黑体" w:hAnsi="黑体" w:cs="黑体" w:hint="eastAsia"/>
          <w:kern w:val="0"/>
          <w:szCs w:val="21"/>
        </w:rPr>
        <w:t>：</w:t>
      </w:r>
    </w:p>
    <w:p w:rsidR="005F2BE7" w:rsidRPr="00B46892" w:rsidP="005F2BE7" w14:paraId="6C60634D"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申购交易规则如下：</w:t>
      </w:r>
    </w:p>
    <w:tbl>
      <w:tblPr>
        <w:tblStyle w:val="2"/>
        <w:tblW w:w="0" w:type="auto"/>
        <w:tblLook w:val="04A0"/>
      </w:tblPr>
      <w:tblGrid>
        <w:gridCol w:w="3256"/>
        <w:gridCol w:w="2274"/>
        <w:gridCol w:w="2766"/>
      </w:tblGrid>
      <w:tr w14:paraId="0DE3F3B4" w14:textId="77777777" w:rsidTr="00B910D9">
        <w:tblPrEx>
          <w:tblW w:w="0" w:type="auto"/>
          <w:tblLook w:val="04A0"/>
        </w:tblPrEx>
        <w:tc>
          <w:tcPr>
            <w:tcW w:w="3256" w:type="dxa"/>
          </w:tcPr>
          <w:p w:rsidR="005F2BE7" w:rsidRPr="00B46892" w:rsidP="003D4E47" w14:paraId="48CE69A6" w14:textId="77777777">
            <w:pPr>
              <w:autoSpaceDE w:val="0"/>
              <w:autoSpaceDN w:val="0"/>
              <w:adjustRightInd w:val="0"/>
              <w:jc w:val="center"/>
              <w:rPr>
                <w:rFonts w:ascii="黑体" w:eastAsia="黑体" w:hAnsi="黑体" w:cs="黑体" w:hint="eastAsia"/>
                <w:b/>
                <w:kern w:val="0"/>
                <w:szCs w:val="21"/>
              </w:rPr>
            </w:pPr>
            <w:r w:rsidRPr="00B46892">
              <w:rPr>
                <w:rFonts w:ascii="黑体" w:eastAsia="黑体" w:hAnsi="黑体" w:cs="黑体" w:hint="eastAsia"/>
                <w:b/>
                <w:kern w:val="0"/>
                <w:szCs w:val="21"/>
              </w:rPr>
              <w:t>申购发起时间</w:t>
            </w:r>
          </w:p>
        </w:tc>
        <w:tc>
          <w:tcPr>
            <w:tcW w:w="2274" w:type="dxa"/>
          </w:tcPr>
          <w:p w:rsidR="005F2BE7" w:rsidRPr="00B46892" w:rsidP="003D4E47" w14:paraId="31B7D5B4" w14:textId="77777777">
            <w:pPr>
              <w:autoSpaceDE w:val="0"/>
              <w:autoSpaceDN w:val="0"/>
              <w:adjustRightInd w:val="0"/>
              <w:jc w:val="center"/>
              <w:rPr>
                <w:rFonts w:ascii="黑体" w:eastAsia="黑体" w:hAnsi="黑体" w:cs="黑体" w:hint="eastAsia"/>
                <w:b/>
                <w:kern w:val="0"/>
                <w:szCs w:val="21"/>
              </w:rPr>
            </w:pPr>
            <w:r w:rsidRPr="00B46892">
              <w:rPr>
                <w:rFonts w:ascii="黑体" w:eastAsia="黑体" w:hAnsi="黑体" w:cs="黑体" w:hint="eastAsia"/>
                <w:b/>
                <w:kern w:val="0"/>
                <w:szCs w:val="21"/>
              </w:rPr>
              <w:t>申购受理日</w:t>
            </w:r>
          </w:p>
        </w:tc>
        <w:tc>
          <w:tcPr>
            <w:tcW w:w="2766" w:type="dxa"/>
          </w:tcPr>
          <w:p w:rsidR="005F2BE7" w:rsidRPr="00B46892" w:rsidP="003D4E47" w14:paraId="748E3068" w14:textId="77777777">
            <w:pPr>
              <w:autoSpaceDE w:val="0"/>
              <w:autoSpaceDN w:val="0"/>
              <w:adjustRightInd w:val="0"/>
              <w:jc w:val="center"/>
              <w:rPr>
                <w:rFonts w:ascii="黑体" w:eastAsia="黑体" w:hAnsi="黑体" w:cs="黑体" w:hint="eastAsia"/>
                <w:b/>
                <w:kern w:val="0"/>
                <w:szCs w:val="21"/>
              </w:rPr>
            </w:pPr>
            <w:r w:rsidRPr="00B46892">
              <w:rPr>
                <w:rFonts w:ascii="黑体" w:eastAsia="黑体" w:hAnsi="黑体" w:cs="黑体" w:hint="eastAsia"/>
                <w:b/>
                <w:kern w:val="0"/>
                <w:szCs w:val="21"/>
              </w:rPr>
              <w:t>申购确认日</w:t>
            </w:r>
          </w:p>
        </w:tc>
      </w:tr>
      <w:tr w14:paraId="456A5F57" w14:textId="77777777" w:rsidTr="00B910D9">
        <w:tblPrEx>
          <w:tblW w:w="0" w:type="auto"/>
          <w:tblLook w:val="04A0"/>
        </w:tblPrEx>
        <w:tc>
          <w:tcPr>
            <w:tcW w:w="3256" w:type="dxa"/>
          </w:tcPr>
          <w:p w:rsidR="005F2BE7" w:rsidRPr="00B46892" w:rsidP="003D4E47" w14:paraId="7D0905D9"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每个工作日</w:t>
            </w:r>
            <w:r w:rsidRPr="00B46892">
              <w:rPr>
                <w:rFonts w:ascii="黑体" w:eastAsia="黑体" w:hAnsi="黑体" w:cs="黑体"/>
                <w:kern w:val="0"/>
                <w:szCs w:val="21"/>
              </w:rPr>
              <w:t>0:00-17:00</w:t>
            </w:r>
            <w:r w:rsidRPr="00B46892">
              <w:rPr>
                <w:rFonts w:ascii="黑体" w:eastAsia="黑体" w:hAnsi="黑体" w:cs="黑体" w:hint="eastAsia"/>
                <w:kern w:val="0"/>
                <w:szCs w:val="21"/>
              </w:rPr>
              <w:t>（不含）</w:t>
            </w:r>
          </w:p>
        </w:tc>
        <w:tc>
          <w:tcPr>
            <w:tcW w:w="2274" w:type="dxa"/>
          </w:tcPr>
          <w:p w:rsidR="005F2BE7" w:rsidRPr="00B46892" w:rsidP="003D4E47" w14:paraId="5E323E48"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发起当日</w:t>
            </w:r>
          </w:p>
        </w:tc>
        <w:tc>
          <w:tcPr>
            <w:tcW w:w="2766" w:type="dxa"/>
          </w:tcPr>
          <w:p w:rsidR="005F2BE7" w:rsidRPr="00B46892" w:rsidP="003D4E47" w14:paraId="488C3216"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受理日下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r>
      <w:tr w14:paraId="4B6C53F9" w14:textId="77777777" w:rsidTr="00B910D9">
        <w:tblPrEx>
          <w:tblW w:w="0" w:type="auto"/>
          <w:tblLook w:val="04A0"/>
        </w:tblPrEx>
        <w:tc>
          <w:tcPr>
            <w:tcW w:w="3256" w:type="dxa"/>
          </w:tcPr>
          <w:p w:rsidR="005F2BE7" w:rsidRPr="00B46892" w:rsidP="003D4E47" w14:paraId="1CD87548"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每个工作日</w:t>
            </w:r>
            <w:r w:rsidRPr="00B46892">
              <w:rPr>
                <w:rFonts w:ascii="黑体" w:eastAsia="黑体" w:hAnsi="黑体" w:cs="黑体"/>
                <w:kern w:val="0"/>
                <w:szCs w:val="21"/>
              </w:rPr>
              <w:t>17:00-24:00</w:t>
            </w:r>
          </w:p>
        </w:tc>
        <w:tc>
          <w:tcPr>
            <w:tcW w:w="2274" w:type="dxa"/>
          </w:tcPr>
          <w:p w:rsidR="005F2BE7" w:rsidRPr="00B46892" w:rsidP="003D4E47" w14:paraId="37181B7B"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发起日下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c>
          <w:tcPr>
            <w:tcW w:w="2766" w:type="dxa"/>
          </w:tcPr>
          <w:p w:rsidR="005F2BE7" w:rsidRPr="00B46892" w:rsidP="003D4E47" w14:paraId="32E30CBC"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受理日下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r>
      <w:tr w14:paraId="086D8189" w14:textId="77777777" w:rsidTr="00B910D9">
        <w:tblPrEx>
          <w:tblW w:w="0" w:type="auto"/>
          <w:tblLook w:val="04A0"/>
        </w:tblPrEx>
        <w:tc>
          <w:tcPr>
            <w:tcW w:w="3256" w:type="dxa"/>
          </w:tcPr>
          <w:p w:rsidR="005F2BE7" w:rsidRPr="00B46892" w:rsidP="003D4E47" w14:paraId="15DE62D5"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非工作日</w:t>
            </w:r>
            <w:r w:rsidRPr="00B46892">
              <w:rPr>
                <w:rFonts w:ascii="黑体" w:eastAsia="黑体" w:hAnsi="黑体" w:cs="黑体"/>
                <w:kern w:val="0"/>
                <w:szCs w:val="21"/>
              </w:rPr>
              <w:t>0:00-24:00</w:t>
            </w:r>
          </w:p>
        </w:tc>
        <w:tc>
          <w:tcPr>
            <w:tcW w:w="2274" w:type="dxa"/>
          </w:tcPr>
          <w:p w:rsidR="005F2BE7" w:rsidRPr="00B46892" w:rsidP="003D4E47" w14:paraId="0F824406"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发起日下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c>
          <w:tcPr>
            <w:tcW w:w="2766" w:type="dxa"/>
          </w:tcPr>
          <w:p w:rsidR="005F2BE7" w:rsidRPr="00B46892" w:rsidP="003D4E47" w14:paraId="137847F7"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受理日下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r>
    </w:tbl>
    <w:p w:rsidR="005F2BE7" w:rsidRPr="00B46892" w:rsidP="005F2BE7" w14:paraId="6C0F1E16" w14:textId="77777777">
      <w:pPr>
        <w:autoSpaceDE w:val="0"/>
        <w:autoSpaceDN w:val="0"/>
        <w:adjustRightInd w:val="0"/>
        <w:ind w:firstLine="420" w:firstLineChars="200"/>
        <w:jc w:val="left"/>
        <w:rPr>
          <w:rFonts w:ascii="黑体" w:eastAsia="黑体" w:hAnsi="黑体" w:cs="宋体" w:hint="eastAsia"/>
          <w:color w:val="000000" w:themeColor="text1"/>
          <w:kern w:val="0"/>
          <w:szCs w:val="21"/>
        </w:rPr>
      </w:pPr>
      <w:r w:rsidRPr="00B46892">
        <w:rPr>
          <w:rFonts w:ascii="黑体" w:eastAsia="黑体" w:hAnsi="黑体" w:cs="宋体" w:hint="eastAsia"/>
          <w:color w:val="000000" w:themeColor="text1"/>
          <w:kern w:val="0"/>
          <w:szCs w:val="21"/>
        </w:rPr>
        <w:t>具体申购确认时间以销售机构显示为准。</w:t>
      </w:r>
    </w:p>
    <w:p w:rsidR="005F2BE7" w:rsidRPr="00B46892" w:rsidP="005F2BE7" w14:paraId="1B023079" w14:textId="77777777">
      <w:pPr>
        <w:autoSpaceDE w:val="0"/>
        <w:autoSpaceDN w:val="0"/>
        <w:adjustRightInd w:val="0"/>
        <w:ind w:firstLine="420" w:firstLineChars="200"/>
        <w:jc w:val="left"/>
        <w:rPr>
          <w:rFonts w:ascii="黑体" w:eastAsia="黑体" w:hAnsi="黑体" w:cs="黑体" w:hint="eastAsia"/>
          <w:kern w:val="0"/>
          <w:szCs w:val="21"/>
        </w:rPr>
      </w:pPr>
    </w:p>
    <w:p w:rsidR="00F57BEF" w:rsidRPr="00B46892" w14:paraId="363269E1"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（二）赎回相关规则</w:t>
      </w:r>
    </w:p>
    <w:p w:rsidR="00F57BEF" w:rsidRPr="00B46892" w14:paraId="47149FA6" w14:textId="525C434A">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1</w:t>
      </w:r>
      <w:r w:rsidRPr="00B46892">
        <w:rPr>
          <w:rFonts w:ascii="黑体" w:eastAsia="黑体" w:hAnsi="黑体" w:cs="黑体" w:hint="eastAsia"/>
          <w:kern w:val="0"/>
          <w:szCs w:val="21"/>
        </w:rPr>
        <w:t>、产品存续期间，投资者可以对本产品进行赎回，</w:t>
      </w:r>
      <w:r w:rsidRPr="00B46892">
        <w:rPr>
          <w:rFonts w:ascii="黑体" w:eastAsia="黑体" w:hAnsi="黑体" w:cs="黑体" w:hint="eastAsia"/>
          <w:b/>
          <w:kern w:val="0"/>
          <w:szCs w:val="21"/>
        </w:rPr>
        <w:t>产品管理人将在</w:t>
      </w:r>
      <w:r w:rsidRPr="00B46892" w:rsidR="007E5998">
        <w:rPr>
          <w:rFonts w:ascii="黑体" w:eastAsia="黑体" w:hAnsi="黑体" w:cs="黑体" w:hint="eastAsia"/>
          <w:b/>
          <w:kern w:val="0"/>
          <w:szCs w:val="21"/>
        </w:rPr>
        <w:t>赎回确认日</w:t>
      </w:r>
      <w:r w:rsidRPr="00B46892">
        <w:rPr>
          <w:rFonts w:ascii="黑体" w:eastAsia="黑体" w:hAnsi="黑体" w:cs="黑体" w:hint="eastAsia"/>
          <w:b/>
          <w:kern w:val="0"/>
          <w:szCs w:val="21"/>
        </w:rPr>
        <w:t>对上述赎回申请进行确认</w:t>
      </w:r>
      <w:r w:rsidRPr="00B46892">
        <w:rPr>
          <w:rFonts w:ascii="黑体" w:eastAsia="黑体" w:hAnsi="黑体" w:cs="黑体" w:hint="eastAsia"/>
          <w:kern w:val="0"/>
          <w:szCs w:val="21"/>
        </w:rPr>
        <w:t>，投资者实际赎回份额以产品管理人确认的份额为准，</w:t>
      </w:r>
      <w:r w:rsidRPr="00B46892">
        <w:rPr>
          <w:rFonts w:ascii="黑体" w:eastAsia="黑体" w:hAnsi="黑体" w:cs="黑体" w:hint="eastAsia"/>
          <w:b/>
          <w:kern w:val="0"/>
          <w:szCs w:val="21"/>
        </w:rPr>
        <w:t>投资者的赎回金额将在</w:t>
      </w:r>
      <w:r w:rsidRPr="00B46892" w:rsidR="007E5998">
        <w:rPr>
          <w:rFonts w:ascii="黑体" w:eastAsia="黑体" w:hAnsi="黑体" w:cs="黑体" w:hint="eastAsia"/>
          <w:b/>
          <w:kern w:val="0"/>
          <w:szCs w:val="21"/>
        </w:rPr>
        <w:t>赎回确认日</w:t>
      </w:r>
      <w:r w:rsidRPr="00B46892">
        <w:rPr>
          <w:rFonts w:ascii="黑体" w:eastAsia="黑体" w:hAnsi="黑体" w:cs="黑体" w:hint="eastAsia"/>
          <w:b/>
          <w:kern w:val="0"/>
          <w:szCs w:val="21"/>
        </w:rPr>
        <w:t>到账</w:t>
      </w:r>
      <w:r w:rsidR="00821019">
        <w:rPr>
          <w:rFonts w:ascii="黑体" w:eastAsia="黑体" w:hAnsi="黑体" w:cs="黑体" w:hint="eastAsia"/>
          <w:b/>
          <w:kern w:val="0"/>
          <w:szCs w:val="21"/>
        </w:rPr>
        <w:t>，在途期间投资者资金不计息</w:t>
      </w:r>
      <w:r w:rsidRPr="00B46892">
        <w:rPr>
          <w:rFonts w:ascii="黑体" w:eastAsia="黑体" w:hAnsi="黑体" w:cs="黑体" w:hint="eastAsia"/>
          <w:kern w:val="0"/>
          <w:szCs w:val="21"/>
        </w:rPr>
        <w:t>。</w:t>
      </w:r>
    </w:p>
    <w:p w:rsidR="00F57BEF" w:rsidRPr="00C542B4" w14:paraId="7D3D8502"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产品存续</w:t>
      </w:r>
      <w:r w:rsidRPr="00C542B4">
        <w:rPr>
          <w:rFonts w:ascii="黑体" w:eastAsia="黑体" w:hAnsi="黑体" w:cs="黑体" w:hint="eastAsia"/>
          <w:b/>
          <w:bCs/>
          <w:kern w:val="0"/>
          <w:szCs w:val="21"/>
        </w:rPr>
        <w:t>期单位</w:t>
      </w:r>
      <w:r w:rsidRPr="00C542B4">
        <w:rPr>
          <w:rFonts w:ascii="黑体" w:eastAsia="黑体" w:hAnsi="黑体" w:cs="黑体" w:hint="eastAsia"/>
          <w:b/>
          <w:bCs/>
          <w:kern w:val="0"/>
          <w:szCs w:val="21"/>
        </w:rPr>
        <w:t>净值为1元，存续期赎回价格采用存续</w:t>
      </w:r>
      <w:r w:rsidRPr="00C542B4">
        <w:rPr>
          <w:rFonts w:ascii="黑体" w:eastAsia="黑体" w:hAnsi="黑体" w:cs="黑体" w:hint="eastAsia"/>
          <w:b/>
          <w:bCs/>
          <w:kern w:val="0"/>
          <w:szCs w:val="21"/>
        </w:rPr>
        <w:t>期单位</w:t>
      </w:r>
      <w:r w:rsidRPr="00C542B4">
        <w:rPr>
          <w:rFonts w:ascii="黑体" w:eastAsia="黑体" w:hAnsi="黑体" w:cs="黑体" w:hint="eastAsia"/>
          <w:b/>
          <w:bCs/>
          <w:kern w:val="0"/>
          <w:szCs w:val="21"/>
        </w:rPr>
        <w:t>净值。</w:t>
      </w:r>
    </w:p>
    <w:p w:rsidR="00F57BEF" w:rsidRPr="00B46892" w14:paraId="3C24988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2</w:t>
      </w:r>
      <w:r w:rsidRPr="00B46892">
        <w:rPr>
          <w:rFonts w:ascii="黑体" w:eastAsia="黑体" w:hAnsi="黑体" w:cs="黑体" w:hint="eastAsia"/>
          <w:kern w:val="0"/>
          <w:szCs w:val="21"/>
        </w:rPr>
        <w:t>、产品赎回遵循“先进先出”原则，即按照投资者持有该理财份额的先后次序进行顺</w:t>
      </w:r>
      <w:r w:rsidRPr="00B46892">
        <w:rPr>
          <w:rFonts w:ascii="黑体" w:eastAsia="黑体" w:hAnsi="黑体" w:cs="黑体" w:hint="eastAsia"/>
          <w:kern w:val="0"/>
          <w:szCs w:val="21"/>
        </w:rPr>
        <w:t>序赎回，具体以销售机构实际展示或处理为准。</w:t>
      </w:r>
    </w:p>
    <w:p w:rsidR="00F57BEF" w:rsidRPr="00B46892" w14:paraId="62FC8E84"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3</w:t>
      </w:r>
      <w:r w:rsidRPr="00B46892">
        <w:rPr>
          <w:rFonts w:ascii="黑体" w:eastAsia="黑体" w:hAnsi="黑体" w:cs="黑体" w:hint="eastAsia"/>
          <w:kern w:val="0"/>
          <w:szCs w:val="21"/>
        </w:rPr>
        <w:t>、产品采用份额赎回规则</w:t>
      </w:r>
      <w:r w:rsidRPr="00B46892">
        <w:rPr>
          <w:rFonts w:ascii="黑体" w:eastAsia="黑体" w:hAnsi="黑体" w:cs="黑体"/>
          <w:kern w:val="0"/>
          <w:szCs w:val="21"/>
        </w:rPr>
        <w:t>，</w:t>
      </w:r>
      <w:r w:rsidRPr="00B46892">
        <w:rPr>
          <w:rFonts w:ascii="黑体" w:eastAsia="黑体" w:hAnsi="黑体" w:cs="黑体" w:hint="eastAsia"/>
          <w:kern w:val="0"/>
          <w:szCs w:val="21"/>
        </w:rPr>
        <w:t>即赎回以份额确定投资者</w:t>
      </w:r>
      <w:r w:rsidRPr="00B46892">
        <w:rPr>
          <w:rFonts w:ascii="黑体" w:eastAsia="黑体" w:hAnsi="黑体" w:cs="黑体"/>
          <w:kern w:val="0"/>
          <w:szCs w:val="21"/>
        </w:rPr>
        <w:t>对应的</w:t>
      </w:r>
      <w:r w:rsidRPr="00B46892">
        <w:rPr>
          <w:rFonts w:ascii="黑体" w:eastAsia="黑体" w:hAnsi="黑体" w:cs="黑体" w:hint="eastAsia"/>
          <w:kern w:val="0"/>
          <w:szCs w:val="21"/>
        </w:rPr>
        <w:t>产品金额</w:t>
      </w:r>
      <w:r w:rsidRPr="00B46892">
        <w:rPr>
          <w:rFonts w:ascii="黑体" w:eastAsia="黑体" w:hAnsi="黑体" w:cs="黑体"/>
          <w:kern w:val="0"/>
          <w:szCs w:val="21"/>
        </w:rPr>
        <w:t>。</w:t>
      </w:r>
    </w:p>
    <w:p w:rsidR="00F57BEF" w:rsidRPr="00B46892" w14:paraId="0DF45A7D"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4</w:t>
      </w:r>
      <w:r w:rsidRPr="00B46892">
        <w:rPr>
          <w:rFonts w:ascii="黑体" w:eastAsia="黑体" w:hAnsi="黑体" w:cs="黑体" w:hint="eastAsia"/>
          <w:kern w:val="0"/>
          <w:szCs w:val="21"/>
        </w:rPr>
        <w:t>、</w:t>
      </w:r>
      <w:r w:rsidRPr="00B46892">
        <w:rPr>
          <w:rFonts w:ascii="黑体" w:eastAsia="黑体" w:hAnsi="黑体" w:cs="黑体" w:hint="eastAsia"/>
          <w:b/>
          <w:kern w:val="0"/>
          <w:szCs w:val="21"/>
        </w:rPr>
        <w:t>快速赎回增值服务：</w:t>
      </w:r>
    </w:p>
    <w:p w:rsidR="00F57BEF" w:rsidRPr="00B46892" w14:paraId="72401C8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（1）快速赎回增值服务是销售机构为投资者提供的产品份额赎回款项快速到账的增值服务，</w:t>
      </w:r>
      <w:r w:rsidRPr="00B46892">
        <w:rPr>
          <w:rFonts w:ascii="黑体" w:eastAsia="黑体" w:hAnsi="黑体" w:cs="黑体" w:hint="eastAsia"/>
          <w:b/>
          <w:kern w:val="0"/>
          <w:szCs w:val="21"/>
        </w:rPr>
        <w:t>非产品管理人或销售机构的法定义务，是否开通以销售机构设置为准，销售机构有权暂停或终止该服务。快速赎回增值服务的交易规则（包括但不限于交易时间、快速赎回限额、手续费等）以销售机构与投资者之间的约定为准</w:t>
      </w:r>
      <w:r w:rsidRPr="00B46892">
        <w:rPr>
          <w:rFonts w:ascii="黑体" w:eastAsia="黑体" w:hAnsi="黑体" w:cs="黑体" w:hint="eastAsia"/>
          <w:kern w:val="0"/>
          <w:szCs w:val="21"/>
        </w:rPr>
        <w:t>。</w:t>
      </w:r>
    </w:p>
    <w:p w:rsidR="00F57BEF" w:rsidRPr="00B46892" w14:paraId="2093BDA4"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（2）产品存续期间，投资者可以通过销售机构进行快速赎回，快速赎回限额内的赎回申请通过后，销售机构可为投资者提供快速赎回增值服务。快速赎回限额：</w:t>
      </w:r>
      <w:r w:rsidRPr="00B46892" w:rsidR="00357D3B">
        <w:rPr>
          <w:rFonts w:ascii="黑体" w:eastAsia="黑体" w:hAnsi="黑体" w:cs="黑体" w:hint="eastAsia"/>
          <w:kern w:val="0"/>
          <w:szCs w:val="21"/>
        </w:rPr>
        <w:t>以</w:t>
      </w:r>
      <w:r w:rsidRPr="00B46892" w:rsidR="00357D3B">
        <w:rPr>
          <w:rFonts w:ascii="黑体" w:eastAsia="黑体" w:hAnsi="黑体" w:cs="黑体"/>
          <w:kern w:val="0"/>
          <w:szCs w:val="21"/>
        </w:rPr>
        <w:t>销售机构与</w:t>
      </w:r>
      <w:r w:rsidRPr="00B46892" w:rsidR="00357D3B">
        <w:rPr>
          <w:rFonts w:ascii="黑体" w:eastAsia="黑体" w:hAnsi="黑体" w:cs="黑体" w:hint="eastAsia"/>
          <w:kern w:val="0"/>
          <w:szCs w:val="21"/>
        </w:rPr>
        <w:t>投资者</w:t>
      </w:r>
      <w:r w:rsidRPr="00B46892" w:rsidR="00357D3B">
        <w:rPr>
          <w:rFonts w:ascii="黑体" w:eastAsia="黑体" w:hAnsi="黑体" w:cs="黑体"/>
          <w:kern w:val="0"/>
          <w:szCs w:val="21"/>
        </w:rPr>
        <w:t>之间的约定为准，但</w:t>
      </w:r>
      <w:r w:rsidRPr="00B46892">
        <w:rPr>
          <w:rFonts w:ascii="黑体" w:eastAsia="黑体" w:hAnsi="黑体" w:cs="黑体" w:hint="eastAsia"/>
          <w:kern w:val="0"/>
          <w:szCs w:val="21"/>
        </w:rPr>
        <w:t>单个投资者在单个销售渠道持有的单只产品单个自然日的赎回金额</w:t>
      </w:r>
      <w:r w:rsidRPr="00B46892" w:rsidR="00357D3B">
        <w:rPr>
          <w:rFonts w:ascii="黑体" w:eastAsia="黑体" w:hAnsi="黑体" w:cs="黑体" w:hint="eastAsia"/>
          <w:kern w:val="0"/>
          <w:szCs w:val="21"/>
        </w:rPr>
        <w:t>最高</w:t>
      </w:r>
      <w:r w:rsidRPr="00B46892">
        <w:rPr>
          <w:rFonts w:ascii="黑体" w:eastAsia="黑体" w:hAnsi="黑体" w:cs="黑体" w:hint="eastAsia"/>
          <w:kern w:val="0"/>
          <w:szCs w:val="21"/>
        </w:rPr>
        <w:t>不</w:t>
      </w:r>
      <w:r w:rsidRPr="00B46892" w:rsidR="00357D3B">
        <w:rPr>
          <w:rFonts w:ascii="黑体" w:eastAsia="黑体" w:hAnsi="黑体" w:cs="黑体" w:hint="eastAsia"/>
          <w:kern w:val="0"/>
          <w:szCs w:val="21"/>
        </w:rPr>
        <w:t>得</w:t>
      </w:r>
      <w:r w:rsidRPr="00B46892">
        <w:rPr>
          <w:rFonts w:ascii="黑体" w:eastAsia="黑体" w:hAnsi="黑体" w:cs="黑体" w:hint="eastAsia"/>
          <w:kern w:val="0"/>
          <w:szCs w:val="21"/>
        </w:rPr>
        <w:t>高于1万元。</w:t>
      </w:r>
    </w:p>
    <w:p w:rsidR="00F57BEF" w:rsidRPr="00B46892" w14:paraId="5EDEF872"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w:t>
      </w:r>
      <w:r w:rsidRPr="00B46892">
        <w:rPr>
          <w:rFonts w:ascii="黑体" w:eastAsia="黑体" w:hAnsi="黑体" w:cs="黑体" w:hint="eastAsia"/>
          <w:b/>
          <w:kern w:val="0"/>
          <w:szCs w:val="21"/>
        </w:rPr>
        <w:t>投资者快速赎回成功后，将不再享受自申请成功之日（含）起快速赎回理财产品份额对应的收益，敬请投资者注意</w:t>
      </w:r>
      <w:r w:rsidRPr="00B46892">
        <w:rPr>
          <w:rFonts w:ascii="黑体" w:eastAsia="黑体" w:hAnsi="黑体" w:cs="黑体" w:hint="eastAsia"/>
          <w:kern w:val="0"/>
          <w:szCs w:val="21"/>
        </w:rPr>
        <w:t>。</w:t>
      </w:r>
    </w:p>
    <w:p w:rsidR="00F57BEF" w:rsidRPr="00C542B4" w14:paraId="2AEE0C46" w14:textId="77777777">
      <w:pPr>
        <w:autoSpaceDE w:val="0"/>
        <w:autoSpaceDN w:val="0"/>
        <w:adjustRightInd w:val="0"/>
        <w:ind w:firstLine="420" w:firstLineChars="200"/>
        <w:jc w:val="left"/>
        <w:rPr>
          <w:rFonts w:ascii="黑体" w:eastAsia="黑体" w:hAnsi="黑体" w:cs="黑体" w:hint="eastAsia"/>
          <w:b/>
          <w:bCs/>
          <w:kern w:val="0"/>
          <w:szCs w:val="21"/>
        </w:rPr>
      </w:pPr>
      <w:r w:rsidRPr="00B46892">
        <w:rPr>
          <w:rFonts w:ascii="黑体" w:eastAsia="黑体" w:hAnsi="黑体" w:cs="黑体" w:hint="eastAsia"/>
          <w:kern w:val="0"/>
          <w:szCs w:val="21"/>
        </w:rPr>
        <w:t>5、</w:t>
      </w:r>
      <w:r w:rsidRPr="00B46892">
        <w:rPr>
          <w:rFonts w:ascii="黑体" w:eastAsia="黑体" w:hAnsi="黑体" w:cs="黑体"/>
          <w:kern w:val="0"/>
          <w:szCs w:val="21"/>
        </w:rPr>
        <w:t>产品到期日时，</w:t>
      </w:r>
      <w:r w:rsidRPr="00B46892">
        <w:rPr>
          <w:rFonts w:ascii="黑体" w:eastAsia="黑体" w:hAnsi="黑体" w:cs="黑体" w:hint="eastAsia"/>
          <w:kern w:val="0"/>
          <w:szCs w:val="21"/>
        </w:rPr>
        <w:t>投资者持有的理财份额将在产品到期日全部自动赎回，</w:t>
      </w:r>
      <w:r w:rsidRPr="00C542B4">
        <w:rPr>
          <w:rFonts w:ascii="黑体" w:eastAsia="黑体" w:hAnsi="黑体" w:cs="黑体" w:hint="eastAsia"/>
          <w:b/>
          <w:bCs/>
          <w:kern w:val="0"/>
          <w:szCs w:val="21"/>
        </w:rPr>
        <w:t>赎回价格采用到期时的产品净值。</w:t>
      </w:r>
    </w:p>
    <w:p w:rsidR="00F57BEF" w:rsidRPr="00C542B4" w14:paraId="0959B1A0"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6、产品存续期内，若出现以下情况，产品管理人有权拒绝或暂停接受投资者的全部或部分赎回申请：</w:t>
      </w:r>
    </w:p>
    <w:p w:rsidR="00F57BEF" w:rsidRPr="00B46892" w14:paraId="50FFF29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（1）因不可抗力导致产品管理机构无法接受投资者赎回申请；</w:t>
      </w:r>
    </w:p>
    <w:p w:rsidR="00F57BEF" w:rsidRPr="00B46892" w14:paraId="060A257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（2）产品</w:t>
      </w:r>
      <w:r w:rsidRPr="00B46892">
        <w:rPr>
          <w:rFonts w:ascii="黑体" w:eastAsia="黑体" w:hAnsi="黑体" w:cs="黑体"/>
          <w:kern w:val="0"/>
          <w:szCs w:val="21"/>
        </w:rPr>
        <w:t>所投资</w:t>
      </w:r>
      <w:r w:rsidRPr="00B46892">
        <w:rPr>
          <w:rFonts w:ascii="黑体" w:eastAsia="黑体" w:hAnsi="黑体" w:cs="黑体" w:hint="eastAsia"/>
          <w:kern w:val="0"/>
          <w:szCs w:val="21"/>
        </w:rPr>
        <w:t>资产无法及时、足额变现；</w:t>
      </w:r>
    </w:p>
    <w:p w:rsidR="00F57BEF" w:rsidRPr="00B46892" w14:paraId="4E4BBF7D"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（3）触发</w:t>
      </w:r>
      <w:r w:rsidRPr="00B46892">
        <w:rPr>
          <w:rFonts w:ascii="黑体" w:eastAsia="黑体" w:hAnsi="黑体" w:cs="黑体"/>
          <w:kern w:val="0"/>
          <w:szCs w:val="21"/>
        </w:rPr>
        <w:t>巨额赎回情形</w:t>
      </w:r>
      <w:r w:rsidRPr="00B46892">
        <w:rPr>
          <w:rFonts w:ascii="黑体" w:eastAsia="黑体" w:hAnsi="黑体" w:cs="黑体" w:hint="eastAsia"/>
          <w:kern w:val="0"/>
          <w:szCs w:val="21"/>
        </w:rPr>
        <w:t>（</w:t>
      </w:r>
      <w:r w:rsidRPr="00B46892">
        <w:rPr>
          <w:rFonts w:ascii="黑体" w:eastAsia="黑体" w:hAnsi="黑体" w:cs="黑体"/>
          <w:kern w:val="0"/>
          <w:szCs w:val="21"/>
        </w:rPr>
        <w:t>详见</w:t>
      </w:r>
      <w:r w:rsidRPr="00B46892">
        <w:rPr>
          <w:rFonts w:ascii="黑体" w:eastAsia="黑体" w:hAnsi="黑体" w:cs="黑体" w:hint="eastAsia"/>
          <w:kern w:val="0"/>
          <w:szCs w:val="21"/>
        </w:rPr>
        <w:t>本</w:t>
      </w:r>
      <w:r w:rsidRPr="00B46892">
        <w:rPr>
          <w:rFonts w:ascii="黑体" w:eastAsia="黑体" w:hAnsi="黑体" w:cs="黑体"/>
          <w:kern w:val="0"/>
          <w:szCs w:val="21"/>
        </w:rPr>
        <w:t>节第</w:t>
      </w:r>
      <w:r w:rsidRPr="00B46892">
        <w:rPr>
          <w:rFonts w:ascii="黑体" w:eastAsia="黑体" w:hAnsi="黑体" w:cs="黑体" w:hint="eastAsia"/>
          <w:kern w:val="0"/>
          <w:szCs w:val="21"/>
        </w:rPr>
        <w:t>五</w:t>
      </w:r>
      <w:r w:rsidRPr="00B46892">
        <w:rPr>
          <w:rFonts w:ascii="黑体" w:eastAsia="黑体" w:hAnsi="黑体" w:cs="黑体"/>
          <w:kern w:val="0"/>
          <w:szCs w:val="21"/>
        </w:rPr>
        <w:t>部分）</w:t>
      </w:r>
      <w:r w:rsidRPr="00B46892">
        <w:rPr>
          <w:rFonts w:ascii="黑体" w:eastAsia="黑体" w:hAnsi="黑体" w:cs="黑体" w:hint="eastAsia"/>
          <w:kern w:val="0"/>
          <w:szCs w:val="21"/>
        </w:rPr>
        <w:t>；</w:t>
      </w:r>
    </w:p>
    <w:p w:rsidR="00F57BEF" w:rsidRPr="00B46892" w14:paraId="4AFDEAE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（4）法律、法规或相关监管认定的其他情形。</w:t>
      </w:r>
    </w:p>
    <w:p w:rsidR="00F57BEF" w:rsidRPr="00B46892" w14:paraId="0A29D7F2"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kern w:val="0"/>
          <w:szCs w:val="21"/>
        </w:rPr>
        <w:t>7</w:t>
      </w:r>
      <w:r w:rsidRPr="00B46892">
        <w:rPr>
          <w:rFonts w:ascii="黑体" w:eastAsia="黑体" w:hAnsi="黑体" w:cs="黑体" w:hint="eastAsia"/>
          <w:kern w:val="0"/>
          <w:szCs w:val="21"/>
        </w:rPr>
        <w:t>、</w:t>
      </w:r>
      <w:r w:rsidRPr="00B46892">
        <w:rPr>
          <w:rFonts w:ascii="黑体" w:eastAsia="黑体" w:hAnsi="黑体" w:cs="黑体" w:hint="eastAsia"/>
          <w:b/>
          <w:kern w:val="0"/>
          <w:szCs w:val="21"/>
        </w:rPr>
        <w:t>单个产品投资者在单个开放日申请赎回份额超过本产品总份额</w:t>
      </w:r>
      <w:r w:rsidRPr="00B46892">
        <w:rPr>
          <w:rFonts w:ascii="黑体" w:eastAsia="黑体" w:hAnsi="黑体" w:cs="黑体"/>
          <w:b/>
          <w:kern w:val="0"/>
          <w:szCs w:val="21"/>
        </w:rPr>
        <w:t>10%的，产品管理人可以采取延期办理部分赎回申请或者延缓支付赎回款项的措施。</w:t>
      </w:r>
    </w:p>
    <w:p w:rsidR="00F57BEF" w:rsidRPr="00B46892" w14:paraId="024E1697" w14:textId="2EA36CA5">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8</w:t>
      </w:r>
      <w:r w:rsidRPr="00B46892">
        <w:rPr>
          <w:rFonts w:ascii="黑体" w:eastAsia="黑体" w:hAnsi="黑体" w:cs="黑体" w:hint="eastAsia"/>
          <w:kern w:val="0"/>
          <w:szCs w:val="21"/>
        </w:rPr>
        <w:t>、</w:t>
      </w:r>
      <w:r w:rsidRPr="00B46892">
        <w:rPr>
          <w:rFonts w:ascii="黑体" w:eastAsia="黑体" w:hAnsi="黑体" w:cs="黑体"/>
          <w:kern w:val="0"/>
          <w:szCs w:val="21"/>
        </w:rPr>
        <w:t>其他</w:t>
      </w:r>
      <w:r w:rsidRPr="00B46892">
        <w:rPr>
          <w:rFonts w:ascii="黑体" w:eastAsia="黑体" w:hAnsi="黑体" w:cs="黑体" w:hint="eastAsia"/>
          <w:kern w:val="0"/>
          <w:szCs w:val="21"/>
        </w:rPr>
        <w:t>：</w:t>
      </w:r>
    </w:p>
    <w:p w:rsidR="001129D6" w:rsidRPr="00B46892" w:rsidP="001129D6" w14:paraId="60706E3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赎回交易规则如下：</w:t>
      </w:r>
    </w:p>
    <w:tbl>
      <w:tblPr>
        <w:tblStyle w:val="3"/>
        <w:tblW w:w="0" w:type="auto"/>
        <w:tblLook w:val="04A0"/>
      </w:tblPr>
      <w:tblGrid>
        <w:gridCol w:w="3256"/>
        <w:gridCol w:w="2274"/>
        <w:gridCol w:w="2766"/>
      </w:tblGrid>
      <w:tr w14:paraId="5C536686" w14:textId="77777777" w:rsidTr="00B910D9">
        <w:tblPrEx>
          <w:tblW w:w="0" w:type="auto"/>
          <w:tblLook w:val="04A0"/>
        </w:tblPrEx>
        <w:tc>
          <w:tcPr>
            <w:tcW w:w="3256" w:type="dxa"/>
          </w:tcPr>
          <w:p w:rsidR="001129D6" w:rsidRPr="00B46892" w:rsidP="003D4E47" w14:paraId="5440FE3C" w14:textId="77777777">
            <w:pPr>
              <w:autoSpaceDE w:val="0"/>
              <w:autoSpaceDN w:val="0"/>
              <w:adjustRightInd w:val="0"/>
              <w:jc w:val="center"/>
              <w:rPr>
                <w:rFonts w:ascii="黑体" w:eastAsia="黑体" w:hAnsi="黑体" w:cs="黑体" w:hint="eastAsia"/>
                <w:b/>
                <w:kern w:val="0"/>
                <w:szCs w:val="21"/>
              </w:rPr>
            </w:pPr>
            <w:r w:rsidRPr="00B46892">
              <w:rPr>
                <w:rFonts w:ascii="黑体" w:eastAsia="黑体" w:hAnsi="黑体" w:cs="黑体" w:hint="eastAsia"/>
                <w:b/>
                <w:kern w:val="0"/>
                <w:szCs w:val="21"/>
              </w:rPr>
              <w:t>赎回发起时间</w:t>
            </w:r>
          </w:p>
        </w:tc>
        <w:tc>
          <w:tcPr>
            <w:tcW w:w="2274" w:type="dxa"/>
          </w:tcPr>
          <w:p w:rsidR="001129D6" w:rsidRPr="00B46892" w:rsidP="003D4E47" w14:paraId="5C661DDC" w14:textId="77777777">
            <w:pPr>
              <w:autoSpaceDE w:val="0"/>
              <w:autoSpaceDN w:val="0"/>
              <w:adjustRightInd w:val="0"/>
              <w:jc w:val="center"/>
              <w:rPr>
                <w:rFonts w:ascii="黑体" w:eastAsia="黑体" w:hAnsi="黑体" w:cs="黑体" w:hint="eastAsia"/>
                <w:b/>
                <w:kern w:val="0"/>
                <w:szCs w:val="21"/>
              </w:rPr>
            </w:pPr>
            <w:r w:rsidRPr="00B46892">
              <w:rPr>
                <w:rFonts w:ascii="黑体" w:eastAsia="黑体" w:hAnsi="黑体" w:cs="黑体" w:hint="eastAsia"/>
                <w:b/>
                <w:kern w:val="0"/>
                <w:szCs w:val="21"/>
              </w:rPr>
              <w:t>赎回受理日</w:t>
            </w:r>
          </w:p>
        </w:tc>
        <w:tc>
          <w:tcPr>
            <w:tcW w:w="2766" w:type="dxa"/>
          </w:tcPr>
          <w:p w:rsidR="001129D6" w:rsidRPr="00B46892" w:rsidP="003D4E47" w14:paraId="5494677F" w14:textId="77777777">
            <w:pPr>
              <w:autoSpaceDE w:val="0"/>
              <w:autoSpaceDN w:val="0"/>
              <w:adjustRightInd w:val="0"/>
              <w:jc w:val="center"/>
              <w:rPr>
                <w:rFonts w:ascii="黑体" w:eastAsia="黑体" w:hAnsi="黑体" w:cs="黑体" w:hint="eastAsia"/>
                <w:b/>
                <w:kern w:val="0"/>
                <w:szCs w:val="21"/>
              </w:rPr>
            </w:pPr>
            <w:r w:rsidRPr="00B46892">
              <w:rPr>
                <w:rFonts w:ascii="黑体" w:eastAsia="黑体" w:hAnsi="黑体" w:cs="黑体" w:hint="eastAsia"/>
                <w:b/>
                <w:kern w:val="0"/>
                <w:szCs w:val="21"/>
              </w:rPr>
              <w:t>赎回确认日</w:t>
            </w:r>
          </w:p>
        </w:tc>
      </w:tr>
      <w:tr w14:paraId="64CD9DA0" w14:textId="77777777" w:rsidTr="00B910D9">
        <w:tblPrEx>
          <w:tblW w:w="0" w:type="auto"/>
          <w:tblLook w:val="04A0"/>
        </w:tblPrEx>
        <w:tc>
          <w:tcPr>
            <w:tcW w:w="3256" w:type="dxa"/>
          </w:tcPr>
          <w:p w:rsidR="001129D6" w:rsidRPr="00B46892" w:rsidP="003D4E47" w14:paraId="06911865"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每个工作日</w:t>
            </w:r>
            <w:r w:rsidRPr="00B46892">
              <w:rPr>
                <w:rFonts w:ascii="黑体" w:eastAsia="黑体" w:hAnsi="黑体" w:cs="黑体"/>
                <w:kern w:val="0"/>
                <w:szCs w:val="21"/>
              </w:rPr>
              <w:t>0:00-17:00</w:t>
            </w:r>
            <w:r w:rsidRPr="00B46892">
              <w:rPr>
                <w:rFonts w:ascii="黑体" w:eastAsia="黑体" w:hAnsi="黑体" w:cs="黑体" w:hint="eastAsia"/>
                <w:kern w:val="0"/>
                <w:szCs w:val="21"/>
              </w:rPr>
              <w:t>（不含）</w:t>
            </w:r>
          </w:p>
        </w:tc>
        <w:tc>
          <w:tcPr>
            <w:tcW w:w="2274" w:type="dxa"/>
          </w:tcPr>
          <w:p w:rsidR="001129D6" w:rsidRPr="00B46892" w:rsidP="003D4E47" w14:paraId="07619BE2"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发起当日</w:t>
            </w:r>
          </w:p>
        </w:tc>
        <w:tc>
          <w:tcPr>
            <w:tcW w:w="2766" w:type="dxa"/>
          </w:tcPr>
          <w:p w:rsidR="001129D6" w:rsidRPr="00B46892" w:rsidP="003D4E47" w14:paraId="46A5E1A0"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受理日下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r>
      <w:tr w14:paraId="440936B6" w14:textId="77777777" w:rsidTr="00B910D9">
        <w:tblPrEx>
          <w:tblW w:w="0" w:type="auto"/>
          <w:tblLook w:val="04A0"/>
        </w:tblPrEx>
        <w:tc>
          <w:tcPr>
            <w:tcW w:w="3256" w:type="dxa"/>
          </w:tcPr>
          <w:p w:rsidR="001129D6" w:rsidRPr="00B46892" w:rsidP="003D4E47" w14:paraId="3F24EF8C"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每个工作日</w:t>
            </w:r>
            <w:r w:rsidRPr="00B46892">
              <w:rPr>
                <w:rFonts w:ascii="黑体" w:eastAsia="黑体" w:hAnsi="黑体" w:cs="黑体"/>
                <w:kern w:val="0"/>
                <w:szCs w:val="21"/>
              </w:rPr>
              <w:t>17:00-24:00</w:t>
            </w:r>
          </w:p>
        </w:tc>
        <w:tc>
          <w:tcPr>
            <w:tcW w:w="2274" w:type="dxa"/>
          </w:tcPr>
          <w:p w:rsidR="001129D6" w:rsidRPr="00B46892" w:rsidP="003D4E47" w14:paraId="0706A155"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发起日下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c>
          <w:tcPr>
            <w:tcW w:w="2766" w:type="dxa"/>
          </w:tcPr>
          <w:p w:rsidR="001129D6" w:rsidRPr="00B46892" w:rsidP="003D4E47" w14:paraId="2467FAB2"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受理日下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r>
      <w:tr w14:paraId="29D60BAC" w14:textId="77777777" w:rsidTr="00B910D9">
        <w:tblPrEx>
          <w:tblW w:w="0" w:type="auto"/>
          <w:tblLook w:val="04A0"/>
        </w:tblPrEx>
        <w:tc>
          <w:tcPr>
            <w:tcW w:w="3256" w:type="dxa"/>
          </w:tcPr>
          <w:p w:rsidR="001129D6" w:rsidRPr="00B46892" w:rsidP="003D4E47" w14:paraId="3084B8DD"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非工作日</w:t>
            </w:r>
            <w:r w:rsidRPr="00B46892">
              <w:rPr>
                <w:rFonts w:ascii="黑体" w:eastAsia="黑体" w:hAnsi="黑体" w:cs="黑体"/>
                <w:kern w:val="0"/>
                <w:szCs w:val="21"/>
              </w:rPr>
              <w:t>0:00-24:00</w:t>
            </w:r>
          </w:p>
        </w:tc>
        <w:tc>
          <w:tcPr>
            <w:tcW w:w="2274" w:type="dxa"/>
          </w:tcPr>
          <w:p w:rsidR="001129D6" w:rsidRPr="00B46892" w:rsidP="003D4E47" w14:paraId="6EB4BA78"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发起日下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c>
          <w:tcPr>
            <w:tcW w:w="2766" w:type="dxa"/>
          </w:tcPr>
          <w:p w:rsidR="001129D6" w:rsidRPr="00B46892" w:rsidP="003D4E47" w14:paraId="266272AD" w14:textId="77777777">
            <w:pPr>
              <w:autoSpaceDE w:val="0"/>
              <w:autoSpaceDN w:val="0"/>
              <w:adjustRightInd w:val="0"/>
              <w:jc w:val="center"/>
              <w:rPr>
                <w:rFonts w:ascii="黑体" w:eastAsia="黑体" w:hAnsi="黑体" w:cs="黑体" w:hint="eastAsia"/>
                <w:kern w:val="0"/>
                <w:szCs w:val="21"/>
              </w:rPr>
            </w:pPr>
            <w:r w:rsidRPr="00B46892">
              <w:rPr>
                <w:rFonts w:ascii="黑体" w:eastAsia="黑体" w:hAnsi="黑体" w:cs="黑体" w:hint="eastAsia"/>
                <w:kern w:val="0"/>
                <w:szCs w:val="21"/>
              </w:rPr>
              <w:t>受理日下</w:t>
            </w:r>
            <w:r w:rsidRPr="00B46892">
              <w:rPr>
                <w:rFonts w:ascii="黑体" w:eastAsia="黑体" w:hAnsi="黑体" w:cs="黑体" w:hint="eastAsia"/>
                <w:kern w:val="0"/>
                <w:szCs w:val="21"/>
              </w:rPr>
              <w:t>一</w:t>
            </w:r>
            <w:r w:rsidRPr="00B46892">
              <w:rPr>
                <w:rFonts w:ascii="黑体" w:eastAsia="黑体" w:hAnsi="黑体" w:cs="黑体" w:hint="eastAsia"/>
                <w:kern w:val="0"/>
                <w:szCs w:val="21"/>
              </w:rPr>
              <w:t>工作日</w:t>
            </w:r>
          </w:p>
        </w:tc>
      </w:tr>
    </w:tbl>
    <w:p w:rsidR="001129D6" w:rsidRPr="00B46892" w:rsidP="001129D6" w14:paraId="138AA180" w14:textId="77777777">
      <w:pPr>
        <w:autoSpaceDE w:val="0"/>
        <w:autoSpaceDN w:val="0"/>
        <w:adjustRightInd w:val="0"/>
        <w:ind w:firstLine="420" w:firstLineChars="200"/>
        <w:jc w:val="left"/>
        <w:rPr>
          <w:rFonts w:ascii="黑体" w:eastAsia="黑体" w:hAnsi="黑体" w:cs="黑体" w:hint="eastAsia"/>
          <w:color w:val="000000" w:themeColor="text1"/>
          <w:kern w:val="0"/>
          <w:szCs w:val="21"/>
        </w:rPr>
      </w:pPr>
      <w:r w:rsidRPr="00B46892">
        <w:rPr>
          <w:rFonts w:ascii="黑体" w:eastAsia="黑体" w:hAnsi="黑体" w:cs="黑体" w:hint="eastAsia"/>
          <w:kern w:val="0"/>
          <w:szCs w:val="21"/>
        </w:rPr>
        <w:t>具体赎回确认及到账时间以销售机构显示为准。</w:t>
      </w:r>
    </w:p>
    <w:p w:rsidR="001129D6" w:rsidRPr="00B46892" w:rsidP="001129D6" w14:paraId="48626113" w14:textId="77777777">
      <w:pPr>
        <w:autoSpaceDE w:val="0"/>
        <w:autoSpaceDN w:val="0"/>
        <w:adjustRightInd w:val="0"/>
        <w:ind w:firstLine="420" w:firstLineChars="200"/>
        <w:jc w:val="left"/>
        <w:rPr>
          <w:rFonts w:ascii="黑体" w:eastAsia="黑体" w:hAnsi="黑体" w:cs="黑体" w:hint="eastAsia"/>
          <w:kern w:val="0"/>
          <w:szCs w:val="21"/>
        </w:rPr>
      </w:pPr>
    </w:p>
    <w:p w:rsidR="00F57BEF" w:rsidRPr="00B46892" w14:paraId="08C550C3"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w:t>
      </w:r>
      <w:r w:rsidRPr="00B46892">
        <w:rPr>
          <w:rFonts w:ascii="黑体" w:eastAsia="黑体" w:hAnsi="黑体" w:cs="宋体"/>
          <w:kern w:val="0"/>
          <w:szCs w:val="21"/>
        </w:rPr>
        <w:t>三）产品净值公布方式</w:t>
      </w:r>
    </w:p>
    <w:p w:rsidR="00F57BEF" w:rsidRPr="00B46892" w14:paraId="14B7FB4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w:t>
      </w:r>
      <w:r w:rsidRPr="00B46892">
        <w:rPr>
          <w:rFonts w:ascii="黑体" w:eastAsia="黑体" w:hAnsi="黑体" w:cs="黑体"/>
          <w:kern w:val="0"/>
          <w:szCs w:val="21"/>
        </w:rPr>
        <w:t>单位</w:t>
      </w:r>
      <w:r w:rsidRPr="00B46892">
        <w:rPr>
          <w:rFonts w:ascii="黑体" w:eastAsia="黑体" w:hAnsi="黑体" w:cs="黑体" w:hint="eastAsia"/>
          <w:kern w:val="0"/>
          <w:szCs w:val="21"/>
        </w:rPr>
        <w:t>净值每日归1，净值大于1的部分以红利再投的方式每日结转为份额，存续期内本产品的单位净值为每份1.00元</w:t>
      </w:r>
      <w:r w:rsidRPr="00B46892">
        <w:rPr>
          <w:rFonts w:ascii="黑体" w:eastAsia="黑体" w:hAnsi="黑体" w:cs="黑体"/>
          <w:kern w:val="0"/>
          <w:szCs w:val="21"/>
        </w:rPr>
        <w:t>。</w:t>
      </w:r>
    </w:p>
    <w:p w:rsidR="00F57BEF" w:rsidRPr="00B46892" w14:paraId="712F59E6" w14:textId="2ABE5F89">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b/>
          <w:kern w:val="0"/>
          <w:szCs w:val="21"/>
        </w:rPr>
        <w:t>产品存续期内每个产品开放日结束后</w:t>
      </w:r>
      <w:r w:rsidRPr="00B46892">
        <w:rPr>
          <w:rFonts w:ascii="黑体" w:eastAsia="黑体" w:hAnsi="黑体" w:cs="黑体"/>
          <w:b/>
          <w:kern w:val="0"/>
          <w:szCs w:val="21"/>
        </w:rPr>
        <w:t xml:space="preserve"> 2 </w:t>
      </w:r>
      <w:r w:rsidRPr="00B46892">
        <w:rPr>
          <w:rFonts w:ascii="黑体" w:eastAsia="黑体" w:hAnsi="黑体" w:cs="黑体" w:hint="eastAsia"/>
          <w:b/>
          <w:kern w:val="0"/>
          <w:szCs w:val="21"/>
        </w:rPr>
        <w:t>个</w:t>
      </w:r>
      <w:r w:rsidRPr="00B46892">
        <w:rPr>
          <w:rFonts w:ascii="黑体" w:eastAsia="黑体" w:hAnsi="黑体" w:cs="黑体" w:hint="eastAsia"/>
          <w:b/>
          <w:kern w:val="0"/>
          <w:szCs w:val="21"/>
        </w:rPr>
        <w:t>工作日内公告该产品开放日的产品净值、</w:t>
      </w:r>
      <w:r w:rsidRPr="00B46892">
        <w:rPr>
          <w:rFonts w:ascii="黑体" w:eastAsia="黑体" w:hAnsi="黑体" w:cs="黑体"/>
          <w:kern w:val="0"/>
          <w:szCs w:val="21"/>
        </w:rPr>
        <w:t>申购</w:t>
      </w:r>
      <w:r w:rsidRPr="00B46892">
        <w:rPr>
          <w:rFonts w:ascii="黑体" w:eastAsia="黑体" w:hAnsi="黑体" w:cs="黑体" w:hint="eastAsia"/>
          <w:kern w:val="0"/>
          <w:szCs w:val="21"/>
        </w:rPr>
        <w:t>价格、</w:t>
      </w:r>
      <w:r w:rsidRPr="00B46892">
        <w:rPr>
          <w:rFonts w:ascii="黑体" w:eastAsia="黑体" w:hAnsi="黑体" w:cs="黑体"/>
          <w:kern w:val="0"/>
          <w:szCs w:val="21"/>
        </w:rPr>
        <w:t>赎回价格</w:t>
      </w:r>
      <w:r w:rsidRPr="00B46892">
        <w:rPr>
          <w:rFonts w:ascii="黑体" w:eastAsia="黑体" w:hAnsi="黑体" w:cs="黑体" w:hint="eastAsia"/>
          <w:kern w:val="0"/>
          <w:szCs w:val="21"/>
        </w:rPr>
        <w:t>、每万份产品净收益。如有</w:t>
      </w:r>
      <w:r w:rsidRPr="00B46892">
        <w:rPr>
          <w:rFonts w:ascii="黑体" w:eastAsia="黑体" w:hAnsi="黑体" w:cs="黑体"/>
          <w:kern w:val="0"/>
          <w:szCs w:val="21"/>
        </w:rPr>
        <w:t>其它</w:t>
      </w:r>
      <w:r w:rsidRPr="00B46892">
        <w:rPr>
          <w:rFonts w:ascii="黑体" w:eastAsia="黑体" w:hAnsi="黑体" w:cs="黑体" w:hint="eastAsia"/>
          <w:kern w:val="0"/>
          <w:szCs w:val="21"/>
        </w:rPr>
        <w:t>特殊情况的</w:t>
      </w:r>
      <w:r w:rsidRPr="00B46892">
        <w:rPr>
          <w:rFonts w:ascii="黑体" w:eastAsia="黑体" w:hAnsi="黑体" w:cs="黑体"/>
          <w:kern w:val="0"/>
          <w:szCs w:val="21"/>
        </w:rPr>
        <w:t>，以</w:t>
      </w:r>
      <w:r w:rsidRPr="00B46892">
        <w:rPr>
          <w:rFonts w:ascii="黑体" w:eastAsia="黑体" w:hAnsi="黑体" w:cs="黑体" w:hint="eastAsia"/>
          <w:kern w:val="0"/>
          <w:szCs w:val="21"/>
        </w:rPr>
        <w:t>产品管理人</w:t>
      </w:r>
      <w:r w:rsidRPr="00B46892">
        <w:rPr>
          <w:rFonts w:ascii="黑体" w:eastAsia="黑体" w:hAnsi="黑体" w:cs="黑体"/>
          <w:kern w:val="0"/>
          <w:szCs w:val="21"/>
        </w:rPr>
        <w:t>公告</w:t>
      </w:r>
      <w:r w:rsidRPr="00B46892">
        <w:rPr>
          <w:rFonts w:ascii="黑体" w:eastAsia="黑体" w:hAnsi="黑体" w:cs="黑体" w:hint="eastAsia"/>
          <w:kern w:val="0"/>
          <w:szCs w:val="21"/>
        </w:rPr>
        <w:t>为准</w:t>
      </w:r>
      <w:r w:rsidRPr="00B46892">
        <w:rPr>
          <w:rFonts w:ascii="黑体" w:eastAsia="黑体" w:hAnsi="黑体" w:cs="黑体"/>
          <w:kern w:val="0"/>
          <w:szCs w:val="21"/>
        </w:rPr>
        <w:t>。</w:t>
      </w:r>
    </w:p>
    <w:p w:rsidR="00F57BEF" w:rsidRPr="00B46892" w14:paraId="4098C753"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（四</w:t>
      </w:r>
      <w:r w:rsidRPr="00B46892">
        <w:rPr>
          <w:rFonts w:ascii="黑体" w:eastAsia="黑体" w:hAnsi="黑体" w:cs="宋体"/>
          <w:kern w:val="0"/>
          <w:szCs w:val="21"/>
        </w:rPr>
        <w:t>）</w:t>
      </w:r>
      <w:r w:rsidRPr="00B46892">
        <w:rPr>
          <w:rFonts w:ascii="黑体" w:eastAsia="黑体" w:hAnsi="黑体" w:cs="宋体" w:hint="eastAsia"/>
          <w:kern w:val="0"/>
          <w:szCs w:val="21"/>
        </w:rPr>
        <w:t>投资者持有份额及金额计算规则</w:t>
      </w:r>
    </w:p>
    <w:p w:rsidR="00F57BEF" w:rsidRPr="00B46892" w14:paraId="402399A3" w14:textId="2D07560D">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1、计算规则</w:t>
      </w:r>
      <w:r w:rsidRPr="00B46892" w:rsidR="00525515">
        <w:rPr>
          <w:rFonts w:ascii="黑体" w:eastAsia="黑体" w:hAnsi="黑体" w:cs="黑体" w:hint="eastAsia"/>
          <w:kern w:val="0"/>
          <w:szCs w:val="21"/>
        </w:rPr>
        <w:t>（不考虑强制赎回费）</w:t>
      </w:r>
    </w:p>
    <w:p w:rsidR="00525515" w:rsidRPr="00C542B4" w:rsidP="00525515" w14:paraId="1782962E"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认购确认份额 = 认购金额 / 1.00元</w:t>
      </w:r>
    </w:p>
    <w:p w:rsidR="00525515" w:rsidRPr="00C542B4" w:rsidP="00525515" w14:paraId="07C8264D"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申购确认份额 = 申购金额 / 1.00元</w:t>
      </w:r>
    </w:p>
    <w:p w:rsidR="00525515" w:rsidRPr="00C542B4" w:rsidP="00525515" w14:paraId="2472054E"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赎回确认金额 = 赎回份额 * 1.00元</w:t>
      </w:r>
    </w:p>
    <w:p w:rsidR="00F57BEF" w:rsidRPr="00B46892" w14:paraId="4B53B38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计算得出的金额采取四舍五入后精确到小数点后2位或</w:t>
      </w:r>
      <w:r w:rsidRPr="00B46892">
        <w:rPr>
          <w:rFonts w:ascii="黑体" w:eastAsia="黑体" w:hAnsi="黑体" w:cs="黑体" w:hint="eastAsia"/>
          <w:kern w:val="0"/>
          <w:szCs w:val="21"/>
        </w:rPr>
        <w:t>采取截位规则</w:t>
      </w:r>
      <w:r w:rsidRPr="00B46892">
        <w:rPr>
          <w:rFonts w:ascii="黑体" w:eastAsia="黑体" w:hAnsi="黑体" w:cs="黑体" w:hint="eastAsia"/>
          <w:kern w:val="0"/>
          <w:szCs w:val="21"/>
        </w:rPr>
        <w:t>，计算得出的份额</w:t>
      </w:r>
      <w:r w:rsidRPr="00B46892">
        <w:rPr>
          <w:rFonts w:ascii="黑体" w:eastAsia="黑体" w:hAnsi="黑体" w:cs="黑体" w:hint="eastAsia"/>
          <w:kern w:val="0"/>
          <w:szCs w:val="21"/>
        </w:rPr>
        <w:t>采取截位规则</w:t>
      </w:r>
      <w:r w:rsidRPr="00B46892">
        <w:rPr>
          <w:rFonts w:ascii="黑体" w:eastAsia="黑体" w:hAnsi="黑体" w:cs="黑体" w:hint="eastAsia"/>
          <w:kern w:val="0"/>
          <w:szCs w:val="21"/>
        </w:rPr>
        <w:t>取小数点后2位。具体以产品管理人实际确认为准。</w:t>
      </w:r>
    </w:p>
    <w:p w:rsidR="00F57BEF" w:rsidRPr="00B46892" w14:paraId="651B0121"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2、计算示例</w:t>
      </w:r>
    </w:p>
    <w:p w:rsidR="00317998" w:rsidRPr="00B46892" w:rsidP="00317998" w14:paraId="538BFEDF" w14:textId="77777777">
      <w:pPr>
        <w:autoSpaceDE w:val="0"/>
        <w:autoSpaceDN w:val="0"/>
        <w:adjustRightInd w:val="0"/>
        <w:ind w:firstLine="420" w:firstLineChars="200"/>
        <w:jc w:val="left"/>
        <w:rPr>
          <w:rFonts w:ascii="黑体" w:eastAsia="黑体" w:hAnsi="黑体" w:cs="黑体" w:hint="eastAsia"/>
          <w:color w:val="000000" w:themeColor="text1"/>
          <w:kern w:val="0"/>
          <w:szCs w:val="21"/>
        </w:rPr>
      </w:pPr>
      <w:r w:rsidRPr="00B46892">
        <w:rPr>
          <w:rFonts w:ascii="黑体" w:eastAsia="黑体" w:hAnsi="黑体" w:cs="黑体" w:hint="eastAsia"/>
          <w:color w:val="000000" w:themeColor="text1"/>
          <w:kern w:val="0"/>
          <w:szCs w:val="21"/>
        </w:rPr>
        <w:t>情景</w:t>
      </w:r>
      <w:r w:rsidRPr="00B46892">
        <w:rPr>
          <w:rFonts w:ascii="黑体" w:eastAsia="黑体" w:hAnsi="黑体" w:cs="黑体"/>
          <w:color w:val="000000" w:themeColor="text1"/>
          <w:kern w:val="0"/>
          <w:szCs w:val="21"/>
        </w:rPr>
        <w:t>1：</w:t>
      </w:r>
      <w:r w:rsidRPr="00B46892">
        <w:rPr>
          <w:rFonts w:ascii="黑体" w:eastAsia="黑体" w:hAnsi="黑体" w:cs="黑体" w:hint="eastAsia"/>
          <w:color w:val="000000" w:themeColor="text1"/>
          <w:kern w:val="0"/>
          <w:szCs w:val="21"/>
        </w:rPr>
        <w:t>假设投资者于募集期</w:t>
      </w:r>
      <w:r w:rsidRPr="00B46892">
        <w:rPr>
          <w:rFonts w:ascii="黑体" w:eastAsia="黑体" w:hAnsi="黑体" w:cs="黑体"/>
          <w:color w:val="000000" w:themeColor="text1"/>
          <w:kern w:val="0"/>
          <w:szCs w:val="21"/>
        </w:rPr>
        <w:t>/产品存续期</w:t>
      </w:r>
      <w:r w:rsidRPr="00B46892">
        <w:rPr>
          <w:rFonts w:ascii="黑体" w:eastAsia="黑体" w:hAnsi="黑体" w:cs="黑体" w:hint="eastAsia"/>
          <w:color w:val="000000" w:themeColor="text1"/>
          <w:kern w:val="0"/>
          <w:szCs w:val="21"/>
        </w:rPr>
        <w:t>认购</w:t>
      </w:r>
      <w:r w:rsidRPr="00B46892">
        <w:rPr>
          <w:rFonts w:ascii="黑体" w:eastAsia="黑体" w:hAnsi="黑体" w:cs="黑体"/>
          <w:color w:val="000000" w:themeColor="text1"/>
          <w:kern w:val="0"/>
          <w:szCs w:val="21"/>
        </w:rPr>
        <w:t>/申购</w:t>
      </w:r>
      <w:r w:rsidRPr="00B46892">
        <w:rPr>
          <w:rFonts w:ascii="黑体" w:eastAsia="黑体" w:hAnsi="黑体" w:cs="黑体" w:hint="eastAsia"/>
          <w:color w:val="000000" w:themeColor="text1"/>
          <w:kern w:val="0"/>
          <w:szCs w:val="21"/>
        </w:rPr>
        <w:t>本产品，投资本金为</w:t>
      </w:r>
      <w:r w:rsidRPr="00B46892">
        <w:rPr>
          <w:rFonts w:ascii="黑体" w:eastAsia="黑体" w:hAnsi="黑体" w:cs="黑体"/>
          <w:color w:val="000000" w:themeColor="text1"/>
          <w:kern w:val="0"/>
          <w:szCs w:val="21"/>
        </w:rPr>
        <w:t>100,000.00</w:t>
      </w:r>
      <w:r w:rsidRPr="00B46892">
        <w:rPr>
          <w:rFonts w:ascii="黑体" w:eastAsia="黑体" w:hAnsi="黑体" w:cs="黑体" w:hint="eastAsia"/>
          <w:color w:val="000000" w:themeColor="text1"/>
          <w:kern w:val="0"/>
          <w:szCs w:val="21"/>
        </w:rPr>
        <w:t>元人民币，认购</w:t>
      </w:r>
      <w:r w:rsidRPr="00B46892">
        <w:rPr>
          <w:rFonts w:ascii="黑体" w:eastAsia="黑体" w:hAnsi="黑体" w:cs="黑体"/>
          <w:color w:val="000000" w:themeColor="text1"/>
          <w:kern w:val="0"/>
          <w:szCs w:val="21"/>
        </w:rPr>
        <w:t>/申购</w:t>
      </w:r>
      <w:r w:rsidRPr="00B46892">
        <w:rPr>
          <w:rFonts w:ascii="黑体" w:eastAsia="黑体" w:hAnsi="黑体" w:cs="黑体" w:hint="eastAsia"/>
          <w:color w:val="000000" w:themeColor="text1"/>
          <w:kern w:val="0"/>
          <w:szCs w:val="21"/>
        </w:rPr>
        <w:t>价格为</w:t>
      </w:r>
      <w:r w:rsidRPr="00B46892">
        <w:rPr>
          <w:rFonts w:ascii="黑体" w:eastAsia="黑体" w:hAnsi="黑体" w:cs="黑体"/>
          <w:color w:val="000000" w:themeColor="text1"/>
          <w:kern w:val="0"/>
          <w:szCs w:val="21"/>
        </w:rPr>
        <w:t>1.00</w:t>
      </w:r>
      <w:r w:rsidRPr="00B46892">
        <w:rPr>
          <w:rFonts w:ascii="黑体" w:eastAsia="黑体" w:hAnsi="黑体" w:cs="黑体" w:hint="eastAsia"/>
          <w:color w:val="000000" w:themeColor="text1"/>
          <w:kern w:val="0"/>
          <w:szCs w:val="21"/>
        </w:rPr>
        <w:t>元</w:t>
      </w:r>
      <w:r w:rsidRPr="00B46892">
        <w:rPr>
          <w:rFonts w:ascii="黑体" w:eastAsia="黑体" w:hAnsi="黑体" w:cs="黑体"/>
          <w:color w:val="000000" w:themeColor="text1"/>
          <w:kern w:val="0"/>
          <w:szCs w:val="21"/>
        </w:rPr>
        <w:t>/</w:t>
      </w:r>
      <w:r w:rsidRPr="00B46892">
        <w:rPr>
          <w:rFonts w:ascii="黑体" w:eastAsia="黑体" w:hAnsi="黑体" w:cs="黑体" w:hint="eastAsia"/>
          <w:color w:val="000000" w:themeColor="text1"/>
          <w:kern w:val="0"/>
          <w:szCs w:val="21"/>
        </w:rPr>
        <w:t>份，则投资者持有份额为：</w:t>
      </w:r>
    </w:p>
    <w:p w:rsidR="00317998" w:rsidRPr="00B46892" w:rsidP="00317998" w14:paraId="3CBD835C" w14:textId="77777777">
      <w:pPr>
        <w:autoSpaceDE w:val="0"/>
        <w:autoSpaceDN w:val="0"/>
        <w:adjustRightInd w:val="0"/>
        <w:ind w:firstLine="420" w:firstLineChars="200"/>
        <w:jc w:val="left"/>
        <w:rPr>
          <w:rFonts w:ascii="黑体" w:eastAsia="黑体" w:hAnsi="黑体" w:cs="黑体" w:hint="eastAsia"/>
          <w:color w:val="000000" w:themeColor="text1"/>
          <w:kern w:val="0"/>
          <w:szCs w:val="21"/>
        </w:rPr>
      </w:pPr>
      <w:r w:rsidRPr="00B46892">
        <w:rPr>
          <w:rFonts w:ascii="黑体" w:eastAsia="黑体" w:hAnsi="黑体" w:cs="黑体" w:hint="eastAsia"/>
          <w:color w:val="000000" w:themeColor="text1"/>
          <w:kern w:val="0"/>
          <w:szCs w:val="21"/>
        </w:rPr>
        <w:t>认购</w:t>
      </w:r>
      <w:r w:rsidRPr="00B46892">
        <w:rPr>
          <w:rFonts w:ascii="黑体" w:eastAsia="黑体" w:hAnsi="黑体" w:cs="黑体"/>
          <w:color w:val="000000" w:themeColor="text1"/>
          <w:kern w:val="0"/>
          <w:szCs w:val="21"/>
        </w:rPr>
        <w:t>/申购</w:t>
      </w:r>
      <w:r w:rsidRPr="00B46892">
        <w:rPr>
          <w:rFonts w:ascii="黑体" w:eastAsia="黑体" w:hAnsi="黑体" w:cs="黑体" w:hint="eastAsia"/>
          <w:color w:val="000000" w:themeColor="text1"/>
          <w:kern w:val="0"/>
          <w:szCs w:val="21"/>
        </w:rPr>
        <w:t>确认份额</w:t>
      </w:r>
      <w:r w:rsidRPr="00B46892">
        <w:rPr>
          <w:rFonts w:ascii="黑体" w:eastAsia="黑体" w:hAnsi="黑体" w:cs="黑体"/>
          <w:color w:val="000000" w:themeColor="text1"/>
          <w:kern w:val="0"/>
          <w:szCs w:val="21"/>
        </w:rPr>
        <w:t>=100,000.00÷1.00=100,000.00（份）</w:t>
      </w:r>
    </w:p>
    <w:p w:rsidR="00317998" w:rsidRPr="00B46892" w:rsidP="00317998" w14:paraId="4D652BCD" w14:textId="77777777">
      <w:pPr>
        <w:autoSpaceDE w:val="0"/>
        <w:autoSpaceDN w:val="0"/>
        <w:adjustRightInd w:val="0"/>
        <w:ind w:firstLine="420" w:firstLineChars="200"/>
        <w:jc w:val="left"/>
        <w:rPr>
          <w:rFonts w:ascii="黑体" w:eastAsia="黑体" w:hAnsi="黑体" w:cs="黑体" w:hint="eastAsia"/>
          <w:color w:val="000000" w:themeColor="text1"/>
          <w:kern w:val="0"/>
          <w:szCs w:val="21"/>
        </w:rPr>
      </w:pPr>
      <w:r w:rsidRPr="00B46892">
        <w:rPr>
          <w:rFonts w:ascii="黑体" w:eastAsia="黑体" w:hAnsi="黑体" w:cs="黑体" w:hint="eastAsia"/>
          <w:color w:val="000000" w:themeColor="text1"/>
          <w:kern w:val="0"/>
          <w:szCs w:val="21"/>
        </w:rPr>
        <w:t>情景</w:t>
      </w:r>
      <w:r w:rsidRPr="00B46892">
        <w:rPr>
          <w:rFonts w:ascii="黑体" w:eastAsia="黑体" w:hAnsi="黑体" w:cs="黑体"/>
          <w:color w:val="000000" w:themeColor="text1"/>
          <w:kern w:val="0"/>
          <w:szCs w:val="21"/>
        </w:rPr>
        <w:t>2</w:t>
      </w:r>
      <w:r w:rsidRPr="00B46892">
        <w:rPr>
          <w:rFonts w:ascii="黑体" w:eastAsia="黑体" w:hAnsi="黑体" w:cs="黑体" w:hint="eastAsia"/>
          <w:color w:val="000000" w:themeColor="text1"/>
          <w:kern w:val="0"/>
          <w:szCs w:val="21"/>
        </w:rPr>
        <w:t>：假设投资者某日赎回持有份额</w:t>
      </w:r>
      <w:r w:rsidRPr="00B46892">
        <w:rPr>
          <w:rFonts w:ascii="黑体" w:eastAsia="黑体" w:hAnsi="黑体" w:cs="黑体"/>
          <w:color w:val="000000" w:themeColor="text1"/>
          <w:kern w:val="0"/>
          <w:szCs w:val="21"/>
        </w:rPr>
        <w:t xml:space="preserve">100,000.00 </w:t>
      </w:r>
      <w:r w:rsidRPr="00B46892">
        <w:rPr>
          <w:rFonts w:ascii="黑体" w:eastAsia="黑体" w:hAnsi="黑体" w:cs="黑体" w:hint="eastAsia"/>
          <w:color w:val="000000" w:themeColor="text1"/>
          <w:kern w:val="0"/>
          <w:szCs w:val="21"/>
        </w:rPr>
        <w:t>份，且投资者赎回份额不收取强制赎回费，若赎回确认金额采取四舍五入后精确到小数点后2位，则兑付投资者的赎回确认金额为：</w:t>
      </w:r>
    </w:p>
    <w:p w:rsidR="00317998" w:rsidRPr="00B46892" w:rsidP="00317998" w14:paraId="3D4E26F9" w14:textId="77777777">
      <w:pPr>
        <w:autoSpaceDE w:val="0"/>
        <w:autoSpaceDN w:val="0"/>
        <w:adjustRightInd w:val="0"/>
        <w:ind w:firstLine="420" w:firstLineChars="200"/>
        <w:jc w:val="left"/>
        <w:rPr>
          <w:rFonts w:ascii="黑体" w:eastAsia="黑体" w:hAnsi="黑体" w:cs="黑体" w:hint="eastAsia"/>
          <w:color w:val="000000" w:themeColor="text1"/>
          <w:kern w:val="0"/>
          <w:szCs w:val="21"/>
        </w:rPr>
      </w:pPr>
      <w:r w:rsidRPr="00B46892">
        <w:rPr>
          <w:rFonts w:ascii="黑体" w:eastAsia="黑体" w:hAnsi="黑体" w:cs="黑体" w:hint="eastAsia"/>
          <w:color w:val="000000" w:themeColor="text1"/>
          <w:kern w:val="0"/>
          <w:szCs w:val="21"/>
        </w:rPr>
        <w:t>赎回确认金额</w:t>
      </w:r>
      <w:r w:rsidRPr="00B46892">
        <w:rPr>
          <w:rFonts w:ascii="黑体" w:eastAsia="黑体" w:hAnsi="黑体" w:cs="黑体"/>
          <w:color w:val="000000" w:themeColor="text1"/>
          <w:kern w:val="0"/>
          <w:szCs w:val="21"/>
        </w:rPr>
        <w:t>=100,000.00×1.00=100,000.00（元）</w:t>
      </w:r>
    </w:p>
    <w:p w:rsidR="00F57BEF" w:rsidRPr="00B46892" w14:paraId="2B1FA05B"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测算收益不等于实际收益，投资须谨慎。</w:t>
      </w:r>
    </w:p>
    <w:p w:rsidR="00F57BEF" w:rsidRPr="00B46892" w14:paraId="77577EA0"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（五）巨额赎回</w:t>
      </w:r>
    </w:p>
    <w:p w:rsidR="00F57BEF" w:rsidRPr="00B46892" w14:paraId="72A1A97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1</w:t>
      </w:r>
      <w:r w:rsidRPr="00B46892">
        <w:rPr>
          <w:rFonts w:ascii="黑体" w:eastAsia="黑体" w:hAnsi="黑体" w:cs="黑体" w:hint="eastAsia"/>
          <w:kern w:val="0"/>
          <w:szCs w:val="21"/>
        </w:rPr>
        <w:t>、在单个产品开放日，产品累计净赎回份额（累计赎回份额</w:t>
      </w:r>
      <w:r w:rsidRPr="00B46892">
        <w:rPr>
          <w:rFonts w:ascii="黑体" w:eastAsia="黑体" w:hAnsi="黑体" w:cs="黑体"/>
          <w:kern w:val="0"/>
          <w:szCs w:val="21"/>
        </w:rPr>
        <w:t>-累计</w:t>
      </w:r>
      <w:r w:rsidRPr="00B46892">
        <w:rPr>
          <w:rFonts w:ascii="黑体" w:eastAsia="黑体" w:hAnsi="黑体" w:cs="黑体" w:hint="eastAsia"/>
          <w:kern w:val="0"/>
          <w:szCs w:val="21"/>
        </w:rPr>
        <w:t>申购份额）超过开放日前一个工作日日终份额的</w:t>
      </w:r>
      <w:r w:rsidRPr="00B46892">
        <w:rPr>
          <w:rFonts w:ascii="黑体" w:eastAsia="黑体" w:hAnsi="黑体" w:cs="黑体"/>
          <w:kern w:val="0"/>
          <w:szCs w:val="21"/>
        </w:rPr>
        <w:t>10%</w:t>
      </w:r>
      <w:r w:rsidRPr="00B46892">
        <w:rPr>
          <w:rFonts w:ascii="黑体" w:eastAsia="黑体" w:hAnsi="黑体" w:cs="黑体" w:hint="eastAsia"/>
          <w:kern w:val="0"/>
          <w:szCs w:val="21"/>
        </w:rPr>
        <w:t>时，触发巨额赎回（快速赎回不同于普通赎回，暂不适用于巨额赎回的约定）。</w:t>
      </w:r>
    </w:p>
    <w:p w:rsidR="00F57BEF" w:rsidRPr="00B46892" w14:paraId="3EEF6FC8"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kern w:val="0"/>
          <w:szCs w:val="21"/>
        </w:rPr>
        <w:t>2、</w:t>
      </w:r>
      <w:r w:rsidRPr="00B46892">
        <w:rPr>
          <w:rFonts w:ascii="黑体" w:eastAsia="黑体" w:hAnsi="黑体" w:cs="宋体" w:hint="eastAsia"/>
          <w:kern w:val="0"/>
          <w:szCs w:val="21"/>
        </w:rPr>
        <w:t>产品在开放日发生巨额赎回时，产品管理人有权根据产品当时的投资运作情况决定采取全额赎回、部分赎回、暂停赎回等措施。在运用部分赎回、暂停赎回等措施后，产品管理人将在巨额赎回发生后3个工作日内进行信息披露，并说明运用相关措施的原因、拟采取的应对安排等。</w:t>
      </w:r>
    </w:p>
    <w:p w:rsidR="00F57BEF" w:rsidRPr="00B46892" w14:paraId="02A029FF"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w:t>
      </w:r>
      <w:r w:rsidRPr="00B46892">
        <w:rPr>
          <w:rFonts w:ascii="黑体" w:eastAsia="黑体" w:hAnsi="黑体" w:cs="宋体"/>
          <w:kern w:val="0"/>
          <w:szCs w:val="21"/>
        </w:rPr>
        <w:t>1）全额赎回：当产品管理人有能力兑付投资者的全部赎回申请时，将在申请确认日按投资者申请赎回份额执行正常赎回程序。</w:t>
      </w:r>
    </w:p>
    <w:p w:rsidR="00F57BEF" w:rsidRPr="00B46892" w14:paraId="5577C30C"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w:t>
      </w:r>
      <w:r w:rsidRPr="00B46892">
        <w:rPr>
          <w:rFonts w:ascii="黑体" w:eastAsia="黑体" w:hAnsi="黑体" w:cs="宋体"/>
          <w:kern w:val="0"/>
          <w:szCs w:val="21"/>
        </w:rPr>
        <w:t>2）部分赎回：产品管理人在申请确认日</w:t>
      </w:r>
      <w:r w:rsidRPr="00B46892">
        <w:rPr>
          <w:rFonts w:ascii="黑体" w:eastAsia="黑体" w:hAnsi="黑体" w:cs="宋体" w:hint="eastAsia"/>
          <w:kern w:val="0"/>
          <w:szCs w:val="21"/>
        </w:rPr>
        <w:t>确认受理赎回比例不低于上一日产品总份额</w:t>
      </w:r>
      <w:r w:rsidRPr="00B46892">
        <w:rPr>
          <w:rFonts w:ascii="黑体" w:eastAsia="黑体" w:hAnsi="黑体" w:cs="宋体"/>
          <w:kern w:val="0"/>
          <w:szCs w:val="21"/>
        </w:rPr>
        <w:t>10%的前提下，有权拒绝</w:t>
      </w:r>
      <w:r w:rsidRPr="00B46892">
        <w:rPr>
          <w:rFonts w:ascii="黑体" w:eastAsia="黑体" w:hAnsi="黑体" w:cs="宋体" w:hint="eastAsia"/>
          <w:kern w:val="0"/>
          <w:szCs w:val="21"/>
        </w:rPr>
        <w:t>受理其余部分或全部赎回申请。对于当期确认受理的总赎回申请份额，产品管理人将在申请确认日按单个投资者申请赎回份额占当期申请赎回总份额的比例，确定受理该单个投资者当期的赎回份额。针对当日未确认受理的赎回申请份额，投资者可在申请赎回时选择予以撤销，未选择撤销的赎回申请，产品管理人可以延迟至下一开放日处理，延迟至下一开放日的赎回申请不享有优先确认权。巨额赎回处理方式具体以销售机构展示为准。</w:t>
      </w:r>
    </w:p>
    <w:p w:rsidR="00F57BEF" w:rsidRPr="00B46892" w14:paraId="6E829207"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w:t>
      </w:r>
      <w:r w:rsidRPr="00B46892">
        <w:rPr>
          <w:rFonts w:ascii="黑体" w:eastAsia="黑体" w:hAnsi="黑体" w:cs="宋体"/>
          <w:kern w:val="0"/>
          <w:szCs w:val="21"/>
        </w:rPr>
        <w:t>3）暂停赎回：产品连续2个以上开放日发生巨额赎回的，</w:t>
      </w:r>
      <w:r w:rsidRPr="00B46892">
        <w:rPr>
          <w:rFonts w:ascii="黑体" w:eastAsia="黑体" w:hAnsi="黑体" w:cs="宋体" w:hint="eastAsia"/>
          <w:kern w:val="0"/>
          <w:szCs w:val="21"/>
        </w:rPr>
        <w:t>除采取上述措施外，如产品管理人认为有必要，可暂停接受产品的赎回申请；对于已经接受的赎回申请，</w:t>
      </w:r>
      <w:r w:rsidRPr="00B46892">
        <w:rPr>
          <w:rFonts w:ascii="黑体" w:eastAsia="黑体" w:hAnsi="黑体" w:cs="宋体"/>
          <w:kern w:val="0"/>
          <w:szCs w:val="21"/>
        </w:rPr>
        <w:t>产品管理人有权</w:t>
      </w:r>
      <w:r w:rsidRPr="00B46892">
        <w:rPr>
          <w:rFonts w:ascii="黑体" w:eastAsia="黑体" w:hAnsi="黑体" w:cs="宋体" w:hint="eastAsia"/>
          <w:kern w:val="0"/>
          <w:szCs w:val="21"/>
        </w:rPr>
        <w:t>延缓支付赎回款项，但延缓期限不得超过</w:t>
      </w:r>
      <w:r w:rsidRPr="00B46892">
        <w:rPr>
          <w:rFonts w:ascii="黑体" w:eastAsia="黑体" w:hAnsi="黑体" w:cs="宋体"/>
          <w:kern w:val="0"/>
          <w:szCs w:val="21"/>
        </w:rPr>
        <w:t>20个工作日。</w:t>
      </w:r>
    </w:p>
    <w:p w:rsidR="00F57BEF" w:rsidRPr="00B46892" w14:paraId="22291240" w14:textId="1B5C3FC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3</w:t>
      </w:r>
      <w:r w:rsidRPr="00B46892">
        <w:rPr>
          <w:rFonts w:ascii="黑体" w:eastAsia="黑体" w:hAnsi="黑体" w:cs="黑体" w:hint="eastAsia"/>
          <w:kern w:val="0"/>
          <w:szCs w:val="21"/>
        </w:rPr>
        <w:t>、其他：</w:t>
      </w:r>
      <w:r w:rsidRPr="00B46892" w:rsidR="00317998">
        <w:rPr>
          <w:rFonts w:ascii="黑体" w:eastAsia="黑体" w:hAnsi="黑体" w:cs="黑体" w:hint="eastAsia"/>
          <w:kern w:val="0"/>
          <w:szCs w:val="21"/>
        </w:rPr>
        <w:t>无</w:t>
      </w:r>
    </w:p>
    <w:p w:rsidR="00F57BEF" w:rsidRPr="00B46892" w14:paraId="1CADF6E5" w14:textId="77777777">
      <w:pPr>
        <w:autoSpaceDE w:val="0"/>
        <w:autoSpaceDN w:val="0"/>
        <w:adjustRightInd w:val="0"/>
        <w:jc w:val="left"/>
        <w:rPr>
          <w:rFonts w:ascii="黑体" w:eastAsia="黑体" w:hAnsi="黑体" w:cs="黑体" w:hint="eastAsia"/>
          <w:kern w:val="0"/>
          <w:szCs w:val="21"/>
        </w:rPr>
      </w:pPr>
      <w:r w:rsidRPr="00B46892">
        <w:rPr>
          <w:rFonts w:ascii="黑体" w:eastAsia="黑体" w:hAnsi="黑体" w:cs="黑体" w:hint="eastAsia"/>
          <w:kern w:val="0"/>
          <w:szCs w:val="21"/>
        </w:rPr>
        <w:t>（六</w:t>
      </w:r>
      <w:r w:rsidRPr="00B46892">
        <w:rPr>
          <w:rFonts w:ascii="黑体" w:eastAsia="黑体" w:hAnsi="黑体" w:cs="黑体"/>
          <w:kern w:val="0"/>
          <w:szCs w:val="21"/>
        </w:rPr>
        <w:t>）分红规则</w:t>
      </w:r>
    </w:p>
    <w:p w:rsidR="00F57BEF" w:rsidRPr="00B46892" w14:paraId="58E57A4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w:t>
      </w:r>
      <w:r w:rsidRPr="00B46892">
        <w:rPr>
          <w:rFonts w:ascii="黑体" w:eastAsia="黑体" w:hAnsi="黑体" w:cs="黑体"/>
          <w:kern w:val="0"/>
          <w:szCs w:val="21"/>
        </w:rPr>
        <w:t>本产品</w:t>
      </w:r>
      <w:r w:rsidRPr="00B46892">
        <w:rPr>
          <w:rFonts w:ascii="黑体" w:eastAsia="黑体" w:hAnsi="黑体" w:cs="黑体" w:hint="eastAsia"/>
          <w:kern w:val="0"/>
          <w:szCs w:val="21"/>
        </w:rPr>
        <w:t>的分红方式为红利再投资，免收再投资的申购费用。详见本说明书第六部分产品费用、收益及税收说明。</w:t>
      </w:r>
    </w:p>
    <w:p w:rsidR="00F57BEF" w:rsidRPr="00B46892" w14:paraId="7690830D" w14:textId="493B966E">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2、产品管理人有权根据产品实际运作情况，对本产品的分红规则进行调整，如有相应调整，公司将于调整前</w:t>
      </w:r>
      <w:r w:rsidRPr="00B46892" w:rsidR="00317998">
        <w:rPr>
          <w:rFonts w:ascii="黑体" w:eastAsia="黑体" w:hAnsi="黑体" w:cs="黑体" w:hint="eastAsia"/>
          <w:kern w:val="0"/>
          <w:szCs w:val="21"/>
        </w:rPr>
        <w:t>3个</w:t>
      </w:r>
      <w:r w:rsidRPr="00B46892">
        <w:rPr>
          <w:rFonts w:ascii="黑体" w:eastAsia="黑体" w:hAnsi="黑体" w:cs="黑体" w:hint="eastAsia"/>
          <w:kern w:val="0"/>
          <w:szCs w:val="21"/>
        </w:rPr>
        <w:t>工作日进行信息披露。</w:t>
      </w:r>
    </w:p>
    <w:p w:rsidR="00F57BEF" w:rsidRPr="00B46892" w14:paraId="21008FB2" w14:textId="77777777">
      <w:pPr>
        <w:autoSpaceDE w:val="0"/>
        <w:autoSpaceDN w:val="0"/>
        <w:adjustRightInd w:val="0"/>
        <w:ind w:firstLine="420" w:firstLineChars="200"/>
        <w:jc w:val="left"/>
        <w:rPr>
          <w:rFonts w:ascii="黑体" w:eastAsia="黑体" w:hAnsi="黑体" w:cs="黑体" w:hint="eastAsia"/>
          <w:kern w:val="0"/>
          <w:szCs w:val="21"/>
        </w:rPr>
      </w:pPr>
    </w:p>
    <w:p w:rsidR="00F57BEF" w:rsidRPr="00B46892" w14:paraId="2D9570D0"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五、产品资产估值原则</w:t>
      </w:r>
      <w:r w:rsidRPr="00B46892">
        <w:rPr>
          <w:rFonts w:ascii="黑体" w:eastAsia="黑体" w:hAnsi="黑体" w:cs="黑体"/>
          <w:b/>
          <w:kern w:val="0"/>
          <w:szCs w:val="21"/>
        </w:rPr>
        <w:t>及方法</w:t>
      </w:r>
    </w:p>
    <w:p w:rsidR="00F57BEF" w:rsidRPr="00B46892" w14:paraId="5915AA89"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（一）估值日</w:t>
      </w:r>
    </w:p>
    <w:p w:rsidR="00F57BEF" w:rsidRPr="00B46892" w14:paraId="2F3C34D8"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本产品估值日为国家法定工作日。</w:t>
      </w:r>
    </w:p>
    <w:p w:rsidR="00F57BEF" w:rsidRPr="00B46892" w14:paraId="33C40B9A"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（二</w:t>
      </w:r>
      <w:r w:rsidRPr="00B46892">
        <w:rPr>
          <w:rFonts w:ascii="黑体" w:eastAsia="黑体" w:hAnsi="黑体" w:cs="宋体"/>
          <w:kern w:val="0"/>
          <w:szCs w:val="21"/>
        </w:rPr>
        <w:t>）</w:t>
      </w:r>
      <w:r w:rsidRPr="00B46892">
        <w:rPr>
          <w:rFonts w:ascii="黑体" w:eastAsia="黑体" w:hAnsi="黑体" w:cs="宋体" w:hint="eastAsia"/>
          <w:kern w:val="0"/>
          <w:szCs w:val="21"/>
        </w:rPr>
        <w:t>估值</w:t>
      </w:r>
      <w:r w:rsidRPr="00B46892">
        <w:rPr>
          <w:rFonts w:ascii="黑体" w:eastAsia="黑体" w:hAnsi="黑体" w:cs="宋体"/>
          <w:kern w:val="0"/>
          <w:szCs w:val="21"/>
        </w:rPr>
        <w:t>原则</w:t>
      </w:r>
    </w:p>
    <w:p w:rsidR="00F57BEF" w:rsidRPr="00B46892" w14:paraId="02FDD137" w14:textId="77777777">
      <w:pPr>
        <w:autoSpaceDE w:val="0"/>
        <w:autoSpaceDN w:val="0"/>
        <w:adjustRightInd w:val="0"/>
        <w:ind w:firstLine="420" w:firstLineChars="200"/>
        <w:rPr>
          <w:rFonts w:ascii="黑体" w:eastAsia="黑体" w:hAnsi="黑体" w:cs="黑体" w:hint="eastAsia"/>
          <w:kern w:val="0"/>
          <w:szCs w:val="21"/>
        </w:rPr>
      </w:pPr>
      <w:r w:rsidRPr="00B46892">
        <w:rPr>
          <w:rFonts w:ascii="黑体" w:eastAsia="黑体" w:hAnsi="黑体" w:cs="黑体" w:hint="eastAsia"/>
          <w:kern w:val="0"/>
          <w:szCs w:val="21"/>
        </w:rPr>
        <w:t>公司理财产品投资金融资产在符合企业会计准则的前提下坚持公允价值计量原则，鼓励使用市值计量。</w:t>
      </w:r>
      <w:r w:rsidRPr="00C542B4">
        <w:rPr>
          <w:rFonts w:ascii="黑体" w:eastAsia="黑体" w:hAnsi="黑体" w:cs="黑体" w:hint="eastAsia"/>
          <w:b/>
          <w:bCs/>
          <w:kern w:val="0"/>
          <w:szCs w:val="21"/>
        </w:rPr>
        <w:t>符合以下条件之一的，可按照企业会计准则以摊</w:t>
      </w:r>
      <w:r w:rsidRPr="00C542B4">
        <w:rPr>
          <w:rFonts w:ascii="黑体" w:eastAsia="黑体" w:hAnsi="黑体" w:cs="黑体" w:hint="eastAsia"/>
          <w:b/>
          <w:bCs/>
          <w:kern w:val="0"/>
          <w:szCs w:val="21"/>
        </w:rPr>
        <w:t>余成本</w:t>
      </w:r>
      <w:r w:rsidRPr="00C542B4">
        <w:rPr>
          <w:rFonts w:ascii="黑体" w:eastAsia="黑体" w:hAnsi="黑体" w:cs="黑体" w:hint="eastAsia"/>
          <w:b/>
          <w:bCs/>
          <w:kern w:val="0"/>
          <w:szCs w:val="21"/>
        </w:rPr>
        <w:t>进行计量：</w:t>
      </w:r>
    </w:p>
    <w:p w:rsidR="00F57BEF" w:rsidRPr="00B46892" w14:paraId="5E4FDC48" w14:textId="77777777">
      <w:pPr>
        <w:autoSpaceDE w:val="0"/>
        <w:autoSpaceDN w:val="0"/>
        <w:adjustRightInd w:val="0"/>
        <w:ind w:firstLine="420" w:firstLineChars="200"/>
        <w:rPr>
          <w:rFonts w:ascii="黑体" w:eastAsia="黑体" w:hAnsi="黑体" w:cs="黑体" w:hint="eastAsia"/>
          <w:kern w:val="0"/>
          <w:szCs w:val="21"/>
        </w:rPr>
      </w:pPr>
      <w:r w:rsidRPr="00B46892">
        <w:rPr>
          <w:rFonts w:ascii="黑体" w:eastAsia="黑体" w:hAnsi="黑体" w:cs="黑体" w:hint="eastAsia"/>
          <w:kern w:val="0"/>
          <w:szCs w:val="21"/>
        </w:rPr>
        <w:t>（1）资产管理产品为封闭式产品，且所投金融资产以收取合同现金流量为目的并且持有到期。</w:t>
      </w:r>
    </w:p>
    <w:p w:rsidR="00F57BEF" w:rsidRPr="00B46892" w14:paraId="38C2A3EE" w14:textId="77777777">
      <w:pPr>
        <w:autoSpaceDE w:val="0"/>
        <w:autoSpaceDN w:val="0"/>
        <w:adjustRightInd w:val="0"/>
        <w:ind w:firstLine="420" w:firstLineChars="200"/>
        <w:rPr>
          <w:rFonts w:ascii="黑体" w:eastAsia="黑体" w:hAnsi="黑体" w:cs="黑体" w:hint="eastAsia"/>
          <w:kern w:val="0"/>
          <w:szCs w:val="21"/>
        </w:rPr>
      </w:pPr>
      <w:r w:rsidRPr="00B46892">
        <w:rPr>
          <w:rFonts w:ascii="黑体" w:eastAsia="黑体" w:hAnsi="黑体" w:cs="黑体" w:hint="eastAsia"/>
          <w:kern w:val="0"/>
          <w:szCs w:val="21"/>
        </w:rPr>
        <w:t>（2）资产管理产品为封闭式产品，且所投金融资产暂不具备活跃交易市场，或者在活跃市场中没有报价、也不能采用估值技术可靠计量公允价值。</w:t>
      </w:r>
    </w:p>
    <w:p w:rsidR="00F57BEF" w:rsidRPr="00B46892" w14:paraId="1E17AFE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w:t>
      </w:r>
      <w:r w:rsidRPr="00B46892">
        <w:rPr>
          <w:rFonts w:ascii="黑体" w:eastAsia="黑体" w:hAnsi="黑体" w:cs="黑体" w:hint="eastAsia"/>
          <w:kern w:val="0"/>
          <w:szCs w:val="21"/>
        </w:rPr>
        <w:t>余成本</w:t>
      </w:r>
      <w:r w:rsidRPr="00B46892">
        <w:rPr>
          <w:rFonts w:ascii="黑体" w:eastAsia="黑体" w:hAnsi="黑体" w:cs="黑体" w:hint="eastAsia"/>
          <w:kern w:val="0"/>
          <w:szCs w:val="21"/>
        </w:rPr>
        <w:t>法对持有的投资组合进行会计核算。</w:t>
      </w:r>
      <w:r w:rsidRPr="00C542B4">
        <w:rPr>
          <w:rFonts w:ascii="黑体" w:eastAsia="黑体" w:hAnsi="黑体" w:cs="黑体" w:hint="eastAsia"/>
          <w:b/>
          <w:bCs/>
          <w:kern w:val="0"/>
          <w:szCs w:val="21"/>
        </w:rPr>
        <w:t>由于</w:t>
      </w:r>
      <w:r w:rsidRPr="00C542B4">
        <w:rPr>
          <w:rFonts w:ascii="黑体" w:eastAsia="黑体" w:hAnsi="黑体" w:cs="黑体" w:hint="eastAsia"/>
          <w:b/>
          <w:bCs/>
          <w:kern w:val="0"/>
          <w:szCs w:val="21"/>
        </w:rPr>
        <w:t>按摊余成本</w:t>
      </w:r>
      <w:r w:rsidRPr="00C542B4">
        <w:rPr>
          <w:rFonts w:ascii="黑体" w:eastAsia="黑体" w:hAnsi="黑体" w:cs="黑体" w:hint="eastAsia"/>
          <w:b/>
          <w:bCs/>
          <w:kern w:val="0"/>
          <w:szCs w:val="21"/>
        </w:rPr>
        <w:t>法计量可能会出现被计量对象的其他可参考公允价值指标</w:t>
      </w:r>
      <w:r w:rsidRPr="00C542B4">
        <w:rPr>
          <w:rFonts w:ascii="黑体" w:eastAsia="黑体" w:hAnsi="黑体" w:cs="黑体" w:hint="eastAsia"/>
          <w:b/>
          <w:bCs/>
          <w:kern w:val="0"/>
          <w:szCs w:val="21"/>
        </w:rPr>
        <w:t>和摊余成本</w:t>
      </w:r>
      <w:r w:rsidRPr="00C542B4">
        <w:rPr>
          <w:rFonts w:ascii="黑体" w:eastAsia="黑体" w:hAnsi="黑体" w:cs="黑体" w:hint="eastAsia"/>
          <w:b/>
          <w:bCs/>
          <w:kern w:val="0"/>
          <w:szCs w:val="21"/>
        </w:rPr>
        <w:t>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w:t>
      </w:r>
      <w:r w:rsidRPr="00C542B4">
        <w:rPr>
          <w:rFonts w:ascii="黑体" w:eastAsia="黑体" w:hAnsi="黑体" w:cs="黑体" w:hint="eastAsia"/>
          <w:b/>
          <w:bCs/>
          <w:kern w:val="0"/>
          <w:szCs w:val="21"/>
        </w:rPr>
        <w:t>余成本</w:t>
      </w:r>
      <w:r w:rsidRPr="00C542B4">
        <w:rPr>
          <w:rFonts w:ascii="黑体" w:eastAsia="黑体" w:hAnsi="黑体" w:cs="黑体" w:hint="eastAsia"/>
          <w:b/>
          <w:bCs/>
          <w:kern w:val="0"/>
          <w:szCs w:val="21"/>
        </w:rPr>
        <w:t>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rsidR="00F57BEF" w:rsidRPr="00B46892" w14:paraId="0DC45E4E" w14:textId="6463E116">
      <w:pPr>
        <w:autoSpaceDE w:val="0"/>
        <w:autoSpaceDN w:val="0"/>
        <w:adjustRightInd w:val="0"/>
        <w:ind w:firstLine="420" w:firstLineChars="200"/>
        <w:rPr>
          <w:rFonts w:ascii="黑体" w:eastAsia="黑体" w:hAnsi="黑体" w:cs="黑体" w:hint="eastAsia"/>
          <w:kern w:val="0"/>
          <w:szCs w:val="21"/>
        </w:rPr>
      </w:pPr>
      <w:r w:rsidRPr="00B46892">
        <w:rPr>
          <w:rFonts w:ascii="黑体" w:eastAsia="黑体" w:hAnsi="黑体" w:cs="黑体" w:hint="eastAsia"/>
          <w:kern w:val="0"/>
          <w:szCs w:val="21"/>
        </w:rPr>
        <w:t>如财政部、</w:t>
      </w:r>
      <w:r w:rsidR="007A196E">
        <w:rPr>
          <w:rFonts w:ascii="黑体" w:eastAsia="黑体" w:hAnsi="黑体" w:cs="黑体" w:hint="eastAsia"/>
          <w:kern w:val="0"/>
          <w:szCs w:val="21"/>
        </w:rPr>
        <w:t>中国人民</w:t>
      </w:r>
      <w:r w:rsidRPr="00B46892">
        <w:rPr>
          <w:rFonts w:ascii="黑体" w:eastAsia="黑体" w:hAnsi="黑体" w:cs="黑体" w:hint="eastAsia"/>
          <w:kern w:val="0"/>
          <w:szCs w:val="21"/>
        </w:rPr>
        <w:t>银行、</w:t>
      </w:r>
      <w:r w:rsidRPr="00B46892" w:rsidR="00D83351">
        <w:rPr>
          <w:rFonts w:ascii="黑体" w:eastAsia="黑体" w:hAnsi="黑体" w:cs="黑体" w:hint="eastAsia"/>
          <w:kern w:val="0"/>
          <w:szCs w:val="21"/>
        </w:rPr>
        <w:t>国家金融监督管理总局</w:t>
      </w:r>
      <w:r w:rsidRPr="00B46892">
        <w:rPr>
          <w:rFonts w:ascii="黑体" w:eastAsia="黑体" w:hAnsi="黑体" w:cs="黑体" w:hint="eastAsia"/>
          <w:kern w:val="0"/>
          <w:szCs w:val="21"/>
        </w:rPr>
        <w:t>等有关部门对估值原则另有规定的，从其规定。</w:t>
      </w:r>
    </w:p>
    <w:p w:rsidR="00F57BEF" w:rsidRPr="00B46892" w14:paraId="416295F3"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（三）估值对象</w:t>
      </w:r>
    </w:p>
    <w:p w:rsidR="00F57BEF" w:rsidRPr="00B46892" w14:paraId="7E1F6D48"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本产品所持有的所有资产。</w:t>
      </w:r>
    </w:p>
    <w:p w:rsidR="00F57BEF" w:rsidRPr="00B46892" w14:paraId="16B0537A"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（四）资产估值方法</w:t>
      </w:r>
    </w:p>
    <w:p w:rsidR="00113D82" w:rsidRPr="00B46892" w:rsidP="00113D82" w14:paraId="430FB31F"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w:t>
      </w:r>
      <w:r w:rsidRPr="00B46892">
        <w:rPr>
          <w:rFonts w:ascii="黑体" w:eastAsia="黑体" w:hAnsi="黑体" w:cs="黑体" w:hint="eastAsia"/>
          <w:kern w:val="0"/>
          <w:szCs w:val="21"/>
        </w:rPr>
        <w:tab/>
        <w:t>权益类证券</w:t>
      </w:r>
    </w:p>
    <w:p w:rsidR="00113D82" w:rsidRPr="00B46892" w:rsidP="00113D82" w14:paraId="4C577E9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rsidR="00113D82" w:rsidRPr="00B46892" w:rsidP="00113D82" w14:paraId="53A0F20D"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w:t>
      </w:r>
      <w:r w:rsidRPr="00B46892">
        <w:rPr>
          <w:rFonts w:ascii="黑体" w:eastAsia="黑体" w:hAnsi="黑体" w:cs="黑体" w:hint="eastAsia"/>
          <w:kern w:val="0"/>
          <w:szCs w:val="21"/>
        </w:rPr>
        <w:tab/>
        <w:t>固定收益类证券</w:t>
      </w:r>
    </w:p>
    <w:p w:rsidR="00113D82" w:rsidRPr="00B46892" w:rsidP="00113D82" w14:paraId="6072AC38"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理财产品直接持有的在证券交易所和全国银行间市场交易的债券，以交易为目的的，</w:t>
      </w:r>
    </w:p>
    <w:p w:rsidR="00113D82" w:rsidRPr="00B46892" w:rsidP="00113D82" w14:paraId="2A45D5D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按第三方估值机构（中债、中证等）提供的估值数据，对本组合持有的债券进行估值，具体第三方估值机构由管理人和托管行具体协商确定；以收取合同现金流量为目的并持有到期的，在符合监管规定的情况下</w:t>
      </w:r>
      <w:r w:rsidRPr="00B46892">
        <w:rPr>
          <w:rFonts w:ascii="黑体" w:eastAsia="黑体" w:hAnsi="黑体" w:cs="黑体" w:hint="eastAsia"/>
          <w:kern w:val="0"/>
          <w:szCs w:val="21"/>
        </w:rPr>
        <w:t>按摊余成本</w:t>
      </w:r>
      <w:r w:rsidRPr="00B46892">
        <w:rPr>
          <w:rFonts w:ascii="黑体" w:eastAsia="黑体" w:hAnsi="黑体" w:cs="黑体" w:hint="eastAsia"/>
          <w:kern w:val="0"/>
          <w:szCs w:val="21"/>
        </w:rPr>
        <w:t>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资产支持证券和资产支持票据原则上按第三方估值机构（中债、中证等）提供的估值数据进行估值，具体第三方估值机构由管理人和托管行具体协商确定。但若因其交易不活跃或未来现金</w:t>
      </w:r>
      <w:r w:rsidRPr="00B46892">
        <w:rPr>
          <w:rFonts w:ascii="黑体" w:eastAsia="黑体" w:hAnsi="黑体" w:cs="黑体" w:hint="eastAsia"/>
          <w:kern w:val="0"/>
          <w:szCs w:val="21"/>
        </w:rPr>
        <w:t>流难以</w:t>
      </w:r>
      <w:r w:rsidRPr="00B46892">
        <w:rPr>
          <w:rFonts w:ascii="黑体" w:eastAsia="黑体" w:hAnsi="黑体" w:cs="黑体" w:hint="eastAsia"/>
          <w:kern w:val="0"/>
          <w:szCs w:val="21"/>
        </w:rPr>
        <w:t>确认等客观原因，导致第三方估值机构提供的估值数据无法反映其公允价值的，为保护投资者利益，经管理人和托管</w:t>
      </w:r>
      <w:r w:rsidRPr="00B46892">
        <w:rPr>
          <w:rFonts w:ascii="黑体" w:eastAsia="黑体" w:hAnsi="黑体" w:cs="黑体" w:hint="eastAsia"/>
          <w:kern w:val="0"/>
          <w:szCs w:val="21"/>
        </w:rPr>
        <w:t>行合理</w:t>
      </w:r>
      <w:r w:rsidRPr="00B46892">
        <w:rPr>
          <w:rFonts w:ascii="黑体" w:eastAsia="黑体" w:hAnsi="黑体" w:cs="黑体" w:hint="eastAsia"/>
          <w:kern w:val="0"/>
          <w:szCs w:val="21"/>
        </w:rPr>
        <w:t>判断后，可采用其他估值技术对其进行估值。管理人应持续评估上述估值技术的适当性，并在此情况发生改变时做出适当调整。</w:t>
      </w:r>
    </w:p>
    <w:p w:rsidR="00113D82" w:rsidRPr="00B46892" w:rsidP="00113D82" w14:paraId="54291F0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3、存款类资产</w:t>
      </w:r>
    </w:p>
    <w:p w:rsidR="00113D82" w:rsidRPr="00B46892" w:rsidP="00113D82" w14:paraId="4898106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包括：活期存款、定期存款、通知存款、存放同业、大额存单等。按照约定利率在持有期内逐日计提应收利息，在利息到账日以实收利息入账。</w:t>
      </w:r>
    </w:p>
    <w:p w:rsidR="00113D82" w:rsidRPr="00B46892" w:rsidP="00113D82" w14:paraId="0CBB3158"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4、非上市基金</w:t>
      </w:r>
    </w:p>
    <w:p w:rsidR="00113D82" w:rsidRPr="00B46892" w:rsidP="00113D82" w14:paraId="0460A73B"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理财产品投资的境内非货币市场基金，按所投资基金估值日的份额净值估值；境内货币市场基金，按所投资基金前一估值日后至估值日期间（含节假日）的万份收益计提估值日基金收益。</w:t>
      </w:r>
    </w:p>
    <w:p w:rsidR="00113D82" w:rsidRPr="00B46892" w:rsidP="00113D82" w14:paraId="0AFC46FF"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5、上市证券投资基金</w:t>
      </w:r>
    </w:p>
    <w:p w:rsidR="00113D82" w:rsidRPr="00B46892" w:rsidP="00113D82" w14:paraId="0B3C5FD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rsidR="00113D82" w:rsidRPr="00B46892" w:rsidP="00113D82" w14:paraId="263534E3"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6、净值</w:t>
      </w:r>
      <w:r w:rsidRPr="00B46892">
        <w:rPr>
          <w:rFonts w:ascii="黑体" w:eastAsia="黑体" w:hAnsi="黑体" w:cs="黑体" w:hint="eastAsia"/>
          <w:kern w:val="0"/>
          <w:szCs w:val="21"/>
        </w:rPr>
        <w:t>型资管</w:t>
      </w:r>
      <w:r w:rsidRPr="00B46892">
        <w:rPr>
          <w:rFonts w:ascii="黑体" w:eastAsia="黑体" w:hAnsi="黑体" w:cs="黑体" w:hint="eastAsia"/>
          <w:kern w:val="0"/>
          <w:szCs w:val="21"/>
        </w:rPr>
        <w:t>产品</w:t>
      </w:r>
    </w:p>
    <w:p w:rsidR="00113D82" w:rsidRPr="00B46892" w:rsidP="00113D82" w14:paraId="623ABF61"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净值</w:t>
      </w:r>
      <w:r w:rsidRPr="00B46892">
        <w:rPr>
          <w:rFonts w:ascii="黑体" w:eastAsia="黑体" w:hAnsi="黑体" w:cs="黑体" w:hint="eastAsia"/>
          <w:kern w:val="0"/>
          <w:szCs w:val="21"/>
        </w:rPr>
        <w:t>型资管</w:t>
      </w:r>
      <w:r w:rsidRPr="00B46892">
        <w:rPr>
          <w:rFonts w:ascii="黑体" w:eastAsia="黑体" w:hAnsi="黑体" w:cs="黑体" w:hint="eastAsia"/>
          <w:kern w:val="0"/>
          <w:szCs w:val="21"/>
        </w:rPr>
        <w:t>产品包括</w:t>
      </w:r>
      <w:r w:rsidRPr="00B46892">
        <w:rPr>
          <w:rFonts w:ascii="黑体" w:eastAsia="黑体" w:hAnsi="黑体" w:cs="黑体" w:hint="eastAsia"/>
          <w:kern w:val="0"/>
          <w:szCs w:val="21"/>
        </w:rPr>
        <w:t>基金资管计划</w:t>
      </w:r>
      <w:r w:rsidRPr="00B46892">
        <w:rPr>
          <w:rFonts w:ascii="黑体" w:eastAsia="黑体" w:hAnsi="黑体" w:cs="黑体" w:hint="eastAsia"/>
          <w:kern w:val="0"/>
          <w:szCs w:val="21"/>
        </w:rPr>
        <w:t>、信托计划等。理财产品投资的资产管理产品，按资产管理人提供</w:t>
      </w:r>
      <w:r w:rsidRPr="00B46892">
        <w:rPr>
          <w:rFonts w:ascii="黑体" w:eastAsia="黑体" w:hAnsi="黑体" w:cs="黑体" w:hint="eastAsia"/>
          <w:kern w:val="0"/>
          <w:szCs w:val="21"/>
        </w:rPr>
        <w:t>的资管产品</w:t>
      </w:r>
      <w:r w:rsidRPr="00B46892">
        <w:rPr>
          <w:rFonts w:ascii="黑体" w:eastAsia="黑体" w:hAnsi="黑体" w:cs="黑体" w:hint="eastAsia"/>
          <w:kern w:val="0"/>
          <w:szCs w:val="21"/>
        </w:rPr>
        <w:t>份额净值估值，净值频率以管理人发布为准。</w:t>
      </w:r>
    </w:p>
    <w:p w:rsidR="00113D82" w:rsidRPr="00B46892" w:rsidP="00113D82" w14:paraId="02CCE10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7、衍生品</w:t>
      </w:r>
    </w:p>
    <w:p w:rsidR="00113D82" w:rsidRPr="00B46892" w:rsidP="00113D82" w14:paraId="08E29062"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对证券交易所或银行间市场上交易的衍生品，若存在活跃市场的情况下，以活跃市场上未经调整的报价作为计量日的公允价值；</w:t>
      </w:r>
      <w:r w:rsidRPr="00B46892">
        <w:rPr>
          <w:rFonts w:ascii="黑体" w:eastAsia="黑体" w:hAnsi="黑体" w:cs="黑体" w:hint="eastAsia"/>
          <w:kern w:val="0"/>
          <w:szCs w:val="21"/>
        </w:rPr>
        <w:t>若活跃</w:t>
      </w:r>
      <w:r w:rsidRPr="00B46892">
        <w:rPr>
          <w:rFonts w:ascii="黑体" w:eastAsia="黑体" w:hAnsi="黑体" w:cs="黑体" w:hint="eastAsia"/>
          <w:kern w:val="0"/>
          <w:szCs w:val="21"/>
        </w:rPr>
        <w:t>市场报价未能代表计量日公允价值的情况下，对市场报价进行调整以确认计量日的公允价值；对于不存在市场活动或市场活动很少的情况下，当采用第三方估值或估值技术确定其公允价值。</w:t>
      </w:r>
    </w:p>
    <w:p w:rsidR="00113D82" w:rsidRPr="00B46892" w:rsidP="00113D82" w14:paraId="76C9BF37"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对非上市交易的衍生品，且第三方估值机构（中证或中债）未提供估值价格的，采用估值技术确定其公允价值。</w:t>
      </w:r>
    </w:p>
    <w:p w:rsidR="00113D82" w:rsidRPr="00B46892" w:rsidP="00113D82" w14:paraId="34B999FB"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8、非标准化债权资产</w:t>
      </w:r>
    </w:p>
    <w:p w:rsidR="00113D82" w:rsidRPr="00B46892" w:rsidP="00113D82" w14:paraId="4F550A3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符合《关于规范金融机构资产管理业务的指导意见》中规定的可以使用摊</w:t>
      </w:r>
      <w:r w:rsidRPr="00B46892">
        <w:rPr>
          <w:rFonts w:ascii="黑体" w:eastAsia="黑体" w:hAnsi="黑体" w:cs="黑体" w:hint="eastAsia"/>
          <w:kern w:val="0"/>
          <w:szCs w:val="21"/>
        </w:rPr>
        <w:t>余成本</w:t>
      </w:r>
      <w:r w:rsidRPr="00B46892">
        <w:rPr>
          <w:rFonts w:ascii="黑体" w:eastAsia="黑体" w:hAnsi="黑体" w:cs="黑体" w:hint="eastAsia"/>
          <w:kern w:val="0"/>
          <w:szCs w:val="21"/>
        </w:rPr>
        <w:t>法计量的非标准化债权资产，可使用摊</w:t>
      </w:r>
      <w:r w:rsidRPr="00B46892">
        <w:rPr>
          <w:rFonts w:ascii="黑体" w:eastAsia="黑体" w:hAnsi="黑体" w:cs="黑体" w:hint="eastAsia"/>
          <w:kern w:val="0"/>
          <w:szCs w:val="21"/>
        </w:rPr>
        <w:t>余成本</w:t>
      </w:r>
      <w:r w:rsidRPr="00B46892">
        <w:rPr>
          <w:rFonts w:ascii="黑体" w:eastAsia="黑体" w:hAnsi="黑体" w:cs="黑体" w:hint="eastAsia"/>
          <w:kern w:val="0"/>
          <w:szCs w:val="21"/>
        </w:rPr>
        <w:t>法计量，其余采用公允价值法计量。</w:t>
      </w:r>
    </w:p>
    <w:p w:rsidR="00113D82" w:rsidRPr="00B46892" w:rsidP="00113D82" w14:paraId="0C7616F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9、其他</w:t>
      </w:r>
    </w:p>
    <w:p w:rsidR="00113D82" w:rsidRPr="00B46892" w:rsidP="00113D82" w14:paraId="295B7E3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各类资产具体估值方法的确认，可参考《企业会计准则》以及相关监管政策的规定。</w:t>
      </w:r>
    </w:p>
    <w:p w:rsidR="00113D82" w:rsidRPr="00B46892" w:rsidP="00113D82" w14:paraId="3605A2D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10、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rsidR="00113D82" w:rsidRPr="00B46892" w:rsidP="00113D82" w14:paraId="114558B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11、在任何情况下，产品管理人与托管人所共同认可的估值方式均视为客观、公允的估值方法。该产品估值均以产品公布的估值结果为准。</w:t>
      </w:r>
    </w:p>
    <w:p w:rsidR="00113D82" w:rsidRPr="00B46892" w:rsidP="00113D82" w14:paraId="2C6A38C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w:t>
      </w:r>
      <w:r w:rsidRPr="00B46892">
        <w:rPr>
          <w:rFonts w:ascii="黑体" w:eastAsia="黑体" w:hAnsi="黑体" w:cs="黑体"/>
          <w:kern w:val="0"/>
          <w:szCs w:val="21"/>
        </w:rPr>
        <w:t>2</w:t>
      </w:r>
      <w:r w:rsidRPr="00B46892">
        <w:rPr>
          <w:rFonts w:ascii="黑体" w:eastAsia="黑体" w:hAnsi="黑体" w:cs="黑体" w:hint="eastAsia"/>
          <w:kern w:val="0"/>
          <w:szCs w:val="21"/>
        </w:rPr>
        <w:t>、以上估值方法所涉及的资产类型仅为条款完备性而列举，不代表本产品实际投向该类型资产。本产品的投资范围以说明书“三、产品投资管理（一）投资范围”载明为准。</w:t>
      </w:r>
    </w:p>
    <w:p w:rsidR="00F57BEF" w:rsidRPr="00B46892" w14:paraId="7B04AB28" w14:textId="77777777">
      <w:pPr>
        <w:autoSpaceDE w:val="0"/>
        <w:autoSpaceDN w:val="0"/>
        <w:adjustRightInd w:val="0"/>
        <w:jc w:val="left"/>
        <w:rPr>
          <w:rFonts w:ascii="黑体" w:eastAsia="黑体" w:hAnsi="黑体" w:cs="ËÎÌå" w:hint="eastAsia"/>
          <w:kern w:val="0"/>
          <w:szCs w:val="21"/>
        </w:rPr>
      </w:pPr>
      <w:r w:rsidRPr="00B46892">
        <w:rPr>
          <w:rFonts w:ascii="黑体" w:eastAsia="黑体" w:hAnsi="黑体" w:cs="ËÎÌå" w:hint="eastAsia"/>
          <w:kern w:val="0"/>
          <w:szCs w:val="21"/>
        </w:rPr>
        <w:t>（五）估值错误的处理</w:t>
      </w:r>
    </w:p>
    <w:p w:rsidR="00F57BEF" w:rsidRPr="00B46892" w14:paraId="7D270B4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产品</w:t>
      </w:r>
      <w:r w:rsidRPr="00B46892">
        <w:rPr>
          <w:rFonts w:ascii="黑体" w:eastAsia="黑体" w:hAnsi="黑体" w:cs="黑体"/>
          <w:kern w:val="0"/>
          <w:szCs w:val="21"/>
        </w:rPr>
        <w:t>管理人</w:t>
      </w:r>
      <w:r w:rsidRPr="00B46892">
        <w:rPr>
          <w:rFonts w:ascii="黑体" w:eastAsia="黑体" w:hAnsi="黑体" w:cs="黑体" w:hint="eastAsia"/>
          <w:kern w:val="0"/>
          <w:szCs w:val="21"/>
        </w:rPr>
        <w:t>和托管机构将采取必要、适当合理的措施确保产品资产估值的准确性、及时性。当产品单位净值出现错误时，产品</w:t>
      </w:r>
      <w:r w:rsidRPr="00B46892">
        <w:rPr>
          <w:rFonts w:ascii="黑体" w:eastAsia="黑体" w:hAnsi="黑体" w:cs="黑体"/>
          <w:kern w:val="0"/>
          <w:szCs w:val="21"/>
        </w:rPr>
        <w:t>管理人</w:t>
      </w:r>
      <w:r w:rsidRPr="00B46892">
        <w:rPr>
          <w:rFonts w:ascii="黑体" w:eastAsia="黑体" w:hAnsi="黑体" w:cs="黑体" w:hint="eastAsia"/>
          <w:kern w:val="0"/>
          <w:szCs w:val="21"/>
        </w:rPr>
        <w:t>应当立即予以纠正，并采取合理的措施防止损失进一步扩大。由于本产品估值所用的价格来源出现错误，或由于其它不可抗力原因，产品</w:t>
      </w:r>
      <w:r w:rsidRPr="00B46892">
        <w:rPr>
          <w:rFonts w:ascii="黑体" w:eastAsia="黑体" w:hAnsi="黑体" w:cs="黑体"/>
          <w:kern w:val="0"/>
          <w:szCs w:val="21"/>
        </w:rPr>
        <w:t>管理人</w:t>
      </w:r>
      <w:r w:rsidRPr="00B46892">
        <w:rPr>
          <w:rFonts w:ascii="黑体" w:eastAsia="黑体" w:hAnsi="黑体" w:cs="黑体" w:hint="eastAsia"/>
          <w:kern w:val="0"/>
          <w:szCs w:val="21"/>
        </w:rPr>
        <w:t>和托管机构虽然已经采取必要、适当、合理的措施进行检查，但是未能发现该错误的，</w:t>
      </w:r>
      <w:r w:rsidRPr="00C542B4">
        <w:rPr>
          <w:rFonts w:ascii="黑体" w:eastAsia="黑体" w:hAnsi="黑体" w:cs="黑体" w:hint="eastAsia"/>
          <w:b/>
          <w:bCs/>
          <w:kern w:val="0"/>
          <w:szCs w:val="21"/>
        </w:rPr>
        <w:t>由此造成的产品资产估值错误，产品管理人和托管机构不承担责任。</w:t>
      </w:r>
      <w:r w:rsidRPr="00B46892">
        <w:rPr>
          <w:rFonts w:ascii="黑体" w:eastAsia="黑体" w:hAnsi="黑体" w:cs="黑体" w:hint="eastAsia"/>
          <w:kern w:val="0"/>
          <w:szCs w:val="21"/>
        </w:rPr>
        <w:t>但产品</w:t>
      </w:r>
      <w:r w:rsidRPr="00B46892">
        <w:rPr>
          <w:rFonts w:ascii="黑体" w:eastAsia="黑体" w:hAnsi="黑体" w:cs="黑体"/>
          <w:kern w:val="0"/>
          <w:szCs w:val="21"/>
        </w:rPr>
        <w:t>管理人</w:t>
      </w:r>
      <w:r w:rsidRPr="00B46892">
        <w:rPr>
          <w:rFonts w:ascii="黑体" w:eastAsia="黑体" w:hAnsi="黑体" w:cs="黑体" w:hint="eastAsia"/>
          <w:kern w:val="0"/>
          <w:szCs w:val="21"/>
        </w:rPr>
        <w:t>和托管机构应当积极采取必要的措施消除或减轻由此造成的影响。</w:t>
      </w:r>
    </w:p>
    <w:p w:rsidR="00F57BEF" w:rsidRPr="00B46892" w14:paraId="5DE966DB" w14:textId="77777777">
      <w:pPr>
        <w:autoSpaceDE w:val="0"/>
        <w:autoSpaceDN w:val="0"/>
        <w:adjustRightInd w:val="0"/>
        <w:jc w:val="left"/>
        <w:rPr>
          <w:rFonts w:ascii="黑体" w:eastAsia="黑体" w:hAnsi="黑体" w:cs="ËÎÌå" w:hint="eastAsia"/>
          <w:kern w:val="0"/>
          <w:szCs w:val="21"/>
        </w:rPr>
      </w:pPr>
      <w:r w:rsidRPr="00B46892">
        <w:rPr>
          <w:rFonts w:ascii="黑体" w:eastAsia="黑体" w:hAnsi="黑体" w:cs="ËÎÌå" w:hint="eastAsia"/>
          <w:kern w:val="0"/>
          <w:szCs w:val="21"/>
        </w:rPr>
        <w:t>（六）暂停估值</w:t>
      </w:r>
    </w:p>
    <w:p w:rsidR="00F57BEF" w:rsidRPr="00B46892" w14:paraId="5E1BD053" w14:textId="5C1B1EEC">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当本产品资产的估值因不可抗力或其它情形致使产品</w:t>
      </w:r>
      <w:r w:rsidRPr="00B46892">
        <w:rPr>
          <w:rFonts w:ascii="黑体" w:eastAsia="黑体" w:hAnsi="黑体" w:cs="黑体"/>
          <w:kern w:val="0"/>
          <w:szCs w:val="21"/>
        </w:rPr>
        <w:t>管理人</w:t>
      </w:r>
      <w:r w:rsidRPr="00B46892">
        <w:rPr>
          <w:rFonts w:ascii="黑体" w:eastAsia="黑体" w:hAnsi="黑体" w:cs="黑体" w:hint="eastAsia"/>
          <w:kern w:val="0"/>
          <w:szCs w:val="21"/>
        </w:rPr>
        <w:t>、托管机构无法准确评估产品资产价值的，当本产品在前一估值日内，产品资产净值</w:t>
      </w:r>
      <w:r w:rsidRPr="00B46892">
        <w:rPr>
          <w:rFonts w:ascii="黑体" w:eastAsia="黑体" w:hAnsi="黑体" w:cs="黑体"/>
          <w:kern w:val="0"/>
          <w:szCs w:val="21"/>
        </w:rPr>
        <w:t>50%以上的资产不具备活跃交易市场或者在活跃市场中无报价，且不能采用估值技术可靠计量公允价值</w:t>
      </w:r>
      <w:r w:rsidRPr="00B46892">
        <w:rPr>
          <w:rFonts w:ascii="黑体" w:eastAsia="黑体" w:hAnsi="黑体" w:cs="黑体" w:hint="eastAsia"/>
          <w:kern w:val="0"/>
          <w:szCs w:val="21"/>
        </w:rPr>
        <w:t>的，或当本产品存</w:t>
      </w:r>
      <w:r w:rsidRPr="00B46892">
        <w:rPr>
          <w:rFonts w:ascii="黑体" w:eastAsia="黑体" w:hAnsi="黑体" w:cs="黑体" w:hint="eastAsia"/>
          <w:kern w:val="0"/>
          <w:szCs w:val="21"/>
        </w:rPr>
        <w:t>在</w:t>
      </w:r>
      <w:r w:rsidRPr="00B46892" w:rsidR="00D83351">
        <w:rPr>
          <w:rFonts w:ascii="黑体" w:eastAsia="黑体" w:hAnsi="黑体" w:cs="黑体" w:hint="eastAsia"/>
          <w:kern w:val="0"/>
          <w:szCs w:val="21"/>
        </w:rPr>
        <w:t>国家金融监督管理总局</w:t>
      </w:r>
      <w:r w:rsidRPr="00B46892">
        <w:rPr>
          <w:rFonts w:ascii="黑体" w:eastAsia="黑体" w:hAnsi="黑体" w:cs="黑体" w:hint="eastAsia"/>
          <w:kern w:val="0"/>
          <w:szCs w:val="21"/>
        </w:rPr>
        <w:t>认定的导致无法准确估值的其它情形的，产品</w:t>
      </w:r>
      <w:r w:rsidRPr="00B46892">
        <w:rPr>
          <w:rFonts w:ascii="黑体" w:eastAsia="黑体" w:hAnsi="黑体" w:cs="黑体"/>
          <w:kern w:val="0"/>
          <w:szCs w:val="21"/>
        </w:rPr>
        <w:t>管理人</w:t>
      </w:r>
      <w:r w:rsidRPr="00B46892">
        <w:rPr>
          <w:rFonts w:ascii="黑体" w:eastAsia="黑体" w:hAnsi="黑体" w:cs="黑体" w:hint="eastAsia"/>
          <w:kern w:val="0"/>
          <w:szCs w:val="21"/>
        </w:rPr>
        <w:t>可暂停产品的估值直至另行通知，并采取延缓支付赎回款项或暂停接受理财产品认购、赎回申请等措施，同时在</w:t>
      </w:r>
      <w:r w:rsidRPr="00B46892">
        <w:rPr>
          <w:rFonts w:ascii="黑体" w:eastAsia="黑体" w:hAnsi="黑体" w:cs="黑体"/>
          <w:kern w:val="0"/>
          <w:szCs w:val="21"/>
        </w:rPr>
        <w:t>3个工作日内告知本产品的投资者，并说明运用相关措施的原因、拟采取的应对安排等。</w:t>
      </w:r>
      <w:r w:rsidRPr="00C542B4">
        <w:rPr>
          <w:rFonts w:ascii="黑体" w:eastAsia="黑体" w:hAnsi="黑体" w:cs="黑体" w:hint="eastAsia"/>
          <w:b/>
          <w:bCs/>
          <w:kern w:val="0"/>
          <w:szCs w:val="21"/>
        </w:rPr>
        <w:t>由此造成的损失，产品管理人和托管机构不承担责任。</w:t>
      </w:r>
    </w:p>
    <w:p w:rsidR="00F57BEF" w:rsidRPr="00B46892" w14:paraId="6C13E827" w14:textId="77777777">
      <w:pPr>
        <w:autoSpaceDE w:val="0"/>
        <w:autoSpaceDN w:val="0"/>
        <w:adjustRightInd w:val="0"/>
        <w:ind w:firstLine="496" w:firstLineChars="236"/>
        <w:jc w:val="left"/>
        <w:rPr>
          <w:rFonts w:ascii="黑体" w:eastAsia="黑体" w:hAnsi="黑体" w:cs="ËÎÌå" w:hint="eastAsia"/>
          <w:kern w:val="0"/>
          <w:szCs w:val="21"/>
        </w:rPr>
      </w:pPr>
    </w:p>
    <w:p w:rsidR="00F57BEF" w:rsidRPr="00B46892" w14:paraId="52BDFE80"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六、产品费用、收益及税收说明</w:t>
      </w:r>
    </w:p>
    <w:p w:rsidR="00F57BEF" w:rsidRPr="00B46892" w14:paraId="5DD968B6"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（一）产品费用计提方法、计提标准和支付方式</w:t>
      </w:r>
    </w:p>
    <w:p w:rsidR="00F57BEF" w:rsidRPr="00B46892" w14:paraId="789303C0" w14:textId="5C472A9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本产品收取的费用包括</w:t>
      </w:r>
      <w:r w:rsidR="001A7B24">
        <w:rPr>
          <w:rFonts w:ascii="黑体" w:eastAsia="黑体" w:hAnsi="黑体" w:cs="黑体" w:hint="eastAsia"/>
          <w:b/>
          <w:kern w:val="0"/>
          <w:szCs w:val="21"/>
        </w:rPr>
        <w:t>销售服务费、</w:t>
      </w:r>
      <w:r w:rsidRPr="00B46892" w:rsidR="00113D82">
        <w:rPr>
          <w:rFonts w:ascii="黑体" w:eastAsia="黑体" w:hAnsi="黑体" w:cs="黑体" w:hint="eastAsia"/>
          <w:b/>
          <w:kern w:val="0"/>
          <w:szCs w:val="21"/>
        </w:rPr>
        <w:t>固定管理费、托管费、强制赎回费（若有）等</w:t>
      </w:r>
      <w:r w:rsidRPr="00B46892">
        <w:rPr>
          <w:rFonts w:ascii="黑体" w:eastAsia="黑体" w:hAnsi="黑体" w:cs="黑体"/>
          <w:b/>
          <w:kern w:val="0"/>
          <w:szCs w:val="21"/>
        </w:rPr>
        <w:t>，具体计提方法、计提标准和支付方式如下：</w:t>
      </w:r>
    </w:p>
    <w:p w:rsidR="002E1429" w:rsidRPr="00CE08C9" w:rsidP="00F71D95" w14:paraId="1B05E669" w14:textId="0A32A992">
      <w:pPr>
        <w:autoSpaceDE w:val="0"/>
        <w:autoSpaceDN w:val="0"/>
        <w:adjustRightInd w:val="0"/>
        <w:ind w:firstLine="420" w:firstLineChars="200"/>
        <w:jc w:val="left"/>
        <w:rPr>
          <w:rFonts w:ascii="黑体" w:eastAsia="黑体" w:hAnsi="黑体" w:cs="黑体" w:hint="eastAsia"/>
          <w:b/>
          <w:kern w:val="0"/>
          <w:szCs w:val="21"/>
          <w:u w:val="single"/>
        </w:rPr>
      </w:pPr>
      <w:r w:rsidRPr="00B46892">
        <w:rPr>
          <w:rFonts w:ascii="黑体" w:eastAsia="黑体" w:hAnsi="黑体" w:cs="黑体"/>
          <w:b/>
          <w:kern w:val="0"/>
          <w:szCs w:val="21"/>
        </w:rPr>
        <w:t>1</w:t>
      </w:r>
      <w:r w:rsidRPr="00B46892">
        <w:rPr>
          <w:rFonts w:ascii="黑体" w:eastAsia="黑体" w:hAnsi="黑体" w:cs="黑体" w:hint="eastAsia"/>
          <w:b/>
          <w:kern w:val="0"/>
          <w:szCs w:val="21"/>
        </w:rPr>
        <w:t>、</w:t>
      </w:r>
      <w:r w:rsidRPr="002E1429">
        <w:rPr>
          <w:rFonts w:ascii="黑体" w:eastAsia="黑体" w:hAnsi="黑体" w:cs="黑体"/>
          <w:b/>
          <w:kern w:val="0"/>
          <w:szCs w:val="21"/>
        </w:rPr>
        <w:t>销售服务费：本产品销售服务费按</w:t>
      </w:r>
      <w:r w:rsidRPr="0093646B" w:rsidR="001A7B24">
        <w:rPr>
          <w:rFonts w:ascii="黑体" w:eastAsia="黑体" w:hAnsi="黑体" w:cs="黑体" w:hint="eastAsia"/>
          <w:b/>
          <w:kern w:val="0"/>
          <w:szCs w:val="21"/>
          <w:u w:val="single"/>
        </w:rPr>
        <w:t>0.40%年费率（适用于</w:t>
      </w:r>
      <w:r w:rsidR="001A7B24">
        <w:rPr>
          <w:rFonts w:ascii="黑体" w:eastAsia="黑体" w:hAnsi="黑体" w:cs="黑体" w:hint="eastAsia"/>
          <w:b/>
          <w:kern w:val="0"/>
          <w:szCs w:val="21"/>
          <w:u w:val="single"/>
        </w:rPr>
        <w:t>F</w:t>
      </w:r>
      <w:r w:rsidR="00F71D95">
        <w:rPr>
          <w:rFonts w:ascii="黑体" w:eastAsia="黑体" w:hAnsi="黑体" w:cs="黑体" w:hint="eastAsia"/>
          <w:b/>
          <w:kern w:val="0"/>
          <w:szCs w:val="21"/>
          <w:u w:val="single"/>
        </w:rPr>
        <w:t>、P、H</w:t>
      </w:r>
      <w:r w:rsidRPr="0093646B" w:rsidR="001A7B24">
        <w:rPr>
          <w:rFonts w:ascii="黑体" w:eastAsia="黑体" w:hAnsi="黑体" w:cs="黑体" w:hint="eastAsia"/>
          <w:b/>
          <w:kern w:val="0"/>
          <w:szCs w:val="21"/>
          <w:u w:val="single"/>
        </w:rPr>
        <w:t>份额）/无(适用于</w:t>
      </w:r>
      <w:r w:rsidRPr="001A7B24" w:rsidR="001A7B24">
        <w:rPr>
          <w:rFonts w:ascii="黑体" w:eastAsia="黑体" w:hAnsi="黑体" w:cs="黑体" w:hint="eastAsia"/>
          <w:b/>
          <w:kern w:val="0"/>
          <w:szCs w:val="21"/>
          <w:u w:val="single"/>
        </w:rPr>
        <w:t>A、B、C、D、E</w:t>
      </w:r>
      <w:r w:rsidR="00E34301">
        <w:rPr>
          <w:rFonts w:ascii="黑体" w:eastAsia="黑体" w:hAnsi="黑体" w:cs="黑体" w:hint="eastAsia"/>
          <w:b/>
          <w:kern w:val="0"/>
          <w:szCs w:val="21"/>
          <w:u w:val="single"/>
        </w:rPr>
        <w:t>、G</w:t>
      </w:r>
      <w:r w:rsidRPr="0093646B" w:rsidR="001A7B24">
        <w:rPr>
          <w:rFonts w:ascii="黑体" w:eastAsia="黑体" w:hAnsi="黑体" w:cs="黑体" w:hint="eastAsia"/>
          <w:b/>
          <w:kern w:val="0"/>
          <w:szCs w:val="21"/>
          <w:u w:val="single"/>
        </w:rPr>
        <w:t>份额)</w:t>
      </w:r>
      <w:r w:rsidRPr="002E1429">
        <w:rPr>
          <w:rFonts w:ascii="黑体" w:eastAsia="黑体" w:hAnsi="黑体" w:cs="黑体"/>
          <w:b/>
          <w:kern w:val="0"/>
          <w:szCs w:val="21"/>
        </w:rPr>
        <w:t>计提。计算方法如下：</w:t>
      </w:r>
    </w:p>
    <w:p w:rsidR="001A7B24" w:rsidP="001A7B24" w14:paraId="14307FF0" w14:textId="77777777">
      <w:pPr>
        <w:autoSpaceDE w:val="0"/>
        <w:autoSpaceDN w:val="0"/>
        <w:adjustRightInd w:val="0"/>
        <w:ind w:firstLine="420" w:firstLineChars="200"/>
        <w:jc w:val="left"/>
        <w:rPr>
          <w:rFonts w:ascii="黑体" w:eastAsia="黑体" w:hAnsi="黑体" w:cs="黑体" w:hint="eastAsia"/>
          <w:b/>
          <w:kern w:val="0"/>
          <w:szCs w:val="21"/>
        </w:rPr>
      </w:pPr>
      <w:r w:rsidRPr="0093646B">
        <w:rPr>
          <w:rFonts w:ascii="黑体" w:eastAsia="黑体" w:hAnsi="黑体" w:cs="黑体"/>
          <w:b/>
          <w:kern w:val="0"/>
          <w:szCs w:val="21"/>
        </w:rPr>
        <w:t xml:space="preserve">J=Y×销售服务费率（年化）÷365 </w:t>
      </w:r>
    </w:p>
    <w:p w:rsidR="001A7B24" w:rsidP="001A7B24" w14:paraId="23A8CAE5" w14:textId="77777777">
      <w:pPr>
        <w:autoSpaceDE w:val="0"/>
        <w:autoSpaceDN w:val="0"/>
        <w:adjustRightInd w:val="0"/>
        <w:ind w:firstLine="420" w:firstLineChars="200"/>
        <w:jc w:val="left"/>
        <w:rPr>
          <w:rFonts w:ascii="黑体" w:eastAsia="黑体" w:hAnsi="黑体" w:cs="黑体" w:hint="eastAsia"/>
          <w:b/>
          <w:kern w:val="0"/>
          <w:szCs w:val="21"/>
        </w:rPr>
      </w:pPr>
      <w:r w:rsidRPr="0093646B">
        <w:rPr>
          <w:rFonts w:ascii="黑体" w:eastAsia="黑体" w:hAnsi="黑体" w:cs="黑体"/>
          <w:b/>
          <w:kern w:val="0"/>
          <w:szCs w:val="21"/>
        </w:rPr>
        <w:t xml:space="preserve">J为产品各份额每一自然日应计提的销售服务费 </w:t>
      </w:r>
    </w:p>
    <w:p w:rsidR="001A7B24" w:rsidP="001A7B24" w14:paraId="1D7C6938" w14:textId="77777777">
      <w:pPr>
        <w:autoSpaceDE w:val="0"/>
        <w:autoSpaceDN w:val="0"/>
        <w:adjustRightInd w:val="0"/>
        <w:ind w:firstLine="420" w:firstLineChars="200"/>
        <w:jc w:val="left"/>
        <w:rPr>
          <w:rFonts w:ascii="黑体" w:eastAsia="黑体" w:hAnsi="黑体" w:cs="黑体" w:hint="eastAsia"/>
          <w:b/>
          <w:kern w:val="0"/>
          <w:szCs w:val="21"/>
        </w:rPr>
      </w:pPr>
      <w:r w:rsidRPr="0093646B">
        <w:rPr>
          <w:rFonts w:ascii="黑体" w:eastAsia="黑体" w:hAnsi="黑体" w:cs="黑体"/>
          <w:b/>
          <w:kern w:val="0"/>
          <w:szCs w:val="21"/>
        </w:rPr>
        <w:t>Y为当日产品各份额</w:t>
      </w:r>
      <w:r w:rsidRPr="0093646B">
        <w:rPr>
          <w:rFonts w:ascii="黑体" w:eastAsia="黑体" w:hAnsi="黑体" w:cs="黑体"/>
          <w:b/>
          <w:kern w:val="0"/>
          <w:szCs w:val="21"/>
        </w:rPr>
        <w:t>存续总</w:t>
      </w:r>
      <w:r w:rsidRPr="0093646B">
        <w:rPr>
          <w:rFonts w:ascii="黑体" w:eastAsia="黑体" w:hAnsi="黑体" w:cs="黑体"/>
          <w:b/>
          <w:kern w:val="0"/>
          <w:szCs w:val="21"/>
        </w:rPr>
        <w:t xml:space="preserve">份额 </w:t>
      </w:r>
    </w:p>
    <w:p w:rsidR="001A7B24" w:rsidRPr="00332C31" w:rsidP="001A7B24" w14:paraId="48DD3B65" w14:textId="77777777">
      <w:pPr>
        <w:autoSpaceDE w:val="0"/>
        <w:autoSpaceDN w:val="0"/>
        <w:adjustRightInd w:val="0"/>
        <w:ind w:firstLine="420" w:firstLineChars="200"/>
        <w:jc w:val="left"/>
        <w:rPr>
          <w:rFonts w:ascii="黑体" w:eastAsia="黑体" w:hAnsi="黑体" w:cs="黑体" w:hint="eastAsia"/>
          <w:b/>
          <w:kern w:val="0"/>
          <w:szCs w:val="21"/>
        </w:rPr>
      </w:pPr>
      <w:r w:rsidRPr="0093646B">
        <w:rPr>
          <w:rFonts w:ascii="黑体" w:eastAsia="黑体" w:hAnsi="黑体" w:cs="黑体"/>
          <w:b/>
          <w:kern w:val="0"/>
          <w:szCs w:val="21"/>
        </w:rPr>
        <w:t xml:space="preserve">销售服务费每日计提，按季支付，或由管理人向托管人发送指令，托管人复核后从产 </w:t>
      </w:r>
      <w:r w:rsidRPr="0093646B">
        <w:rPr>
          <w:rFonts w:ascii="黑体" w:eastAsia="黑体" w:hAnsi="黑体" w:cs="黑体"/>
          <w:b/>
          <w:kern w:val="0"/>
          <w:szCs w:val="21"/>
        </w:rPr>
        <w:t>品资产</w:t>
      </w:r>
      <w:r w:rsidRPr="0093646B">
        <w:rPr>
          <w:rFonts w:ascii="黑体" w:eastAsia="黑体" w:hAnsi="黑体" w:cs="黑体"/>
          <w:b/>
          <w:kern w:val="0"/>
          <w:szCs w:val="21"/>
        </w:rPr>
        <w:t>中支付</w:t>
      </w:r>
      <w:r w:rsidRPr="00332C31">
        <w:rPr>
          <w:rFonts w:ascii="黑体" w:eastAsia="黑体" w:hAnsi="黑体" w:cs="黑体"/>
          <w:b/>
          <w:kern w:val="0"/>
          <w:szCs w:val="21"/>
        </w:rPr>
        <w:t>。</w:t>
      </w:r>
    </w:p>
    <w:p w:rsidR="002E1429" w:rsidRPr="002E1429" w:rsidP="002E1429" w14:paraId="59A4AB75" w14:textId="77777777">
      <w:pPr>
        <w:autoSpaceDE w:val="0"/>
        <w:autoSpaceDN w:val="0"/>
        <w:adjustRightInd w:val="0"/>
        <w:ind w:firstLine="420" w:firstLineChars="200"/>
        <w:jc w:val="left"/>
        <w:rPr>
          <w:rFonts w:ascii="黑体" w:eastAsia="黑体" w:hAnsi="黑体" w:cs="黑体" w:hint="eastAsia"/>
          <w:b/>
          <w:kern w:val="0"/>
          <w:szCs w:val="21"/>
        </w:rPr>
      </w:pPr>
    </w:p>
    <w:p w:rsidR="00F57BEF" w:rsidRPr="00B46892" w14:paraId="2615C882" w14:textId="692A0F1A">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2</w:t>
      </w:r>
      <w:r w:rsidRPr="00B46892">
        <w:rPr>
          <w:rFonts w:ascii="黑体" w:eastAsia="黑体" w:hAnsi="黑体" w:cs="黑体" w:hint="eastAsia"/>
          <w:b/>
          <w:kern w:val="0"/>
          <w:szCs w:val="21"/>
        </w:rPr>
        <w:t>、固定管理费：本产品固定管理费按</w:t>
      </w:r>
      <w:r w:rsidRPr="00B46892" w:rsidR="00557EC9">
        <w:rPr>
          <w:rFonts w:ascii="黑体" w:eastAsia="黑体" w:hAnsi="黑体" w:cs="黑体" w:hint="eastAsia"/>
          <w:b/>
          <w:kern w:val="0"/>
          <w:szCs w:val="21"/>
        </w:rPr>
        <w:t>当日产品</w:t>
      </w:r>
      <w:r w:rsidRPr="00B46892" w:rsidR="00557EC9">
        <w:rPr>
          <w:rFonts w:ascii="黑体" w:eastAsia="黑体" w:hAnsi="黑体" w:cs="黑体" w:hint="eastAsia"/>
          <w:b/>
          <w:kern w:val="0"/>
          <w:szCs w:val="21"/>
        </w:rPr>
        <w:t>存续总</w:t>
      </w:r>
      <w:r w:rsidRPr="00B46892" w:rsidR="00557EC9">
        <w:rPr>
          <w:rFonts w:ascii="黑体" w:eastAsia="黑体" w:hAnsi="黑体" w:cs="黑体" w:hint="eastAsia"/>
          <w:b/>
          <w:kern w:val="0"/>
          <w:szCs w:val="21"/>
        </w:rPr>
        <w:t>份额的0.</w:t>
      </w:r>
      <w:r w:rsidRPr="00B46892" w:rsidR="00B2547B">
        <w:rPr>
          <w:rFonts w:ascii="黑体" w:eastAsia="黑体" w:hAnsi="黑体" w:cs="黑体"/>
          <w:b/>
          <w:kern w:val="0"/>
          <w:szCs w:val="21"/>
        </w:rPr>
        <w:t>4</w:t>
      </w:r>
      <w:r w:rsidRPr="00B46892" w:rsidR="00557EC9">
        <w:rPr>
          <w:rFonts w:ascii="黑体" w:eastAsia="黑体" w:hAnsi="黑体" w:cs="黑体" w:hint="eastAsia"/>
          <w:b/>
          <w:kern w:val="0"/>
          <w:szCs w:val="21"/>
        </w:rPr>
        <w:t>0%年费率</w:t>
      </w:r>
      <w:r w:rsidRPr="009A1C14" w:rsidR="00B15B31">
        <w:rPr>
          <w:rFonts w:ascii="黑体" w:eastAsia="黑体" w:hAnsi="黑体" w:cs="黑体"/>
          <w:b/>
          <w:kern w:val="0"/>
          <w:szCs w:val="21"/>
        </w:rPr>
        <w:t>(</w:t>
      </w:r>
      <w:r w:rsidRPr="009A1C14" w:rsidR="00B15B31">
        <w:rPr>
          <w:rFonts w:ascii="黑体" w:eastAsia="黑体" w:hAnsi="黑体" w:cs="黑体" w:hint="eastAsia"/>
          <w:b/>
          <w:kern w:val="0"/>
          <w:szCs w:val="21"/>
        </w:rPr>
        <w:t>适用于A、</w:t>
      </w:r>
      <w:r w:rsidRPr="009A1C14" w:rsidR="00B15B31">
        <w:rPr>
          <w:rFonts w:ascii="黑体" w:eastAsia="黑体" w:hAnsi="黑体" w:cs="黑体"/>
          <w:b/>
          <w:kern w:val="0"/>
          <w:szCs w:val="21"/>
        </w:rPr>
        <w:t>B</w:t>
      </w:r>
      <w:r w:rsidRPr="009A1C14" w:rsidR="00B15B31">
        <w:rPr>
          <w:rFonts w:ascii="黑体" w:eastAsia="黑体" w:hAnsi="黑体" w:cs="黑体" w:hint="eastAsia"/>
          <w:b/>
          <w:kern w:val="0"/>
          <w:szCs w:val="21"/>
        </w:rPr>
        <w:t>、C、D</w:t>
      </w:r>
      <w:r w:rsidR="00B15B31">
        <w:rPr>
          <w:rFonts w:ascii="黑体" w:eastAsia="黑体" w:hAnsi="黑体" w:cs="黑体" w:hint="eastAsia"/>
          <w:b/>
          <w:kern w:val="0"/>
          <w:szCs w:val="21"/>
        </w:rPr>
        <w:t>、E、F</w:t>
      </w:r>
      <w:r w:rsidR="00E34301">
        <w:rPr>
          <w:rFonts w:ascii="黑体" w:eastAsia="黑体" w:hAnsi="黑体" w:cs="黑体" w:hint="eastAsia"/>
          <w:b/>
          <w:kern w:val="0"/>
          <w:szCs w:val="21"/>
        </w:rPr>
        <w:t>、G、P、H</w:t>
      </w:r>
      <w:r w:rsidRPr="009A1C14" w:rsidR="00B15B31">
        <w:rPr>
          <w:rFonts w:ascii="黑体" w:eastAsia="黑体" w:hAnsi="黑体" w:cs="黑体" w:hint="eastAsia"/>
          <w:b/>
          <w:kern w:val="0"/>
          <w:szCs w:val="21"/>
        </w:rPr>
        <w:t>份额）</w:t>
      </w:r>
      <w:r w:rsidRPr="00B46892">
        <w:rPr>
          <w:rFonts w:ascii="黑体" w:eastAsia="黑体" w:hAnsi="黑体" w:cs="黑体" w:hint="eastAsia"/>
          <w:b/>
          <w:kern w:val="0"/>
          <w:szCs w:val="21"/>
        </w:rPr>
        <w:t>计提。计算方法如下：</w:t>
      </w:r>
    </w:p>
    <w:p w:rsidR="00F43293" w:rsidRPr="00B46892" w:rsidP="00F43293" w14:paraId="64E070EB"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H=Y×固定管理费率（年化）÷365</w:t>
      </w:r>
    </w:p>
    <w:p w:rsidR="00B15B31" w:rsidRPr="009A1C14" w:rsidP="00B15B31" w14:paraId="4C843796" w14:textId="77777777">
      <w:pPr>
        <w:autoSpaceDE w:val="0"/>
        <w:autoSpaceDN w:val="0"/>
        <w:adjustRightInd w:val="0"/>
        <w:ind w:firstLine="420" w:firstLineChars="200"/>
        <w:jc w:val="left"/>
        <w:rPr>
          <w:rFonts w:ascii="黑体" w:eastAsia="黑体" w:hAnsi="黑体" w:cs="黑体" w:hint="eastAsia"/>
          <w:b/>
          <w:kern w:val="0"/>
          <w:szCs w:val="21"/>
        </w:rPr>
      </w:pPr>
      <w:r w:rsidRPr="009A1C14">
        <w:rPr>
          <w:rFonts w:ascii="黑体" w:eastAsia="黑体" w:hAnsi="黑体" w:cs="黑体"/>
          <w:b/>
          <w:kern w:val="0"/>
          <w:szCs w:val="21"/>
        </w:rPr>
        <w:t>H为产品各份额每一自然日应计提的固定管理费</w:t>
      </w:r>
    </w:p>
    <w:p w:rsidR="00B15B31" w:rsidRPr="009A1C14" w:rsidP="00B15B31" w14:paraId="0755667D" w14:textId="77777777">
      <w:pPr>
        <w:autoSpaceDE w:val="0"/>
        <w:autoSpaceDN w:val="0"/>
        <w:adjustRightInd w:val="0"/>
        <w:ind w:firstLine="420" w:firstLineChars="200"/>
        <w:jc w:val="left"/>
        <w:rPr>
          <w:rFonts w:ascii="黑体" w:eastAsia="黑体" w:hAnsi="黑体" w:cs="黑体" w:hint="eastAsia"/>
          <w:b/>
          <w:kern w:val="0"/>
          <w:szCs w:val="21"/>
        </w:rPr>
      </w:pPr>
      <w:r w:rsidRPr="009A1C14">
        <w:rPr>
          <w:rFonts w:ascii="黑体" w:eastAsia="黑体" w:hAnsi="黑体" w:cs="黑体"/>
          <w:b/>
          <w:kern w:val="0"/>
          <w:szCs w:val="21"/>
        </w:rPr>
        <w:t>Y为当日产品各</w:t>
      </w:r>
      <w:r w:rsidRPr="009A1C14">
        <w:rPr>
          <w:rFonts w:ascii="黑体" w:eastAsia="黑体" w:hAnsi="黑体" w:cs="黑体" w:hint="eastAsia"/>
          <w:b/>
          <w:kern w:val="0"/>
          <w:szCs w:val="21"/>
        </w:rPr>
        <w:t>份额</w:t>
      </w:r>
      <w:r w:rsidRPr="009A1C14">
        <w:rPr>
          <w:rFonts w:ascii="黑体" w:eastAsia="黑体" w:hAnsi="黑体" w:cs="黑体" w:hint="eastAsia"/>
          <w:b/>
          <w:kern w:val="0"/>
          <w:szCs w:val="21"/>
        </w:rPr>
        <w:t>存续总</w:t>
      </w:r>
      <w:r w:rsidRPr="009A1C14">
        <w:rPr>
          <w:rFonts w:ascii="黑体" w:eastAsia="黑体" w:hAnsi="黑体" w:cs="黑体" w:hint="eastAsia"/>
          <w:b/>
          <w:kern w:val="0"/>
          <w:szCs w:val="21"/>
        </w:rPr>
        <w:t>份额</w:t>
      </w:r>
    </w:p>
    <w:p w:rsidR="00F43293" w:rsidRPr="00B46892" w:rsidP="00F43293" w14:paraId="5EF24B8D"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固定管理费每日计提，按季支付，或由管理人向托管人发送指令，托管人复核后从产品资产中支付。</w:t>
      </w:r>
    </w:p>
    <w:p w:rsidR="00F43293" w:rsidRPr="00B46892" w:rsidP="00F43293" w14:paraId="10495497" w14:textId="77777777">
      <w:pPr>
        <w:autoSpaceDE w:val="0"/>
        <w:autoSpaceDN w:val="0"/>
        <w:adjustRightInd w:val="0"/>
        <w:ind w:firstLine="420" w:firstLineChars="200"/>
        <w:jc w:val="left"/>
        <w:rPr>
          <w:rFonts w:ascii="黑体" w:eastAsia="黑体" w:hAnsi="黑体" w:cs="黑体" w:hint="eastAsia"/>
          <w:b/>
          <w:kern w:val="0"/>
          <w:szCs w:val="21"/>
        </w:rPr>
      </w:pPr>
    </w:p>
    <w:p w:rsidR="00F43293" w:rsidRPr="00B46892" w:rsidP="00F43293" w14:paraId="683EDBB3"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3</w:t>
      </w:r>
      <w:r w:rsidRPr="00B46892">
        <w:rPr>
          <w:rFonts w:ascii="黑体" w:eastAsia="黑体" w:hAnsi="黑体" w:cs="黑体" w:hint="eastAsia"/>
          <w:b/>
          <w:kern w:val="0"/>
          <w:szCs w:val="21"/>
        </w:rPr>
        <w:t>、浮动管理费：无</w:t>
      </w:r>
    </w:p>
    <w:p w:rsidR="00F57BEF" w:rsidRPr="00B46892" w14:paraId="4F0824A8" w14:textId="1CF01FC6">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4</w:t>
      </w:r>
      <w:r w:rsidRPr="00B46892">
        <w:rPr>
          <w:rFonts w:ascii="黑体" w:eastAsia="黑体" w:hAnsi="黑体" w:cs="黑体" w:hint="eastAsia"/>
          <w:b/>
          <w:kern w:val="0"/>
          <w:szCs w:val="21"/>
        </w:rPr>
        <w:t>、托管费：本产品托管费按</w:t>
      </w:r>
      <w:r w:rsidRPr="00B46892" w:rsidR="000D1CA8">
        <w:rPr>
          <w:rFonts w:ascii="黑体" w:eastAsia="黑体" w:hAnsi="黑体" w:cs="黑体" w:hint="eastAsia"/>
          <w:b/>
          <w:kern w:val="0"/>
          <w:szCs w:val="21"/>
        </w:rPr>
        <w:t>当日产品</w:t>
      </w:r>
      <w:r w:rsidRPr="00B46892" w:rsidR="000D1CA8">
        <w:rPr>
          <w:rFonts w:ascii="黑体" w:eastAsia="黑体" w:hAnsi="黑体" w:cs="黑体" w:hint="eastAsia"/>
          <w:b/>
          <w:kern w:val="0"/>
          <w:szCs w:val="21"/>
        </w:rPr>
        <w:t>存续总</w:t>
      </w:r>
      <w:r w:rsidRPr="00B46892" w:rsidR="000D1CA8">
        <w:rPr>
          <w:rFonts w:ascii="黑体" w:eastAsia="黑体" w:hAnsi="黑体" w:cs="黑体" w:hint="eastAsia"/>
          <w:b/>
          <w:kern w:val="0"/>
          <w:szCs w:val="21"/>
        </w:rPr>
        <w:t>份额的0.01%年费率</w:t>
      </w:r>
      <w:r w:rsidRPr="00B46892">
        <w:rPr>
          <w:rFonts w:ascii="黑体" w:eastAsia="黑体" w:hAnsi="黑体" w:cs="黑体" w:hint="eastAsia"/>
          <w:b/>
          <w:kern w:val="0"/>
          <w:szCs w:val="21"/>
        </w:rPr>
        <w:t>计提。计算方法如下：</w:t>
      </w:r>
    </w:p>
    <w:p w:rsidR="000D1CA8" w:rsidRPr="00B46892" w:rsidP="000D1CA8" w14:paraId="73394628"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T=</w:t>
      </w:r>
      <w:r w:rsidRPr="00B46892">
        <w:rPr>
          <w:rFonts w:ascii="黑体" w:eastAsia="黑体" w:hAnsi="黑体" w:cs="黑体"/>
          <w:b/>
          <w:kern w:val="0"/>
          <w:szCs w:val="21"/>
        </w:rPr>
        <w:t>Y</w:t>
      </w:r>
      <w:r w:rsidRPr="00B46892">
        <w:rPr>
          <w:rFonts w:ascii="黑体" w:eastAsia="黑体" w:hAnsi="黑体" w:cs="黑体" w:hint="eastAsia"/>
          <w:b/>
          <w:kern w:val="0"/>
          <w:szCs w:val="21"/>
        </w:rPr>
        <w:t>×托管费率（年化）÷365</w:t>
      </w:r>
    </w:p>
    <w:p w:rsidR="00B15B31" w:rsidRPr="009A1C14" w:rsidP="00B15B31" w14:paraId="00089212" w14:textId="77777777">
      <w:pPr>
        <w:autoSpaceDE w:val="0"/>
        <w:autoSpaceDN w:val="0"/>
        <w:adjustRightInd w:val="0"/>
        <w:ind w:firstLine="420" w:firstLineChars="200"/>
        <w:jc w:val="left"/>
        <w:rPr>
          <w:rFonts w:ascii="黑体" w:eastAsia="黑体" w:hAnsi="黑体" w:cs="黑体" w:hint="eastAsia"/>
          <w:b/>
          <w:kern w:val="0"/>
          <w:szCs w:val="21"/>
        </w:rPr>
      </w:pPr>
      <w:r w:rsidRPr="009A1C14">
        <w:rPr>
          <w:rFonts w:ascii="黑体" w:eastAsia="黑体" w:hAnsi="黑体" w:cs="黑体"/>
          <w:b/>
          <w:kern w:val="0"/>
          <w:szCs w:val="21"/>
        </w:rPr>
        <w:t>T为产品各份额每一自然日应计提的</w:t>
      </w:r>
      <w:r w:rsidRPr="009A1C14">
        <w:rPr>
          <w:rFonts w:ascii="黑体" w:eastAsia="黑体" w:hAnsi="黑体" w:cs="黑体" w:hint="eastAsia"/>
          <w:b/>
          <w:kern w:val="0"/>
          <w:szCs w:val="21"/>
        </w:rPr>
        <w:t>产品托管</w:t>
      </w:r>
      <w:r w:rsidRPr="009A1C14">
        <w:rPr>
          <w:rFonts w:ascii="黑体" w:eastAsia="黑体" w:hAnsi="黑体" w:cs="黑体"/>
          <w:b/>
          <w:kern w:val="0"/>
          <w:szCs w:val="21"/>
        </w:rPr>
        <w:t>费</w:t>
      </w:r>
    </w:p>
    <w:p w:rsidR="00B15B31" w:rsidRPr="009A1C14" w:rsidP="00B15B31" w14:paraId="63D86273" w14:textId="77777777">
      <w:pPr>
        <w:autoSpaceDE w:val="0"/>
        <w:autoSpaceDN w:val="0"/>
        <w:adjustRightInd w:val="0"/>
        <w:ind w:firstLine="420" w:firstLineChars="200"/>
        <w:jc w:val="left"/>
        <w:rPr>
          <w:rFonts w:ascii="黑体" w:eastAsia="黑体" w:hAnsi="黑体" w:cs="黑体" w:hint="eastAsia"/>
          <w:b/>
          <w:kern w:val="0"/>
          <w:szCs w:val="21"/>
        </w:rPr>
      </w:pPr>
      <w:r w:rsidRPr="009A1C14">
        <w:rPr>
          <w:rFonts w:ascii="黑体" w:eastAsia="黑体" w:hAnsi="黑体" w:cs="黑体"/>
          <w:b/>
          <w:kern w:val="0"/>
          <w:szCs w:val="21"/>
        </w:rPr>
        <w:t>Y为当日产品各份额</w:t>
      </w:r>
      <w:r w:rsidRPr="009A1C14">
        <w:rPr>
          <w:rFonts w:ascii="黑体" w:eastAsia="黑体" w:hAnsi="黑体" w:cs="黑体"/>
          <w:b/>
          <w:kern w:val="0"/>
          <w:szCs w:val="21"/>
        </w:rPr>
        <w:t>存续总</w:t>
      </w:r>
      <w:r w:rsidRPr="009A1C14">
        <w:rPr>
          <w:rFonts w:ascii="黑体" w:eastAsia="黑体" w:hAnsi="黑体" w:cs="黑体"/>
          <w:b/>
          <w:kern w:val="0"/>
          <w:szCs w:val="21"/>
        </w:rPr>
        <w:t>份额</w:t>
      </w:r>
    </w:p>
    <w:p w:rsidR="000D1CA8" w:rsidRPr="00B46892" w:rsidP="000D1CA8" w14:paraId="3FF55EF3"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托管费每日计提，按季支付，或由管理人向托管人发送指令，托管人复核后从产品资产中支付。</w:t>
      </w:r>
    </w:p>
    <w:p w:rsidR="000D1CA8" w:rsidRPr="00B46892" w:rsidP="000D1CA8" w14:paraId="434871D6" w14:textId="77777777">
      <w:pPr>
        <w:autoSpaceDE w:val="0"/>
        <w:autoSpaceDN w:val="0"/>
        <w:adjustRightInd w:val="0"/>
        <w:ind w:firstLine="420" w:firstLineChars="200"/>
        <w:jc w:val="left"/>
        <w:rPr>
          <w:rFonts w:ascii="黑体" w:eastAsia="黑体" w:hAnsi="黑体" w:cs="黑体" w:hint="eastAsia"/>
          <w:b/>
          <w:kern w:val="0"/>
          <w:szCs w:val="21"/>
        </w:rPr>
      </w:pPr>
    </w:p>
    <w:p w:rsidR="00F57BEF" w:rsidRPr="00B46892" w14:paraId="39610E2D" w14:textId="190A6991">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5</w:t>
      </w:r>
      <w:r w:rsidRPr="00B46892">
        <w:rPr>
          <w:rFonts w:ascii="黑体" w:eastAsia="黑体" w:hAnsi="黑体" w:cs="黑体" w:hint="eastAsia"/>
          <w:b/>
          <w:kern w:val="0"/>
          <w:szCs w:val="21"/>
        </w:rPr>
        <w:t>、手续费</w:t>
      </w:r>
      <w:r w:rsidRPr="00B46892">
        <w:rPr>
          <w:rFonts w:ascii="黑体" w:eastAsia="黑体" w:hAnsi="黑体" w:cs="黑体"/>
          <w:b/>
          <w:kern w:val="0"/>
          <w:szCs w:val="21"/>
        </w:rPr>
        <w:t>：</w:t>
      </w:r>
      <w:bookmarkStart w:id="2" w:name="_Hlk33053737"/>
      <w:r w:rsidRPr="00B46892" w:rsidR="000D1CA8">
        <w:rPr>
          <w:rFonts w:ascii="黑体" w:eastAsia="黑体" w:hAnsi="黑体" w:cs="黑体" w:hint="eastAsia"/>
          <w:b/>
          <w:kern w:val="0"/>
          <w:szCs w:val="21"/>
        </w:rPr>
        <w:t>无</w:t>
      </w:r>
    </w:p>
    <w:p w:rsidR="00F57BEF" w:rsidRPr="00B46892" w14:paraId="5B69B634" w14:textId="77777777">
      <w:pPr>
        <w:autoSpaceDE w:val="0"/>
        <w:autoSpaceDN w:val="0"/>
        <w:adjustRightInd w:val="0"/>
        <w:ind w:firstLine="420" w:firstLineChars="200"/>
        <w:jc w:val="left"/>
        <w:rPr>
          <w:rFonts w:ascii="黑体" w:eastAsia="黑体" w:hAnsi="黑体" w:cs="黑体" w:hint="eastAsia"/>
          <w:b/>
          <w:kern w:val="0"/>
          <w:szCs w:val="21"/>
        </w:rPr>
      </w:pPr>
      <w:bookmarkStart w:id="3" w:name="_Hlk33107492"/>
      <w:bookmarkEnd w:id="2"/>
      <w:r w:rsidRPr="00B46892">
        <w:rPr>
          <w:rFonts w:ascii="黑体" w:eastAsia="黑体" w:hAnsi="黑体" w:cs="黑体"/>
          <w:b/>
          <w:kern w:val="0"/>
          <w:szCs w:val="21"/>
        </w:rPr>
        <w:t>6</w:t>
      </w:r>
      <w:r w:rsidRPr="00B46892">
        <w:rPr>
          <w:rFonts w:ascii="黑体" w:eastAsia="黑体" w:hAnsi="黑体" w:cs="黑体" w:hint="eastAsia"/>
          <w:b/>
          <w:kern w:val="0"/>
          <w:szCs w:val="21"/>
        </w:rPr>
        <w:t>、</w:t>
      </w:r>
      <w:bookmarkStart w:id="4" w:name="_Hlk33053751"/>
      <w:r w:rsidRPr="00B46892">
        <w:rPr>
          <w:rFonts w:ascii="黑体" w:eastAsia="黑体" w:hAnsi="黑体" w:cs="黑体" w:hint="eastAsia"/>
          <w:b/>
          <w:kern w:val="0"/>
          <w:szCs w:val="21"/>
        </w:rPr>
        <w:t>强制赎回费：</w:t>
      </w:r>
    </w:p>
    <w:p w:rsidR="00F57BEF" w:rsidRPr="00B46892" w14:paraId="017FCB47" w14:textId="77777777">
      <w:pPr>
        <w:autoSpaceDE w:val="0"/>
        <w:autoSpaceDN w:val="0"/>
        <w:adjustRightInd w:val="0"/>
        <w:ind w:firstLine="420"/>
        <w:jc w:val="left"/>
        <w:rPr>
          <w:rFonts w:ascii="黑体" w:eastAsia="黑体" w:hAnsi="黑体" w:cs="黑体" w:hint="eastAsia"/>
          <w:b/>
          <w:kern w:val="0"/>
          <w:szCs w:val="21"/>
        </w:rPr>
      </w:pPr>
      <w:r w:rsidRPr="00B46892">
        <w:rPr>
          <w:rFonts w:ascii="黑体" w:eastAsia="黑体" w:hAnsi="黑体" w:cs="黑体" w:hint="eastAsia"/>
          <w:b/>
          <w:kern w:val="0"/>
          <w:szCs w:val="21"/>
        </w:rPr>
        <w:t>本产品将在以下两种情况下，收取强制赎回费用，并在赎回时将上述费用直接从兑付资金中扣除。</w:t>
      </w:r>
    </w:p>
    <w:p w:rsidR="00F57BEF" w:rsidRPr="00B46892" w14:paraId="1EA602DD" w14:textId="77777777">
      <w:pPr>
        <w:autoSpaceDE w:val="0"/>
        <w:autoSpaceDN w:val="0"/>
        <w:adjustRightInd w:val="0"/>
        <w:ind w:firstLine="420"/>
        <w:jc w:val="left"/>
        <w:rPr>
          <w:rFonts w:ascii="黑体" w:eastAsia="黑体" w:hAnsi="黑体" w:cs="黑体" w:hint="eastAsia"/>
          <w:b/>
          <w:kern w:val="0"/>
          <w:szCs w:val="21"/>
        </w:rPr>
      </w:pPr>
      <w:r w:rsidRPr="00B46892">
        <w:rPr>
          <w:rFonts w:ascii="黑体" w:eastAsia="黑体" w:hAnsi="黑体" w:cs="黑体" w:hint="eastAsia"/>
          <w:b/>
          <w:kern w:val="0"/>
          <w:szCs w:val="21"/>
        </w:rPr>
        <w:t>（1）在满足相关流动性风险管理要求的前提下，当本产品持有的现金、国债、中央银行票据、政策性金融债券以及5个交易日内到期的其他金融工具占产品资产净值的比例合计低于5%且偏离度为负时，产品管理人将对当日单个产品投资者申请赎回份额超过本产品总份额</w:t>
      </w:r>
      <w:r w:rsidRPr="00B46892">
        <w:rPr>
          <w:rFonts w:ascii="黑体" w:eastAsia="黑体" w:hAnsi="黑体" w:cs="黑体"/>
          <w:b/>
          <w:kern w:val="0"/>
          <w:szCs w:val="21"/>
        </w:rPr>
        <w:t>1%</w:t>
      </w:r>
      <w:r w:rsidRPr="00B46892">
        <w:rPr>
          <w:rFonts w:ascii="黑体" w:eastAsia="黑体" w:hAnsi="黑体" w:cs="黑体" w:hint="eastAsia"/>
          <w:b/>
          <w:kern w:val="0"/>
          <w:szCs w:val="21"/>
        </w:rPr>
        <w:t>以上的赎回申请征收</w:t>
      </w:r>
      <w:r w:rsidRPr="00B46892">
        <w:rPr>
          <w:rFonts w:ascii="黑体" w:eastAsia="黑体" w:hAnsi="黑体" w:cs="黑体"/>
          <w:b/>
          <w:kern w:val="0"/>
          <w:szCs w:val="21"/>
        </w:rPr>
        <w:t>1%</w:t>
      </w:r>
      <w:r w:rsidRPr="00B46892">
        <w:rPr>
          <w:rFonts w:ascii="黑体" w:eastAsia="黑体" w:hAnsi="黑体" w:cs="黑体" w:hint="eastAsia"/>
          <w:b/>
          <w:kern w:val="0"/>
          <w:szCs w:val="21"/>
        </w:rPr>
        <w:t>的强制赎回费用，并将上述赎回费用全额计入产品财产。产品管理人</w:t>
      </w:r>
      <w:r w:rsidRPr="00B46892">
        <w:rPr>
          <w:rFonts w:ascii="黑体" w:eastAsia="黑体" w:hAnsi="黑体" w:cs="黑体"/>
          <w:b/>
          <w:kern w:val="0"/>
          <w:szCs w:val="21"/>
        </w:rPr>
        <w:t>与托管机构协商确认上述做法无益于</w:t>
      </w:r>
      <w:r w:rsidRPr="00B46892">
        <w:rPr>
          <w:rFonts w:ascii="黑体" w:eastAsia="黑体" w:hAnsi="黑体" w:cs="黑体" w:hint="eastAsia"/>
          <w:b/>
          <w:kern w:val="0"/>
          <w:szCs w:val="21"/>
        </w:rPr>
        <w:t>本</w:t>
      </w:r>
      <w:r w:rsidRPr="00B46892">
        <w:rPr>
          <w:rFonts w:ascii="黑体" w:eastAsia="黑体" w:hAnsi="黑体" w:cs="黑体"/>
          <w:b/>
          <w:kern w:val="0"/>
          <w:szCs w:val="21"/>
        </w:rPr>
        <w:t>产品利益最大化的情形除外。</w:t>
      </w:r>
    </w:p>
    <w:p w:rsidR="00F57BEF" w:rsidRPr="00B46892" w14:paraId="61C8A83C" w14:textId="77777777">
      <w:pPr>
        <w:autoSpaceDE w:val="0"/>
        <w:autoSpaceDN w:val="0"/>
        <w:adjustRightInd w:val="0"/>
        <w:ind w:firstLine="420"/>
        <w:jc w:val="left"/>
        <w:rPr>
          <w:rFonts w:ascii="黑体" w:eastAsia="黑体" w:hAnsi="黑体" w:cs="黑体" w:hint="eastAsia"/>
          <w:b/>
          <w:kern w:val="0"/>
          <w:szCs w:val="21"/>
        </w:rPr>
      </w:pPr>
      <w:r w:rsidRPr="00B46892">
        <w:rPr>
          <w:rFonts w:ascii="黑体" w:eastAsia="黑体" w:hAnsi="黑体" w:cs="黑体" w:hint="eastAsia"/>
          <w:b/>
          <w:kern w:val="0"/>
          <w:szCs w:val="21"/>
        </w:rPr>
        <w:t>（</w:t>
      </w:r>
      <w:r w:rsidRPr="00B46892">
        <w:rPr>
          <w:rFonts w:ascii="黑体" w:eastAsia="黑体" w:hAnsi="黑体" w:cs="黑体"/>
          <w:b/>
          <w:kern w:val="0"/>
          <w:szCs w:val="21"/>
        </w:rPr>
        <w:t>2）</w:t>
      </w:r>
      <w:r w:rsidRPr="00B46892">
        <w:rPr>
          <w:rFonts w:ascii="黑体" w:eastAsia="黑体" w:hAnsi="黑体" w:cs="黑体" w:hint="eastAsia"/>
          <w:b/>
          <w:kern w:val="0"/>
          <w:szCs w:val="21"/>
        </w:rPr>
        <w:t>本</w:t>
      </w:r>
      <w:r w:rsidRPr="00B46892">
        <w:rPr>
          <w:rFonts w:ascii="黑体" w:eastAsia="黑体" w:hAnsi="黑体" w:cs="黑体"/>
          <w:b/>
          <w:kern w:val="0"/>
          <w:szCs w:val="21"/>
        </w:rPr>
        <w:t>产品前10名投资者的持有份额合计超过该产品总份额50%的，当投资组合中现</w:t>
      </w:r>
      <w:r w:rsidRPr="00B46892">
        <w:rPr>
          <w:rFonts w:ascii="黑体" w:eastAsia="黑体" w:hAnsi="黑体" w:cs="黑体"/>
          <w:b/>
          <w:kern w:val="0"/>
          <w:szCs w:val="21"/>
        </w:rPr>
        <w:t>金、国债、中央银行票据、政策性金融债券以及5个交易日内到期的其他金融工具占该产品资产净值的比例合计低于10%且偏离度为负时，</w:t>
      </w:r>
      <w:r w:rsidRPr="00B46892">
        <w:rPr>
          <w:rFonts w:ascii="黑体" w:eastAsia="黑体" w:hAnsi="黑体" w:cs="黑体" w:hint="eastAsia"/>
          <w:b/>
          <w:kern w:val="0"/>
          <w:szCs w:val="21"/>
        </w:rPr>
        <w:t>产品管理人将</w:t>
      </w:r>
      <w:r w:rsidRPr="00B46892">
        <w:rPr>
          <w:rFonts w:ascii="黑体" w:eastAsia="黑体" w:hAnsi="黑体" w:cs="黑体"/>
          <w:b/>
          <w:kern w:val="0"/>
          <w:szCs w:val="21"/>
        </w:rPr>
        <w:t>对投资者超过该产品总份额1%以上的赎回申请征收1%的强制赎回费用。</w:t>
      </w:r>
    </w:p>
    <w:p w:rsidR="00F57BEF" w:rsidRPr="00B46892" w14:paraId="69EAE3DE" w14:textId="77777777">
      <w:pPr>
        <w:autoSpaceDE w:val="0"/>
        <w:autoSpaceDN w:val="0"/>
        <w:adjustRightInd w:val="0"/>
        <w:ind w:firstLine="420"/>
        <w:jc w:val="left"/>
        <w:rPr>
          <w:rFonts w:ascii="黑体" w:eastAsia="黑体" w:hAnsi="黑体" w:cs="黑体" w:hint="eastAsia"/>
          <w:b/>
          <w:kern w:val="0"/>
          <w:szCs w:val="21"/>
        </w:rPr>
      </w:pPr>
      <w:r w:rsidRPr="00B46892">
        <w:rPr>
          <w:rFonts w:ascii="黑体" w:eastAsia="黑体" w:hAnsi="黑体" w:cs="黑体" w:hint="eastAsia"/>
          <w:b/>
          <w:kern w:val="0"/>
          <w:szCs w:val="21"/>
        </w:rPr>
        <w:t>计算方法如下：</w:t>
      </w:r>
    </w:p>
    <w:p w:rsidR="00F57BEF" w:rsidRPr="00B46892" w14:paraId="7334AA8A" w14:textId="77777777">
      <w:pPr>
        <w:autoSpaceDE w:val="0"/>
        <w:autoSpaceDN w:val="0"/>
        <w:adjustRightInd w:val="0"/>
        <w:ind w:firstLine="420"/>
        <w:jc w:val="left"/>
        <w:rPr>
          <w:rFonts w:ascii="黑体" w:eastAsia="黑体" w:hAnsi="黑体" w:cs="黑体" w:hint="eastAsia"/>
          <w:b/>
          <w:kern w:val="0"/>
          <w:szCs w:val="21"/>
        </w:rPr>
      </w:pPr>
      <w:r w:rsidRPr="00B46892">
        <w:rPr>
          <w:rFonts w:ascii="黑体" w:eastAsia="黑体" w:hAnsi="黑体" w:cs="黑体" w:hint="eastAsia"/>
          <w:b/>
          <w:kern w:val="0"/>
          <w:szCs w:val="21"/>
        </w:rPr>
        <w:t>强制赎回费</w:t>
      </w:r>
      <w:r w:rsidRPr="00B46892">
        <w:rPr>
          <w:rFonts w:ascii="黑体" w:eastAsia="黑体" w:hAnsi="黑体" w:cs="黑体"/>
          <w:b/>
          <w:kern w:val="0"/>
          <w:szCs w:val="21"/>
        </w:rPr>
        <w:t>=</w:t>
      </w:r>
      <w:r w:rsidRPr="00B46892">
        <w:rPr>
          <w:rFonts w:ascii="黑体" w:eastAsia="黑体" w:hAnsi="黑体" w:cs="黑体" w:hint="eastAsia"/>
          <w:b/>
          <w:kern w:val="0"/>
          <w:szCs w:val="21"/>
        </w:rPr>
        <w:t>（当日单个投资者申请赎回份额</w:t>
      </w:r>
      <w:r w:rsidRPr="00B46892">
        <w:rPr>
          <w:rFonts w:ascii="黑体" w:eastAsia="黑体" w:hAnsi="黑体" w:cs="黑体"/>
          <w:b/>
          <w:kern w:val="0"/>
          <w:szCs w:val="21"/>
        </w:rPr>
        <w:t>-</w:t>
      </w:r>
      <w:r w:rsidRPr="00B46892">
        <w:rPr>
          <w:rFonts w:ascii="黑体" w:eastAsia="黑体" w:hAnsi="黑体" w:cs="黑体" w:hint="eastAsia"/>
          <w:b/>
          <w:kern w:val="0"/>
          <w:szCs w:val="21"/>
        </w:rPr>
        <w:t>本产品上一工作日总份额</w:t>
      </w:r>
      <w:r w:rsidRPr="00B46892">
        <w:rPr>
          <w:rFonts w:ascii="黑体" w:eastAsia="黑体" w:hAnsi="黑体" w:cs="黑体"/>
          <w:b/>
          <w:kern w:val="0"/>
          <w:szCs w:val="21"/>
        </w:rPr>
        <w:t>*1%</w:t>
      </w:r>
      <w:r w:rsidRPr="00B46892">
        <w:rPr>
          <w:rFonts w:ascii="黑体" w:eastAsia="黑体" w:hAnsi="黑体" w:cs="黑体" w:hint="eastAsia"/>
          <w:b/>
          <w:kern w:val="0"/>
          <w:szCs w:val="21"/>
        </w:rPr>
        <w:t>）</w:t>
      </w:r>
      <w:r w:rsidRPr="00B46892">
        <w:rPr>
          <w:rFonts w:ascii="黑体" w:eastAsia="黑体" w:hAnsi="黑体" w:cs="黑体"/>
          <w:b/>
          <w:kern w:val="0"/>
          <w:szCs w:val="21"/>
        </w:rPr>
        <w:t>*</w:t>
      </w:r>
      <w:r w:rsidRPr="00B46892">
        <w:rPr>
          <w:rFonts w:ascii="黑体" w:eastAsia="黑体" w:hAnsi="黑体" w:cs="黑体" w:hint="eastAsia"/>
          <w:b/>
          <w:kern w:val="0"/>
          <w:szCs w:val="21"/>
        </w:rPr>
        <w:t>本产品当日单位净值</w:t>
      </w:r>
      <w:r w:rsidRPr="00B46892">
        <w:rPr>
          <w:rFonts w:ascii="黑体" w:eastAsia="黑体" w:hAnsi="黑体" w:cs="黑体"/>
          <w:b/>
          <w:kern w:val="0"/>
          <w:szCs w:val="21"/>
        </w:rPr>
        <w:t>*</w:t>
      </w:r>
      <w:r w:rsidRPr="00B46892">
        <w:rPr>
          <w:rFonts w:ascii="黑体" w:eastAsia="黑体" w:hAnsi="黑体" w:cs="黑体" w:hint="eastAsia"/>
          <w:b/>
          <w:kern w:val="0"/>
          <w:szCs w:val="21"/>
        </w:rPr>
        <w:t>强制赎回费费率</w:t>
      </w:r>
    </w:p>
    <w:p w:rsidR="00F57BEF" w:rsidRPr="00B46892" w14:paraId="2108705F" w14:textId="44C1F802">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7、其他费用：</w:t>
      </w:r>
      <w:r w:rsidRPr="00B46892" w:rsidR="002401F5">
        <w:rPr>
          <w:rFonts w:ascii="黑体" w:eastAsia="黑体" w:hAnsi="黑体" w:cs="黑体" w:hint="eastAsia"/>
          <w:b/>
          <w:kern w:val="0"/>
          <w:szCs w:val="21"/>
        </w:rPr>
        <w:t>无</w:t>
      </w:r>
    </w:p>
    <w:p w:rsidR="00F57BEF" w:rsidRPr="00B46892" w14:paraId="5BCBB7E3" w14:textId="2DDBFC61">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8、</w:t>
      </w:r>
      <w:r w:rsidRPr="0067339D" w:rsidR="00523BFA">
        <w:rPr>
          <w:rFonts w:ascii="黑体" w:eastAsia="黑体" w:hAnsi="黑体" w:cs="黑体" w:hint="eastAsia"/>
          <w:b/>
          <w:kern w:val="0"/>
          <w:szCs w:val="21"/>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bookmarkEnd w:id="4"/>
    </w:p>
    <w:p w:rsidR="00F57BEF" w:rsidRPr="00B46892" w14:paraId="315A7554"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9</w:t>
      </w:r>
      <w:r w:rsidRPr="00B46892">
        <w:rPr>
          <w:rFonts w:ascii="黑体" w:eastAsia="黑体" w:hAnsi="黑体" w:cs="黑体" w:hint="eastAsia"/>
          <w:kern w:val="0"/>
          <w:szCs w:val="21"/>
        </w:rPr>
        <w:t>、上述费用将按相关</w:t>
      </w:r>
      <w:r w:rsidRPr="00B46892">
        <w:rPr>
          <w:rFonts w:ascii="黑体" w:eastAsia="黑体" w:hAnsi="黑体" w:cs="黑体"/>
          <w:kern w:val="0"/>
          <w:szCs w:val="21"/>
        </w:rPr>
        <w:t>合同</w:t>
      </w:r>
      <w:r w:rsidRPr="00B46892">
        <w:rPr>
          <w:rFonts w:ascii="黑体" w:eastAsia="黑体" w:hAnsi="黑体" w:cs="黑体" w:hint="eastAsia"/>
          <w:kern w:val="0"/>
          <w:szCs w:val="21"/>
        </w:rPr>
        <w:t>约定的时间和方式支付给收款方。</w:t>
      </w:r>
    </w:p>
    <w:bookmarkEnd w:id="3"/>
    <w:p w:rsidR="00F57BEF" w:rsidRPr="00B46892" w14:paraId="7653E6A3" w14:textId="4EABFAC3">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10</w:t>
      </w:r>
      <w:r w:rsidRPr="00B46892">
        <w:rPr>
          <w:rFonts w:ascii="黑体" w:eastAsia="黑体" w:hAnsi="黑体" w:cs="黑体" w:hint="eastAsia"/>
          <w:b/>
          <w:kern w:val="0"/>
          <w:szCs w:val="21"/>
        </w:rPr>
        <w:t>、产品管理人有权根据市场情况等调整上述各项收费项目、收费条件、收费标准和收费方式，并至少于调整日之前</w:t>
      </w:r>
      <w:r w:rsidRPr="00B46892" w:rsidR="00276FEB">
        <w:rPr>
          <w:rFonts w:ascii="黑体" w:eastAsia="黑体" w:hAnsi="黑体" w:cs="黑体" w:hint="eastAsia"/>
          <w:b/>
          <w:kern w:val="0"/>
          <w:szCs w:val="21"/>
        </w:rPr>
        <w:t>3个</w:t>
      </w:r>
      <w:r w:rsidRPr="00B46892">
        <w:rPr>
          <w:rFonts w:ascii="黑体" w:eastAsia="黑体" w:hAnsi="黑体" w:cs="黑体" w:hint="eastAsia"/>
          <w:b/>
          <w:kern w:val="0"/>
          <w:szCs w:val="21"/>
        </w:rPr>
        <w:t>工作日进行公告。上述情况下产品</w:t>
      </w:r>
      <w:r w:rsidRPr="00B46892">
        <w:rPr>
          <w:rFonts w:ascii="黑体" w:eastAsia="黑体" w:hAnsi="黑体" w:cs="黑体"/>
          <w:b/>
          <w:kern w:val="0"/>
          <w:szCs w:val="21"/>
        </w:rPr>
        <w:t>管理人</w:t>
      </w:r>
      <w:r w:rsidRPr="00B46892">
        <w:rPr>
          <w:rFonts w:ascii="黑体" w:eastAsia="黑体" w:hAnsi="黑体" w:cs="黑体" w:hint="eastAsia"/>
          <w:b/>
          <w:kern w:val="0"/>
          <w:szCs w:val="21"/>
        </w:rPr>
        <w:t>将可能开放赎回，具体以信息披露公告为准。投资者不同意公告内容的，可按公告约定全部赎回本产品。若投资者在公告执行后继续持有本产品的，视同接受公告内容。</w:t>
      </w:r>
    </w:p>
    <w:p w:rsidR="00F57BEF" w:rsidRPr="00C542B4" w14:paraId="0BC3F43A" w14:textId="77777777">
      <w:pPr>
        <w:autoSpaceDE w:val="0"/>
        <w:autoSpaceDN w:val="0"/>
        <w:adjustRightInd w:val="0"/>
        <w:jc w:val="left"/>
        <w:rPr>
          <w:rFonts w:ascii="黑体" w:eastAsia="黑体" w:hAnsi="黑体" w:cs="宋体" w:hint="eastAsia"/>
          <w:b/>
          <w:bCs/>
          <w:kern w:val="0"/>
          <w:szCs w:val="21"/>
        </w:rPr>
      </w:pPr>
      <w:r w:rsidRPr="00C542B4">
        <w:rPr>
          <w:rFonts w:ascii="黑体" w:eastAsia="黑体" w:hAnsi="黑体" w:cs="宋体" w:hint="eastAsia"/>
          <w:b/>
          <w:bCs/>
          <w:kern w:val="0"/>
          <w:szCs w:val="21"/>
        </w:rPr>
        <w:t>（二）</w:t>
      </w:r>
      <w:bookmarkStart w:id="5" w:name="_Hlk33085424"/>
      <w:r w:rsidRPr="00C542B4">
        <w:rPr>
          <w:rFonts w:ascii="黑体" w:eastAsia="黑体" w:hAnsi="黑体" w:cs="宋体" w:hint="eastAsia"/>
          <w:b/>
          <w:bCs/>
          <w:kern w:val="0"/>
          <w:szCs w:val="21"/>
        </w:rPr>
        <w:t>产品收益分配</w:t>
      </w:r>
    </w:p>
    <w:p w:rsidR="00F57BEF" w:rsidRPr="00C542B4" w14:paraId="777D1608" w14:textId="77777777">
      <w:pPr>
        <w:autoSpaceDE w:val="0"/>
        <w:autoSpaceDN w:val="0"/>
        <w:adjustRightInd w:val="0"/>
        <w:ind w:firstLine="420" w:firstLineChars="200"/>
        <w:jc w:val="left"/>
        <w:rPr>
          <w:rFonts w:ascii="黑体" w:eastAsia="黑体" w:hAnsi="黑体" w:cs="宋体" w:hint="eastAsia"/>
          <w:b/>
          <w:bCs/>
          <w:kern w:val="0"/>
          <w:szCs w:val="21"/>
        </w:rPr>
      </w:pPr>
      <w:r w:rsidRPr="00C542B4">
        <w:rPr>
          <w:rFonts w:ascii="黑体" w:eastAsia="黑体" w:hAnsi="黑体" w:cs="宋体" w:hint="eastAsia"/>
          <w:b/>
          <w:bCs/>
          <w:kern w:val="0"/>
          <w:szCs w:val="21"/>
        </w:rPr>
        <w:t>1、本产品每份产品份额享有同等分配权。</w:t>
      </w:r>
    </w:p>
    <w:p w:rsidR="00F57BEF" w:rsidRPr="00C542B4" w14:paraId="14C31D41" w14:textId="77777777">
      <w:pPr>
        <w:autoSpaceDE w:val="0"/>
        <w:autoSpaceDN w:val="0"/>
        <w:adjustRightInd w:val="0"/>
        <w:ind w:firstLine="420" w:firstLineChars="200"/>
        <w:jc w:val="left"/>
        <w:rPr>
          <w:rFonts w:ascii="黑体" w:eastAsia="黑体" w:hAnsi="黑体" w:cs="宋体" w:hint="eastAsia"/>
          <w:b/>
          <w:bCs/>
          <w:kern w:val="0"/>
          <w:szCs w:val="21"/>
        </w:rPr>
      </w:pPr>
      <w:r w:rsidRPr="00C542B4">
        <w:rPr>
          <w:rFonts w:ascii="黑体" w:eastAsia="黑体" w:hAnsi="黑体" w:cs="宋体" w:hint="eastAsia"/>
          <w:b/>
          <w:bCs/>
          <w:kern w:val="0"/>
          <w:szCs w:val="21"/>
        </w:rPr>
        <w:t>2、本产品收益分配方式为每日分配、按日结转。本理财产品根据每日产品收益情况，以每万份产品净收益为基准，每日为投资者计算上一日收益并分配，且每日进行结转。</w:t>
      </w:r>
    </w:p>
    <w:p w:rsidR="00F57BEF" w:rsidRPr="00C542B4" w14:paraId="1C461344" w14:textId="77777777">
      <w:pPr>
        <w:autoSpaceDE w:val="0"/>
        <w:autoSpaceDN w:val="0"/>
        <w:adjustRightInd w:val="0"/>
        <w:ind w:firstLine="420" w:firstLineChars="200"/>
        <w:jc w:val="left"/>
        <w:rPr>
          <w:rFonts w:ascii="黑体" w:eastAsia="黑体" w:hAnsi="黑体" w:cs="宋体" w:hint="eastAsia"/>
          <w:b/>
          <w:bCs/>
          <w:kern w:val="0"/>
          <w:szCs w:val="21"/>
        </w:rPr>
      </w:pPr>
      <w:r w:rsidRPr="00C542B4">
        <w:rPr>
          <w:rFonts w:ascii="黑体" w:eastAsia="黑体" w:hAnsi="黑体" w:cs="宋体" w:hint="eastAsia"/>
          <w:b/>
          <w:bCs/>
          <w:kern w:val="0"/>
          <w:szCs w:val="21"/>
        </w:rPr>
        <w:t>3、投资者自认购/申购份额确认当日开始享有产品的收益分配权益；自赎回确认当日开始不再享有产品的收益分配权益。</w:t>
      </w:r>
    </w:p>
    <w:p w:rsidR="00F57BEF" w:rsidRPr="00B46892" w14:paraId="475DEA93"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kern w:val="0"/>
          <w:szCs w:val="21"/>
        </w:rPr>
        <w:t>4</w:t>
      </w:r>
      <w:r w:rsidRPr="00B46892">
        <w:rPr>
          <w:rFonts w:ascii="黑体" w:eastAsia="黑体" w:hAnsi="黑体" w:cs="宋体" w:hint="eastAsia"/>
          <w:kern w:val="0"/>
          <w:szCs w:val="21"/>
        </w:rPr>
        <w:t>、计算示例：</w:t>
      </w:r>
      <w:bookmarkEnd w:id="5"/>
    </w:p>
    <w:p w:rsidR="00276FEB" w:rsidRPr="00B46892" w:rsidP="00276FEB" w14:paraId="5A28CDE9" w14:textId="77777777">
      <w:pPr>
        <w:autoSpaceDE w:val="0"/>
        <w:autoSpaceDN w:val="0"/>
        <w:adjustRightInd w:val="0"/>
        <w:ind w:firstLine="420" w:firstLineChars="200"/>
        <w:jc w:val="left"/>
        <w:rPr>
          <w:rFonts w:ascii="黑体" w:eastAsia="黑体" w:hAnsi="黑体" w:cs="黑体" w:hint="eastAsia"/>
          <w:color w:val="000000" w:themeColor="text1"/>
          <w:kern w:val="0"/>
          <w:szCs w:val="21"/>
        </w:rPr>
      </w:pPr>
      <w:r w:rsidRPr="00B46892">
        <w:rPr>
          <w:rFonts w:ascii="黑体" w:eastAsia="黑体" w:hAnsi="黑体" w:cs="黑体" w:hint="eastAsia"/>
          <w:color w:val="000000" w:themeColor="text1"/>
          <w:kern w:val="0"/>
          <w:szCs w:val="21"/>
        </w:rPr>
        <w:t>示例</w:t>
      </w:r>
      <w:r w:rsidRPr="00B46892">
        <w:rPr>
          <w:rFonts w:ascii="黑体" w:eastAsia="黑体" w:hAnsi="黑体" w:cs="黑体"/>
          <w:color w:val="000000" w:themeColor="text1"/>
          <w:kern w:val="0"/>
          <w:szCs w:val="21"/>
        </w:rPr>
        <w:t>1</w:t>
      </w:r>
      <w:r w:rsidRPr="00B46892">
        <w:rPr>
          <w:rFonts w:ascii="黑体" w:eastAsia="黑体" w:hAnsi="黑体" w:cs="黑体" w:hint="eastAsia"/>
          <w:color w:val="000000" w:themeColor="text1"/>
          <w:kern w:val="0"/>
          <w:szCs w:val="21"/>
        </w:rPr>
        <w:t>：假设投资者于募集期</w:t>
      </w:r>
      <w:r w:rsidRPr="00B46892">
        <w:rPr>
          <w:rFonts w:ascii="黑体" w:eastAsia="黑体" w:hAnsi="黑体" w:cs="黑体"/>
          <w:color w:val="000000" w:themeColor="text1"/>
          <w:kern w:val="0"/>
          <w:szCs w:val="21"/>
        </w:rPr>
        <w:t>/</w:t>
      </w:r>
      <w:r w:rsidRPr="00B46892">
        <w:rPr>
          <w:rFonts w:ascii="黑体" w:eastAsia="黑体" w:hAnsi="黑体" w:cs="黑体" w:hint="eastAsia"/>
          <w:color w:val="000000" w:themeColor="text1"/>
          <w:kern w:val="0"/>
          <w:szCs w:val="21"/>
        </w:rPr>
        <w:t>产品存续期认购</w:t>
      </w:r>
      <w:r w:rsidRPr="00B46892">
        <w:rPr>
          <w:rFonts w:ascii="黑体" w:eastAsia="黑体" w:hAnsi="黑体" w:cs="黑体"/>
          <w:color w:val="000000" w:themeColor="text1"/>
          <w:kern w:val="0"/>
          <w:szCs w:val="21"/>
        </w:rPr>
        <w:t>/</w:t>
      </w:r>
      <w:r w:rsidRPr="00B46892">
        <w:rPr>
          <w:rFonts w:ascii="黑体" w:eastAsia="黑体" w:hAnsi="黑体" w:cs="黑体" w:hint="eastAsia"/>
          <w:color w:val="000000" w:themeColor="text1"/>
          <w:kern w:val="0"/>
          <w:szCs w:val="21"/>
        </w:rPr>
        <w:t>申购，本金为</w:t>
      </w:r>
      <w:r w:rsidRPr="00B46892">
        <w:rPr>
          <w:rFonts w:ascii="黑体" w:eastAsia="黑体" w:hAnsi="黑体" w:cs="黑体"/>
          <w:color w:val="000000" w:themeColor="text1"/>
          <w:kern w:val="0"/>
          <w:szCs w:val="21"/>
        </w:rPr>
        <w:t>50000</w:t>
      </w:r>
      <w:r w:rsidRPr="00B46892">
        <w:rPr>
          <w:rFonts w:ascii="黑体" w:eastAsia="黑体" w:hAnsi="黑体" w:cs="黑体" w:hint="eastAsia"/>
          <w:color w:val="000000" w:themeColor="text1"/>
          <w:kern w:val="0"/>
          <w:szCs w:val="21"/>
        </w:rPr>
        <w:t>元，则投资者持有份额为</w:t>
      </w:r>
      <w:r w:rsidRPr="00B46892">
        <w:rPr>
          <w:rFonts w:ascii="黑体" w:eastAsia="黑体" w:hAnsi="黑体" w:cs="黑体"/>
          <w:color w:val="000000" w:themeColor="text1"/>
          <w:kern w:val="0"/>
          <w:szCs w:val="21"/>
        </w:rPr>
        <w:t>50000</w:t>
      </w:r>
      <w:r w:rsidRPr="00B46892">
        <w:rPr>
          <w:rFonts w:ascii="黑体" w:eastAsia="黑体" w:hAnsi="黑体" w:cs="黑体" w:hint="eastAsia"/>
          <w:color w:val="000000" w:themeColor="text1"/>
          <w:kern w:val="0"/>
          <w:szCs w:val="21"/>
        </w:rPr>
        <w:t>份。假设投资者持有期内，每日红利再投，计划全部赎回时持有份额为</w:t>
      </w:r>
      <w:r w:rsidRPr="00B46892">
        <w:rPr>
          <w:rFonts w:ascii="黑体" w:eastAsia="黑体" w:hAnsi="黑体" w:cs="黑体"/>
          <w:color w:val="000000" w:themeColor="text1"/>
          <w:kern w:val="0"/>
          <w:szCs w:val="21"/>
        </w:rPr>
        <w:t>51000份，</w:t>
      </w:r>
      <w:r w:rsidRPr="00B46892">
        <w:rPr>
          <w:rFonts w:ascii="黑体" w:eastAsia="黑体" w:hAnsi="黑体" w:cs="黑体" w:hint="eastAsia"/>
          <w:color w:val="000000" w:themeColor="text1"/>
          <w:kern w:val="0"/>
          <w:szCs w:val="21"/>
        </w:rPr>
        <w:t>且投资者赎回份额不收取强制赎回费，</w:t>
      </w:r>
      <w:r w:rsidRPr="00B46892">
        <w:rPr>
          <w:rFonts w:ascii="黑体" w:eastAsia="黑体" w:hAnsi="黑体" w:cs="黑体"/>
          <w:color w:val="000000" w:themeColor="text1"/>
          <w:kern w:val="0"/>
          <w:szCs w:val="21"/>
        </w:rPr>
        <w:t>则赎回金额为51000元。</w:t>
      </w:r>
    </w:p>
    <w:p w:rsidR="00F57BEF" w:rsidRPr="00B46892" w14:paraId="180B5A2E" w14:textId="77777777">
      <w:pPr>
        <w:autoSpaceDE w:val="0"/>
        <w:autoSpaceDN w:val="0"/>
        <w:adjustRightInd w:val="0"/>
        <w:ind w:firstLine="420" w:firstLineChars="200"/>
        <w:jc w:val="left"/>
        <w:rPr>
          <w:rFonts w:ascii="黑体" w:eastAsia="黑体" w:hAnsi="黑体" w:cs="黑体" w:hint="eastAsia"/>
          <w:kern w:val="0"/>
          <w:szCs w:val="21"/>
        </w:rPr>
      </w:pPr>
    </w:p>
    <w:p w:rsidR="00F57BEF" w:rsidRPr="00C542B4" w14:paraId="068F6876"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上述示例采用假设数据计算，测算收益不等于实际收益，投资需谨慎。</w:t>
      </w:r>
    </w:p>
    <w:p w:rsidR="00F57BEF" w:rsidRPr="00B46892" w14:paraId="46A730DD" w14:textId="77777777">
      <w:pPr>
        <w:autoSpaceDE w:val="0"/>
        <w:autoSpaceDN w:val="0"/>
        <w:adjustRightInd w:val="0"/>
        <w:ind w:firstLine="420" w:firstLineChars="200"/>
        <w:jc w:val="left"/>
        <w:rPr>
          <w:rFonts w:ascii="黑体" w:eastAsia="黑体" w:hAnsi="黑体" w:cs="黑体" w:hint="eastAsia"/>
          <w:kern w:val="0"/>
          <w:szCs w:val="21"/>
        </w:rPr>
      </w:pPr>
      <w:bookmarkStart w:id="6" w:name="_Hlk33085449"/>
      <w:r w:rsidRPr="00B46892">
        <w:rPr>
          <w:rFonts w:ascii="黑体" w:eastAsia="黑体" w:hAnsi="黑体" w:cs="黑体" w:hint="eastAsia"/>
          <w:b/>
          <w:bCs/>
          <w:kern w:val="0"/>
          <w:szCs w:val="21"/>
        </w:rPr>
        <w:t>在最不利情况下，投资者甚至可能损失全部本金。</w:t>
      </w:r>
      <w:r w:rsidRPr="00B46892">
        <w:rPr>
          <w:rFonts w:ascii="黑体" w:eastAsia="黑体" w:hAnsi="黑体" w:cs="黑体" w:hint="eastAsia"/>
          <w:b/>
          <w:kern w:val="0"/>
          <w:szCs w:val="21"/>
        </w:rPr>
        <w:t>投资者应充分认识投资风险，谨慎投资。</w:t>
      </w:r>
    </w:p>
    <w:p w:rsidR="00F57BEF" w:rsidRPr="00B46892" w14:paraId="170A5864"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示例：如投资者购买本理财</w:t>
      </w:r>
      <w:r w:rsidRPr="00B46892">
        <w:rPr>
          <w:rFonts w:ascii="黑体" w:eastAsia="黑体" w:hAnsi="黑体" w:cs="黑体" w:hint="eastAsia"/>
          <w:bCs/>
          <w:kern w:val="0"/>
          <w:szCs w:val="21"/>
        </w:rPr>
        <w:t>产品</w:t>
      </w:r>
      <w:r w:rsidRPr="00B46892">
        <w:rPr>
          <w:rFonts w:ascii="黑体" w:eastAsia="黑体" w:hAnsi="黑体" w:cs="黑体" w:hint="eastAsia"/>
          <w:kern w:val="0"/>
          <w:szCs w:val="21"/>
        </w:rPr>
        <w:t>，本金为10,000.00元，在理财</w:t>
      </w:r>
      <w:r w:rsidRPr="00B46892">
        <w:rPr>
          <w:rFonts w:ascii="黑体" w:eastAsia="黑体" w:hAnsi="黑体" w:cs="黑体" w:hint="eastAsia"/>
          <w:bCs/>
          <w:kern w:val="0"/>
          <w:szCs w:val="21"/>
        </w:rPr>
        <w:t>产品资产</w:t>
      </w:r>
      <w:r w:rsidRPr="00B46892">
        <w:rPr>
          <w:rFonts w:ascii="黑体" w:eastAsia="黑体" w:hAnsi="黑体" w:cs="黑体" w:hint="eastAsia"/>
          <w:kern w:val="0"/>
          <w:szCs w:val="21"/>
        </w:rPr>
        <w:t>组合项下资产全部亏损的最不利情况下，理财</w:t>
      </w:r>
      <w:r w:rsidRPr="00B46892">
        <w:rPr>
          <w:rFonts w:ascii="黑体" w:eastAsia="黑体" w:hAnsi="黑体" w:cs="黑体" w:hint="eastAsia"/>
          <w:bCs/>
          <w:kern w:val="0"/>
          <w:szCs w:val="21"/>
        </w:rPr>
        <w:t>产品</w:t>
      </w:r>
      <w:r w:rsidRPr="00B46892">
        <w:rPr>
          <w:rFonts w:ascii="黑体" w:eastAsia="黑体" w:hAnsi="黑体" w:cs="黑体" w:hint="eastAsia"/>
          <w:kern w:val="0"/>
          <w:szCs w:val="21"/>
        </w:rPr>
        <w:t>10,000.00元本金将全部损失</w:t>
      </w:r>
    </w:p>
    <w:bookmarkEnd w:id="6"/>
    <w:p w:rsidR="00F57BEF" w:rsidRPr="00C542B4" w:rsidP="00EC133E" w14:paraId="08E13CA3" w14:textId="0D80A90A">
      <w:pPr>
        <w:autoSpaceDE w:val="0"/>
        <w:autoSpaceDN w:val="0"/>
        <w:adjustRightInd w:val="0"/>
        <w:jc w:val="left"/>
        <w:rPr>
          <w:rFonts w:ascii="黑体" w:eastAsia="黑体" w:hAnsi="黑体" w:cs="宋体" w:hint="eastAsia"/>
          <w:b/>
          <w:bCs/>
          <w:kern w:val="0"/>
          <w:szCs w:val="21"/>
        </w:rPr>
      </w:pPr>
      <w:r w:rsidRPr="00C542B4">
        <w:rPr>
          <w:rFonts w:ascii="黑体" w:eastAsia="黑体" w:hAnsi="黑体" w:cs="宋体" w:hint="eastAsia"/>
          <w:b/>
          <w:bCs/>
          <w:kern w:val="0"/>
          <w:szCs w:val="21"/>
        </w:rPr>
        <w:t>（三）税收</w:t>
      </w:r>
    </w:p>
    <w:p w:rsidR="00F57BEF" w:rsidRPr="00B46892" w14:paraId="43DFDCA8"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1、</w:t>
      </w:r>
      <w:r w:rsidRPr="00B46892">
        <w:rPr>
          <w:rFonts w:ascii="黑体" w:eastAsia="黑体" w:hAnsi="黑体" w:cs="黑体" w:hint="eastAsia"/>
          <w:b/>
          <w:kern w:val="0"/>
          <w:szCs w:val="21"/>
        </w:rPr>
        <w:t>根据财政部、国家税务总局相关税收监管政策的规定，理财产品运营过程中发生的增值税应税行为，</w:t>
      </w:r>
      <w:r w:rsidRPr="00B46892">
        <w:rPr>
          <w:rFonts w:ascii="黑体" w:eastAsia="黑体" w:hAnsi="黑体" w:cs="黑体"/>
          <w:b/>
          <w:kern w:val="0"/>
          <w:szCs w:val="21"/>
        </w:rPr>
        <w:t>以</w:t>
      </w:r>
      <w:r w:rsidRPr="00B46892">
        <w:rPr>
          <w:rFonts w:ascii="黑体" w:eastAsia="黑体" w:hAnsi="黑体" w:cs="黑体" w:hint="eastAsia"/>
          <w:b/>
          <w:kern w:val="0"/>
          <w:szCs w:val="21"/>
        </w:rPr>
        <w:t>理财产品为增值税纳税主体，计算并缴纳增值税及附加税费。产品</w:t>
      </w:r>
      <w:r w:rsidRPr="00B46892">
        <w:rPr>
          <w:rFonts w:ascii="黑体" w:eastAsia="黑体" w:hAnsi="黑体" w:cs="黑体"/>
          <w:b/>
          <w:kern w:val="0"/>
          <w:szCs w:val="21"/>
        </w:rPr>
        <w:t>管理人将按照相关规定计算应缴纳的税费，</w:t>
      </w:r>
      <w:r w:rsidRPr="00B46892">
        <w:rPr>
          <w:rFonts w:ascii="黑体" w:eastAsia="黑体" w:hAnsi="黑体" w:cs="黑体" w:hint="eastAsia"/>
          <w:b/>
          <w:kern w:val="0"/>
          <w:szCs w:val="21"/>
        </w:rPr>
        <w:t>并</w:t>
      </w:r>
      <w:r w:rsidRPr="00B46892">
        <w:rPr>
          <w:rFonts w:ascii="黑体" w:eastAsia="黑体" w:hAnsi="黑体" w:cs="黑体"/>
          <w:b/>
          <w:kern w:val="0"/>
          <w:szCs w:val="21"/>
        </w:rPr>
        <w:t>从本产品财产中</w:t>
      </w:r>
      <w:r w:rsidRPr="00B46892">
        <w:rPr>
          <w:rFonts w:ascii="黑体" w:eastAsia="黑体" w:hAnsi="黑体" w:cs="黑体" w:hint="eastAsia"/>
          <w:b/>
          <w:kern w:val="0"/>
          <w:szCs w:val="21"/>
        </w:rPr>
        <w:t>扣除</w:t>
      </w:r>
      <w:r w:rsidRPr="00B46892">
        <w:rPr>
          <w:rFonts w:ascii="黑体" w:eastAsia="黑体" w:hAnsi="黑体" w:cs="黑体"/>
          <w:b/>
          <w:kern w:val="0"/>
          <w:szCs w:val="21"/>
        </w:rPr>
        <w:t>。</w:t>
      </w:r>
    </w:p>
    <w:p w:rsidR="00F57BEF" w:rsidRPr="00B46892" w14:paraId="7E20EFA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2</w:t>
      </w:r>
      <w:r w:rsidRPr="00B46892">
        <w:rPr>
          <w:rFonts w:ascii="黑体" w:eastAsia="黑体" w:hAnsi="黑体" w:cs="黑体" w:hint="eastAsia"/>
          <w:kern w:val="0"/>
          <w:szCs w:val="21"/>
        </w:rPr>
        <w:t>、除法律法规</w:t>
      </w:r>
      <w:r w:rsidRPr="00B46892">
        <w:rPr>
          <w:rFonts w:ascii="黑体" w:eastAsia="黑体" w:hAnsi="黑体" w:cs="黑体"/>
          <w:kern w:val="0"/>
          <w:szCs w:val="21"/>
        </w:rPr>
        <w:t>特别要求外，投资者应缴纳的</w:t>
      </w:r>
      <w:r w:rsidRPr="00B46892">
        <w:rPr>
          <w:rFonts w:ascii="黑体" w:eastAsia="黑体" w:hAnsi="黑体" w:cs="黑体" w:hint="eastAsia"/>
          <w:kern w:val="0"/>
          <w:szCs w:val="21"/>
        </w:rPr>
        <w:t>税费</w:t>
      </w:r>
      <w:r w:rsidRPr="00B46892">
        <w:rPr>
          <w:rFonts w:ascii="黑体" w:eastAsia="黑体" w:hAnsi="黑体" w:cs="黑体"/>
          <w:kern w:val="0"/>
          <w:szCs w:val="21"/>
        </w:rPr>
        <w:t>由投资者</w:t>
      </w:r>
      <w:r w:rsidRPr="00B46892">
        <w:rPr>
          <w:rFonts w:ascii="黑体" w:eastAsia="黑体" w:hAnsi="黑体" w:cs="黑体" w:hint="eastAsia"/>
          <w:kern w:val="0"/>
          <w:szCs w:val="21"/>
        </w:rPr>
        <w:t>自行缴纳</w:t>
      </w:r>
      <w:r w:rsidRPr="00B46892">
        <w:rPr>
          <w:rFonts w:ascii="黑体" w:eastAsia="黑体" w:hAnsi="黑体" w:cs="黑体"/>
          <w:kern w:val="0"/>
          <w:szCs w:val="21"/>
        </w:rPr>
        <w:t>，</w:t>
      </w:r>
      <w:r w:rsidRPr="00B46892">
        <w:rPr>
          <w:rFonts w:ascii="黑体" w:eastAsia="黑体" w:hAnsi="黑体" w:cs="黑体" w:hint="eastAsia"/>
          <w:kern w:val="0"/>
          <w:szCs w:val="21"/>
        </w:rPr>
        <w:t>产品管理人</w:t>
      </w:r>
      <w:r w:rsidRPr="00B46892">
        <w:rPr>
          <w:rFonts w:ascii="黑体" w:eastAsia="黑体" w:hAnsi="黑体" w:cs="黑体"/>
          <w:kern w:val="0"/>
          <w:szCs w:val="21"/>
        </w:rPr>
        <w:t>不承担代扣代缴或纳税的义务。</w:t>
      </w:r>
    </w:p>
    <w:p w:rsidR="00F57BEF" w:rsidRPr="00B46892" w14:paraId="50968C3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3</w:t>
      </w:r>
      <w:r w:rsidRPr="00B46892">
        <w:rPr>
          <w:rFonts w:ascii="黑体" w:eastAsia="黑体" w:hAnsi="黑体" w:cs="黑体" w:hint="eastAsia"/>
          <w:kern w:val="0"/>
          <w:szCs w:val="21"/>
        </w:rPr>
        <w:t>、后续国家法律法规如对相关税收政策进行调整，产品管理人有权根据税收政策相应调整理财产品运营过程中发生的税费计算及</w:t>
      </w:r>
      <w:r w:rsidRPr="00B46892">
        <w:rPr>
          <w:rFonts w:ascii="黑体" w:eastAsia="黑体" w:hAnsi="黑体" w:cs="黑体"/>
          <w:kern w:val="0"/>
          <w:szCs w:val="21"/>
        </w:rPr>
        <w:t>缴纳</w:t>
      </w:r>
      <w:r w:rsidRPr="00B46892">
        <w:rPr>
          <w:rFonts w:ascii="黑体" w:eastAsia="黑体" w:hAnsi="黑体" w:cs="黑体" w:hint="eastAsia"/>
          <w:kern w:val="0"/>
          <w:szCs w:val="21"/>
        </w:rPr>
        <w:t>方式。</w:t>
      </w:r>
    </w:p>
    <w:p w:rsidR="00F57BEF" w:rsidRPr="00B46892" w14:paraId="3A8F17BE" w14:textId="77777777">
      <w:pPr>
        <w:autoSpaceDE w:val="0"/>
        <w:autoSpaceDN w:val="0"/>
        <w:adjustRightInd w:val="0"/>
        <w:ind w:firstLine="496" w:firstLineChars="236"/>
        <w:jc w:val="left"/>
        <w:rPr>
          <w:rFonts w:ascii="黑体" w:eastAsia="黑体" w:hAnsi="黑体" w:cs="黑体" w:hint="eastAsia"/>
          <w:kern w:val="0"/>
          <w:szCs w:val="21"/>
        </w:rPr>
      </w:pPr>
    </w:p>
    <w:p w:rsidR="00F57BEF" w:rsidRPr="00B46892" w14:paraId="1E8E991C"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七、理财产品到期与终止</w:t>
      </w:r>
    </w:p>
    <w:p w:rsidR="00F57BEF" w:rsidRPr="00B46892" w14:paraId="5F948CC7"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1</w:t>
      </w:r>
      <w:r w:rsidRPr="00B46892">
        <w:rPr>
          <w:rFonts w:ascii="黑体" w:eastAsia="黑体" w:hAnsi="黑体" w:cs="黑体" w:hint="eastAsia"/>
          <w:b/>
          <w:kern w:val="0"/>
          <w:szCs w:val="21"/>
        </w:rPr>
        <w:t>、正常兑付</w:t>
      </w:r>
    </w:p>
    <w:p w:rsidR="00F57BEF" w:rsidRPr="00B46892" w14:paraId="60E9A4AE" w14:textId="7B5E5140">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投资者持有产品</w:t>
      </w:r>
      <w:r w:rsidRPr="00B46892">
        <w:rPr>
          <w:rFonts w:ascii="黑体" w:eastAsia="黑体" w:hAnsi="黑体" w:cs="黑体" w:hint="eastAsia"/>
          <w:b/>
          <w:kern w:val="0"/>
          <w:szCs w:val="21"/>
        </w:rPr>
        <w:t>至产品</w:t>
      </w:r>
      <w:r w:rsidRPr="00B46892">
        <w:rPr>
          <w:rFonts w:ascii="黑体" w:eastAsia="黑体" w:hAnsi="黑体" w:cs="黑体" w:hint="eastAsia"/>
          <w:b/>
          <w:kern w:val="0"/>
          <w:szCs w:val="21"/>
        </w:rPr>
        <w:t>到期日，投资者的理财产品投资本金（如有）和收益（如有）在产品到期后一次性支付。投资者理财产品投资本金（如有）和收益（如有）将于产品到期日后</w:t>
      </w:r>
      <w:r w:rsidRPr="00B46892" w:rsidR="00276FEB">
        <w:rPr>
          <w:rFonts w:ascii="黑体" w:eastAsia="黑体" w:hAnsi="黑体" w:cs="黑体" w:hint="eastAsia"/>
          <w:b/>
          <w:kern w:val="0"/>
          <w:szCs w:val="21"/>
        </w:rPr>
        <w:t>3个</w:t>
      </w:r>
      <w:r w:rsidRPr="00B46892">
        <w:rPr>
          <w:rFonts w:ascii="黑体" w:eastAsia="黑体" w:hAnsi="黑体" w:cs="黑体" w:hint="eastAsia"/>
          <w:b/>
          <w:kern w:val="0"/>
          <w:szCs w:val="21"/>
        </w:rPr>
        <w:t>工作日内划转至投资者指定账户，如遇法定节假日或公休日则顺延。产品到期日至资金实际到账日之间，投资者资金不计息。</w:t>
      </w:r>
    </w:p>
    <w:p w:rsidR="00F57BEF" w:rsidRPr="00B46892" w14:paraId="7E5F80BF" w14:textId="77777777">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b/>
          <w:kern w:val="0"/>
          <w:szCs w:val="21"/>
        </w:rPr>
        <w:t>2、提前终止</w:t>
      </w:r>
    </w:p>
    <w:p w:rsidR="00BC2ED8" w:rsidRPr="00B46892" w:rsidP="00BC2ED8" w14:paraId="30DB21EA" w14:textId="44CABD71">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本产品单一份额如遇存续规模大幅下降、存续份额低于1000万等情况，或产品管理人认为影响份额运作需要提前终止的其他情况</w:t>
      </w:r>
      <w:r w:rsidRPr="00B46892">
        <w:rPr>
          <w:rFonts w:ascii="黑体" w:eastAsia="黑体" w:hAnsi="黑体" w:cs="黑体" w:hint="eastAsia"/>
          <w:b/>
          <w:kern w:val="0"/>
          <w:szCs w:val="21"/>
        </w:rPr>
        <w:t>，管理人有权根据产品实际运作情况对该份额进行终止，不晚于终止日当日以投资者可接收的方式对终止运作的份额持有人下发终止告知函，并在终止日后5个工作日内以投资者可接收的方式对终止运作的份额持有人下发终止公告，相关兑付安排规则将在终止公告中披露，前述份额终止情形不影响本文件其他条款的有效性。</w:t>
      </w:r>
    </w:p>
    <w:p w:rsidR="00F57BEF" w:rsidRPr="00B46892" w14:paraId="61B0D1AB" w14:textId="30D2703E">
      <w:pPr>
        <w:autoSpaceDE w:val="0"/>
        <w:autoSpaceDN w:val="0"/>
        <w:adjustRightInd w:val="0"/>
        <w:ind w:firstLine="420" w:firstLineChars="200"/>
        <w:jc w:val="left"/>
        <w:rPr>
          <w:rFonts w:ascii="黑体" w:eastAsia="黑体" w:hAnsi="黑体" w:cs="黑体" w:hint="eastAsia"/>
          <w:b/>
          <w:kern w:val="0"/>
          <w:szCs w:val="21"/>
        </w:rPr>
      </w:pPr>
      <w:r w:rsidRPr="00B46892">
        <w:rPr>
          <w:rFonts w:ascii="黑体" w:eastAsia="黑体" w:hAnsi="黑体" w:cs="黑体" w:hint="eastAsia"/>
          <w:b/>
          <w:kern w:val="0"/>
          <w:szCs w:val="21"/>
        </w:rPr>
        <w:t>在本产品存续期内，如</w:t>
      </w:r>
      <w:r w:rsidRPr="00B46892">
        <w:rPr>
          <w:rFonts w:ascii="黑体" w:eastAsia="黑体" w:hAnsi="黑体" w:cs="黑体" w:hint="eastAsia"/>
          <w:b/>
          <w:kern w:val="0"/>
          <w:szCs w:val="21"/>
        </w:rPr>
        <w:t>遇包括</w:t>
      </w:r>
      <w:r w:rsidRPr="00B46892">
        <w:rPr>
          <w:rFonts w:ascii="黑体" w:eastAsia="黑体" w:hAnsi="黑体" w:cs="黑体" w:hint="eastAsia"/>
          <w:b/>
          <w:kern w:val="0"/>
          <w:szCs w:val="21"/>
        </w:rPr>
        <w:t>但不限于国家金融政策发生重大调整、金融市场发生重大波动、</w:t>
      </w:r>
      <w:r w:rsidRPr="00B46892">
        <w:rPr>
          <w:rFonts w:ascii="黑体" w:eastAsia="黑体" w:hAnsi="黑体" w:cs="黑体"/>
          <w:b/>
          <w:kern w:val="0"/>
          <w:szCs w:val="21"/>
        </w:rPr>
        <w:t>不可抗力</w:t>
      </w:r>
      <w:r w:rsidRPr="00B46892" w:rsidR="00A97048">
        <w:rPr>
          <w:rFonts w:ascii="黑体" w:eastAsia="黑体" w:hAnsi="黑体" w:cs="黑体" w:hint="eastAsia"/>
          <w:b/>
          <w:kern w:val="0"/>
          <w:szCs w:val="21"/>
        </w:rPr>
        <w:t>、产品存续规模低于产品</w:t>
      </w:r>
      <w:r w:rsidRPr="00B46892" w:rsidR="00A97048">
        <w:rPr>
          <w:rFonts w:ascii="黑体" w:eastAsia="黑体" w:hAnsi="黑体" w:cs="黑体" w:hint="eastAsia"/>
          <w:b/>
          <w:kern w:val="0"/>
          <w:szCs w:val="21"/>
        </w:rPr>
        <w:t>最低成立</w:t>
      </w:r>
      <w:r w:rsidRPr="00B46892" w:rsidR="00A97048">
        <w:rPr>
          <w:rFonts w:ascii="黑体" w:eastAsia="黑体" w:hAnsi="黑体" w:cs="黑体" w:hint="eastAsia"/>
          <w:b/>
          <w:kern w:val="0"/>
          <w:szCs w:val="21"/>
        </w:rPr>
        <w:t>规模</w:t>
      </w:r>
      <w:r w:rsidRPr="00B46892">
        <w:rPr>
          <w:rFonts w:ascii="黑体" w:eastAsia="黑体" w:hAnsi="黑体" w:cs="黑体" w:hint="eastAsia"/>
          <w:b/>
          <w:kern w:val="0"/>
          <w:szCs w:val="21"/>
        </w:rPr>
        <w:t>或产品管理人认为</w:t>
      </w:r>
      <w:r w:rsidRPr="00B46892" w:rsidR="006F636A">
        <w:rPr>
          <w:rFonts w:ascii="黑体" w:eastAsia="黑体" w:hAnsi="黑体" w:cs="黑体" w:hint="eastAsia"/>
          <w:b/>
          <w:kern w:val="0"/>
          <w:szCs w:val="21"/>
        </w:rPr>
        <w:t>影响产品运作</w:t>
      </w:r>
      <w:r w:rsidRPr="00B46892">
        <w:rPr>
          <w:rFonts w:ascii="黑体" w:eastAsia="黑体" w:hAnsi="黑体" w:cs="黑体" w:hint="eastAsia"/>
          <w:b/>
          <w:kern w:val="0"/>
          <w:szCs w:val="21"/>
        </w:rPr>
        <w:t>需要提前终止产品的其他情况，产品管理人有权提前终止产品，并至少于提前终止日前</w:t>
      </w:r>
      <w:r w:rsidRPr="00B46892" w:rsidR="00AB6E3C">
        <w:rPr>
          <w:rFonts w:ascii="黑体" w:eastAsia="黑体" w:hAnsi="黑体" w:cs="黑体"/>
          <w:b/>
          <w:kern w:val="0"/>
          <w:szCs w:val="21"/>
        </w:rPr>
        <w:t>3</w:t>
      </w:r>
      <w:r w:rsidRPr="00B46892" w:rsidR="00AB6E3C">
        <w:rPr>
          <w:rFonts w:ascii="黑体" w:eastAsia="黑体" w:hAnsi="黑体" w:cs="黑体" w:hint="eastAsia"/>
          <w:b/>
          <w:kern w:val="0"/>
          <w:szCs w:val="21"/>
        </w:rPr>
        <w:t>个</w:t>
      </w:r>
      <w:r w:rsidRPr="00B46892">
        <w:rPr>
          <w:rFonts w:ascii="黑体" w:eastAsia="黑体" w:hAnsi="黑体" w:cs="黑体" w:hint="eastAsia"/>
          <w:b/>
          <w:kern w:val="0"/>
          <w:szCs w:val="21"/>
        </w:rPr>
        <w:t>工作日进行公告，相关兑付</w:t>
      </w:r>
      <w:r w:rsidRPr="00B46892">
        <w:rPr>
          <w:rFonts w:ascii="黑体" w:eastAsia="黑体" w:hAnsi="黑体" w:cs="黑体"/>
          <w:b/>
          <w:kern w:val="0"/>
          <w:szCs w:val="21"/>
        </w:rPr>
        <w:t>安排规则</w:t>
      </w:r>
      <w:r w:rsidRPr="00B46892">
        <w:rPr>
          <w:rFonts w:ascii="黑体" w:eastAsia="黑体" w:hAnsi="黑体" w:cs="黑体" w:hint="eastAsia"/>
          <w:b/>
          <w:kern w:val="0"/>
          <w:szCs w:val="21"/>
        </w:rPr>
        <w:t>将在</w:t>
      </w:r>
      <w:r w:rsidRPr="00B46892">
        <w:rPr>
          <w:rFonts w:ascii="黑体" w:eastAsia="黑体" w:hAnsi="黑体" w:cs="黑体"/>
          <w:b/>
          <w:kern w:val="0"/>
          <w:szCs w:val="21"/>
        </w:rPr>
        <w:t>公告</w:t>
      </w:r>
      <w:r w:rsidRPr="00B46892">
        <w:rPr>
          <w:rFonts w:ascii="黑体" w:eastAsia="黑体" w:hAnsi="黑体" w:cs="黑体" w:hint="eastAsia"/>
          <w:b/>
          <w:kern w:val="0"/>
          <w:szCs w:val="21"/>
        </w:rPr>
        <w:t>中</w:t>
      </w:r>
      <w:r w:rsidRPr="00B46892">
        <w:rPr>
          <w:rFonts w:ascii="黑体" w:eastAsia="黑体" w:hAnsi="黑体" w:cs="黑体"/>
          <w:b/>
          <w:kern w:val="0"/>
          <w:szCs w:val="21"/>
        </w:rPr>
        <w:t>披露。</w:t>
      </w:r>
    </w:p>
    <w:p w:rsidR="00F57BEF" w:rsidRPr="00C542B4" w14:paraId="576867C9" w14:textId="77777777">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3、其他情况</w:t>
      </w:r>
    </w:p>
    <w:p w:rsidR="00F57BEF" w:rsidRPr="00C542B4" w14:paraId="5B625B9D" w14:textId="1428CC59">
      <w:pPr>
        <w:autoSpaceDE w:val="0"/>
        <w:autoSpaceDN w:val="0"/>
        <w:adjustRightInd w:val="0"/>
        <w:ind w:firstLine="420" w:firstLineChars="200"/>
        <w:jc w:val="left"/>
        <w:rPr>
          <w:rFonts w:ascii="黑体" w:eastAsia="黑体" w:hAnsi="黑体" w:cs="黑体" w:hint="eastAsia"/>
          <w:b/>
          <w:bCs/>
          <w:kern w:val="0"/>
          <w:szCs w:val="21"/>
        </w:rPr>
      </w:pPr>
      <w:r w:rsidRPr="00C542B4">
        <w:rPr>
          <w:rFonts w:ascii="黑体" w:eastAsia="黑体" w:hAnsi="黑体" w:cs="黑体" w:hint="eastAsia"/>
          <w:b/>
          <w:bCs/>
          <w:kern w:val="0"/>
          <w:szCs w:val="21"/>
        </w:rP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w:t>
      </w:r>
      <w:r w:rsidRPr="00C542B4" w:rsidR="00AB6E3C">
        <w:rPr>
          <w:rFonts w:ascii="黑体" w:eastAsia="黑体" w:hAnsi="黑体" w:cs="黑体" w:hint="eastAsia"/>
          <w:b/>
          <w:bCs/>
          <w:kern w:val="0"/>
          <w:szCs w:val="21"/>
        </w:rPr>
        <w:t>2个</w:t>
      </w:r>
      <w:r w:rsidRPr="00C542B4">
        <w:rPr>
          <w:rFonts w:ascii="黑体" w:eastAsia="黑体" w:hAnsi="黑体" w:cs="黑体" w:hint="eastAsia"/>
          <w:b/>
          <w:bCs/>
          <w:kern w:val="0"/>
          <w:szCs w:val="21"/>
        </w:rPr>
        <w:t>工作日内公告兑付方案。</w:t>
      </w:r>
    </w:p>
    <w:p w:rsidR="00F57BEF" w:rsidRPr="00B46892" w14:paraId="67618ED1" w14:textId="77777777">
      <w:pPr>
        <w:autoSpaceDE w:val="0"/>
        <w:autoSpaceDN w:val="0"/>
        <w:adjustRightInd w:val="0"/>
        <w:ind w:firstLine="420" w:firstLineChars="200"/>
        <w:jc w:val="left"/>
        <w:rPr>
          <w:rFonts w:ascii="黑体" w:eastAsia="黑体" w:hAnsi="黑体" w:cs="黑体" w:hint="eastAsia"/>
          <w:kern w:val="0"/>
          <w:szCs w:val="21"/>
        </w:rPr>
      </w:pPr>
    </w:p>
    <w:p w:rsidR="00F57BEF" w:rsidRPr="00B46892" w14:paraId="24B0E0A3" w14:textId="77777777">
      <w:pPr>
        <w:autoSpaceDE w:val="0"/>
        <w:autoSpaceDN w:val="0"/>
        <w:adjustRightInd w:val="0"/>
        <w:jc w:val="left"/>
        <w:rPr>
          <w:rFonts w:ascii="黑体" w:eastAsia="黑体" w:hAnsi="黑体" w:cs="宋体" w:hint="eastAsia"/>
          <w:b/>
          <w:kern w:val="0"/>
          <w:szCs w:val="21"/>
        </w:rPr>
      </w:pPr>
      <w:r w:rsidRPr="00B46892">
        <w:rPr>
          <w:rFonts w:ascii="黑体" w:eastAsia="黑体" w:hAnsi="黑体" w:cs="宋体" w:hint="eastAsia"/>
          <w:b/>
          <w:kern w:val="0"/>
          <w:szCs w:val="21"/>
        </w:rPr>
        <w:t>八、托管机构和销售机构</w:t>
      </w:r>
    </w:p>
    <w:p w:rsidR="00F57BEF" w:rsidRPr="00B46892" w14:paraId="30A69898" w14:textId="77777777">
      <w:pPr>
        <w:autoSpaceDE w:val="0"/>
        <w:autoSpaceDN w:val="0"/>
        <w:adjustRightInd w:val="0"/>
        <w:jc w:val="left"/>
        <w:rPr>
          <w:rFonts w:ascii="黑体" w:eastAsia="黑体" w:hAnsi="黑体" w:cs="宋体" w:hint="eastAsia"/>
          <w:bCs/>
          <w:kern w:val="0"/>
          <w:szCs w:val="21"/>
        </w:rPr>
      </w:pPr>
      <w:r w:rsidRPr="00B46892">
        <w:rPr>
          <w:rFonts w:ascii="黑体" w:eastAsia="黑体" w:hAnsi="黑体" w:cs="宋体" w:hint="eastAsia"/>
          <w:bCs/>
          <w:kern w:val="0"/>
          <w:szCs w:val="21"/>
        </w:rPr>
        <w:t>（一）托管机构基本信息</w:t>
      </w:r>
    </w:p>
    <w:p w:rsidR="002D2644" w:rsidRPr="00B46892" w:rsidP="00CA561C" w14:paraId="7D861ABC" w14:textId="7C34334B">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1、机构名称：宁波银行股份有限公司</w:t>
      </w:r>
    </w:p>
    <w:p w:rsidR="002D2644" w:rsidRPr="00B46892" w:rsidP="00CA561C" w14:paraId="1CBC9F2D"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 xml:space="preserve">   客服热线：95574</w:t>
      </w:r>
    </w:p>
    <w:p w:rsidR="002D2644" w:rsidRPr="00B46892" w:rsidP="00CA561C" w14:paraId="0B334503" w14:textId="77777777">
      <w:pPr>
        <w:autoSpaceDE w:val="0"/>
        <w:autoSpaceDN w:val="0"/>
        <w:adjustRightInd w:val="0"/>
        <w:ind w:firstLine="420" w:firstLineChars="200"/>
        <w:jc w:val="left"/>
        <w:rPr>
          <w:rFonts w:ascii="Calibri" w:eastAsia="黑体" w:hAnsi="Calibri" w:cs="Calibri"/>
          <w:kern w:val="0"/>
          <w:szCs w:val="21"/>
        </w:rPr>
      </w:pPr>
      <w:r w:rsidRPr="00B46892">
        <w:rPr>
          <w:rFonts w:ascii="黑体" w:eastAsia="黑体" w:hAnsi="黑体" w:cs="宋体" w:hint="eastAsia"/>
          <w:kern w:val="0"/>
          <w:szCs w:val="21"/>
        </w:rPr>
        <w:t xml:space="preserve">   官方网站：www.nbcb.com.cn</w:t>
      </w:r>
    </w:p>
    <w:p w:rsidR="00F57BEF" w:rsidRPr="00B46892" w14:paraId="5230EC52" w14:textId="77777777">
      <w:pPr>
        <w:autoSpaceDE w:val="0"/>
        <w:autoSpaceDN w:val="0"/>
        <w:adjustRightInd w:val="0"/>
        <w:ind w:firstLine="420" w:firstLineChars="200"/>
        <w:jc w:val="left"/>
        <w:rPr>
          <w:rFonts w:ascii="黑体" w:eastAsia="黑体" w:hAnsi="黑体" w:cs="宋体" w:hint="eastAsia"/>
          <w:bCs/>
          <w:kern w:val="0"/>
          <w:szCs w:val="21"/>
        </w:rPr>
      </w:pPr>
      <w:r w:rsidRPr="00B46892">
        <w:rPr>
          <w:rFonts w:ascii="黑体" w:eastAsia="黑体" w:hAnsi="黑体" w:cs="宋体" w:hint="eastAsia"/>
          <w:bCs/>
          <w:kern w:val="0"/>
          <w:szCs w:val="21"/>
        </w:rPr>
        <w:t>托管机构主要职责：</w:t>
      </w:r>
    </w:p>
    <w:p w:rsidR="00F57BEF" w:rsidRPr="00B46892" w14:paraId="39E6D73D"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1、安全托管理财资金及其所投资的资产或保管代表资产的权益凭证或财产清单；</w:t>
      </w:r>
    </w:p>
    <w:p w:rsidR="00F57BEF" w:rsidRPr="00B46892" w14:paraId="67DC03A4"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2、为本产品开设独立的托管账户，不同托管账户中的资产应当相互独立；</w:t>
      </w:r>
    </w:p>
    <w:p w:rsidR="00F57BEF" w:rsidRPr="00B46892" w14:paraId="7E84AB87"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3、按照托管协议约定和产品管理人的投资指令，及时办理清算、交割事宜；</w:t>
      </w:r>
    </w:p>
    <w:p w:rsidR="00F57BEF" w:rsidRPr="00B46892" w14:paraId="42B54B0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4、记录理财资金划拨情况，保存产品管理人的资金用途说明；</w:t>
      </w:r>
    </w:p>
    <w:p w:rsidR="00F57BEF" w:rsidRPr="00B46892" w14:paraId="400C6ED0"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5、负责本产品财产的会计核算；</w:t>
      </w:r>
    </w:p>
    <w:p w:rsidR="00F57BEF" w:rsidRPr="00B46892" w14:paraId="3803F38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6、建立与产品管理人的对账机制，核对本产品财产交易记录、资金和财产账目、资产净值等数据；</w:t>
      </w:r>
    </w:p>
    <w:p w:rsidR="00F57BEF" w:rsidRPr="00B46892" w14:paraId="0AA29DA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7</w:t>
      </w:r>
      <w:r w:rsidRPr="00B46892">
        <w:rPr>
          <w:rFonts w:ascii="黑体" w:eastAsia="黑体" w:hAnsi="黑体" w:cs="黑体" w:hint="eastAsia"/>
          <w:kern w:val="0"/>
          <w:szCs w:val="21"/>
        </w:rPr>
        <w:t>、监督本产品投资运作；</w:t>
      </w:r>
    </w:p>
    <w:p w:rsidR="00F57BEF" w:rsidRPr="00B46892" w14:paraId="1B878D3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8</w:t>
      </w:r>
      <w:r w:rsidRPr="00B46892">
        <w:rPr>
          <w:rFonts w:ascii="黑体" w:eastAsia="黑体" w:hAnsi="黑体" w:cs="黑体" w:hint="eastAsia"/>
          <w:kern w:val="0"/>
          <w:szCs w:val="21"/>
        </w:rPr>
        <w:t>、办理与本产品托管业务活动相关的信息披露事项；</w:t>
      </w:r>
    </w:p>
    <w:p w:rsidR="00F57BEF" w:rsidRPr="00B46892" w14:paraId="3A41B752"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9</w:t>
      </w:r>
      <w:r w:rsidRPr="00B46892">
        <w:rPr>
          <w:rFonts w:ascii="黑体" w:eastAsia="黑体" w:hAnsi="黑体" w:cs="黑体" w:hint="eastAsia"/>
          <w:kern w:val="0"/>
          <w:szCs w:val="21"/>
        </w:rPr>
        <w:t>、将本产</w:t>
      </w:r>
      <w:r w:rsidRPr="00B46892">
        <w:rPr>
          <w:rFonts w:ascii="黑体" w:eastAsia="黑体" w:hAnsi="黑体" w:cs="黑体"/>
          <w:kern w:val="0"/>
          <w:szCs w:val="21"/>
        </w:rPr>
        <w:t>品</w:t>
      </w:r>
      <w:r w:rsidRPr="00B46892">
        <w:rPr>
          <w:rFonts w:ascii="黑体" w:eastAsia="黑体" w:hAnsi="黑体" w:cs="黑体" w:hint="eastAsia"/>
          <w:kern w:val="0"/>
          <w:szCs w:val="21"/>
        </w:rPr>
        <w:t>托管业务活动的记录、账册、报表和其他相关资料保存15年以上；</w:t>
      </w:r>
    </w:p>
    <w:p w:rsidR="00F57BEF" w:rsidRPr="00B46892" w14:paraId="0622A90C"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10</w:t>
      </w:r>
      <w:r w:rsidRPr="00B46892">
        <w:rPr>
          <w:rFonts w:ascii="黑体" w:eastAsia="黑体" w:hAnsi="黑体" w:cs="黑体" w:hint="eastAsia"/>
          <w:kern w:val="0"/>
          <w:szCs w:val="21"/>
        </w:rPr>
        <w:t>、对本产品投资信息和相关资料承担保密责任，除法律、行政法规、规章规定、审计要求或者合同约定外，不得向任何机构或者个人提供相关信息和资料；</w:t>
      </w:r>
    </w:p>
    <w:p w:rsidR="00F57BEF" w:rsidRPr="00B46892" w14:paraId="7ABBE62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kern w:val="0"/>
          <w:szCs w:val="21"/>
        </w:rPr>
        <w:t>11</w:t>
      </w:r>
      <w:r w:rsidRPr="00B46892">
        <w:rPr>
          <w:rFonts w:ascii="黑体" w:eastAsia="黑体" w:hAnsi="黑体" w:cs="黑体" w:hint="eastAsia"/>
          <w:kern w:val="0"/>
          <w:szCs w:val="21"/>
        </w:rPr>
        <w:t>、每季度向产品管理人出具本产品的托管业务报告；</w:t>
      </w:r>
    </w:p>
    <w:p w:rsidR="00F57BEF" w:rsidRPr="00B46892" w14:paraId="157A7517"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w:t>
      </w:r>
      <w:r w:rsidRPr="00B46892">
        <w:rPr>
          <w:rFonts w:ascii="黑体" w:eastAsia="黑体" w:hAnsi="黑体" w:cs="黑体"/>
          <w:kern w:val="0"/>
          <w:szCs w:val="21"/>
        </w:rPr>
        <w:t>2</w:t>
      </w:r>
      <w:r w:rsidRPr="00B46892">
        <w:rPr>
          <w:rFonts w:ascii="黑体" w:eastAsia="黑体" w:hAnsi="黑体" w:cs="黑体" w:hint="eastAsia"/>
          <w:kern w:val="0"/>
          <w:szCs w:val="21"/>
        </w:rPr>
        <w:t>、法律、法规、国务院银行业监督管理机构规定的其他职责。</w:t>
      </w:r>
    </w:p>
    <w:p w:rsidR="00F57BEF" w:rsidRPr="00B46892" w14:paraId="15EAA8EF" w14:textId="77777777">
      <w:pPr>
        <w:autoSpaceDE w:val="0"/>
        <w:autoSpaceDN w:val="0"/>
        <w:adjustRightInd w:val="0"/>
        <w:jc w:val="left"/>
        <w:rPr>
          <w:rFonts w:ascii="黑体" w:eastAsia="黑体" w:hAnsi="黑体" w:cs="宋体" w:hint="eastAsia"/>
          <w:kern w:val="0"/>
          <w:szCs w:val="21"/>
        </w:rPr>
      </w:pPr>
      <w:bookmarkStart w:id="7" w:name="_Hlk33106867"/>
      <w:r w:rsidRPr="00B46892">
        <w:rPr>
          <w:rFonts w:ascii="黑体" w:eastAsia="黑体" w:hAnsi="黑体" w:cs="宋体" w:hint="eastAsia"/>
          <w:kern w:val="0"/>
          <w:szCs w:val="21"/>
        </w:rPr>
        <w:t>（二）销售机构基本信息</w:t>
      </w:r>
    </w:p>
    <w:p w:rsidR="002D2644" w:rsidRPr="00B46892" w:rsidP="00CA561C" w14:paraId="7588E509" w14:textId="3006D4F5">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1、</w:t>
      </w:r>
      <w:r w:rsidR="00AB4940">
        <w:rPr>
          <w:rFonts w:ascii="黑体" w:eastAsia="黑体" w:hAnsi="黑体" w:cs="宋体" w:hint="eastAsia"/>
          <w:kern w:val="0"/>
          <w:szCs w:val="21"/>
        </w:rPr>
        <w:t>机构名称：宁银理财有限责任公司</w:t>
      </w:r>
    </w:p>
    <w:p w:rsidR="002D2644" w:rsidRPr="00B46892" w:rsidP="00CA561C" w14:paraId="1FC780E2" w14:textId="26CA6532">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 xml:space="preserve">   客服热线：</w:t>
      </w:r>
      <w:r w:rsidR="00AB4940">
        <w:rPr>
          <w:rFonts w:ascii="黑体" w:eastAsia="黑体" w:hAnsi="黑体" w:cs="宋体"/>
          <w:kern w:val="0"/>
          <w:szCs w:val="21"/>
        </w:rPr>
        <w:t>400-099-5574</w:t>
      </w:r>
    </w:p>
    <w:p w:rsidR="002D2644" w:rsidRPr="00B46892" w:rsidP="00CA561C" w14:paraId="43A82642" w14:textId="56A95750">
      <w:pPr>
        <w:autoSpaceDE w:val="0"/>
        <w:autoSpaceDN w:val="0"/>
        <w:adjustRightInd w:val="0"/>
        <w:ind w:firstLine="420" w:firstLineChars="200"/>
        <w:jc w:val="left"/>
        <w:rPr>
          <w:rFonts w:ascii="Calibri" w:eastAsia="黑体" w:hAnsi="Calibri" w:cs="Calibri"/>
          <w:kern w:val="0"/>
          <w:szCs w:val="21"/>
        </w:rPr>
      </w:pPr>
      <w:r w:rsidRPr="00B46892">
        <w:rPr>
          <w:rFonts w:ascii="黑体" w:eastAsia="黑体" w:hAnsi="黑体" w:cs="宋体" w:hint="eastAsia"/>
          <w:kern w:val="0"/>
          <w:szCs w:val="21"/>
        </w:rPr>
        <w:t xml:space="preserve">   官方网站：</w:t>
      </w:r>
      <w:r w:rsidRPr="000E7BD9" w:rsidR="00AB4940">
        <w:rPr>
          <w:rFonts w:ascii="黑体" w:eastAsia="黑体" w:hAnsi="黑体" w:cs="宋体"/>
          <w:kern w:val="0"/>
          <w:szCs w:val="21"/>
        </w:rPr>
        <w:t>www.wmbnb.com</w:t>
      </w:r>
    </w:p>
    <w:p w:rsidR="00B15B31" w:rsidRPr="00D6055C" w:rsidP="00B15B31" w14:paraId="607A4588" w14:textId="5F530434">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kern w:val="0"/>
          <w:szCs w:val="21"/>
        </w:rPr>
        <w:t>2</w:t>
      </w:r>
      <w:r w:rsidRPr="00FD2A7F">
        <w:rPr>
          <w:rFonts w:ascii="黑体" w:eastAsia="黑体" w:hAnsi="黑体" w:cs="宋体" w:hint="eastAsia"/>
          <w:kern w:val="0"/>
          <w:szCs w:val="21"/>
        </w:rPr>
        <w:t>、</w:t>
      </w:r>
      <w:r w:rsidRPr="00D6055C">
        <w:rPr>
          <w:rFonts w:ascii="黑体" w:eastAsia="黑体" w:hAnsi="黑体" w:cs="宋体" w:hint="eastAsia"/>
          <w:kern w:val="0"/>
          <w:szCs w:val="21"/>
        </w:rPr>
        <w:t>机构</w:t>
      </w:r>
      <w:r w:rsidRPr="00FD2A7F">
        <w:rPr>
          <w:rFonts w:ascii="黑体" w:eastAsia="黑体" w:hAnsi="黑体" w:cs="宋体" w:hint="eastAsia"/>
          <w:kern w:val="0"/>
          <w:szCs w:val="21"/>
        </w:rPr>
        <w:t>名称：九江银行股份有限公司</w:t>
      </w:r>
    </w:p>
    <w:p w:rsidR="00B15B31" w:rsidRPr="00FD2A7F" w:rsidP="00B15B31" w14:paraId="4DCA5157" w14:textId="77777777">
      <w:pPr>
        <w:autoSpaceDE w:val="0"/>
        <w:autoSpaceDN w:val="0"/>
        <w:adjustRightInd w:val="0"/>
        <w:ind w:firstLine="420" w:firstLineChars="200"/>
        <w:jc w:val="left"/>
        <w:rPr>
          <w:rFonts w:ascii="黑体" w:eastAsia="黑体" w:hAnsi="黑体" w:cs="宋体" w:hint="eastAsia"/>
          <w:kern w:val="0"/>
          <w:szCs w:val="21"/>
        </w:rPr>
      </w:pPr>
      <w:r w:rsidRPr="00FD2A7F">
        <w:rPr>
          <w:rFonts w:ascii="黑体" w:eastAsia="黑体" w:hAnsi="黑体" w:cs="宋体" w:hint="eastAsia"/>
          <w:kern w:val="0"/>
          <w:szCs w:val="21"/>
        </w:rPr>
        <w:t xml:space="preserve">   客服热线：95</w:t>
      </w:r>
      <w:r w:rsidRPr="00FD2A7F">
        <w:rPr>
          <w:rFonts w:ascii="黑体" w:eastAsia="黑体" w:hAnsi="黑体" w:cs="宋体"/>
          <w:kern w:val="0"/>
          <w:szCs w:val="21"/>
        </w:rPr>
        <w:t>316</w:t>
      </w:r>
    </w:p>
    <w:p w:rsidR="00B15B31" w:rsidRPr="00FD2A7F" w:rsidP="00B15B31" w14:paraId="659F55C3" w14:textId="77777777">
      <w:pPr>
        <w:autoSpaceDE w:val="0"/>
        <w:autoSpaceDN w:val="0"/>
        <w:adjustRightInd w:val="0"/>
        <w:ind w:firstLine="420" w:firstLineChars="200"/>
        <w:jc w:val="left"/>
        <w:rPr>
          <w:rFonts w:ascii="黑体" w:eastAsia="黑体" w:hAnsi="黑体" w:cs="宋体" w:hint="eastAsia"/>
          <w:kern w:val="0"/>
          <w:szCs w:val="21"/>
        </w:rPr>
      </w:pPr>
      <w:r w:rsidRPr="00FD2A7F">
        <w:rPr>
          <w:rFonts w:ascii="黑体" w:eastAsia="黑体" w:hAnsi="黑体" w:cs="宋体" w:hint="eastAsia"/>
          <w:kern w:val="0"/>
          <w:szCs w:val="21"/>
        </w:rPr>
        <w:t xml:space="preserve">   官方网站：</w:t>
      </w:r>
      <w:r w:rsidRPr="00FD2A7F">
        <w:rPr>
          <w:rFonts w:ascii="黑体" w:eastAsia="黑体" w:hAnsi="黑体" w:cs="宋体"/>
          <w:kern w:val="0"/>
          <w:szCs w:val="21"/>
        </w:rPr>
        <w:t>www.jjccb.com</w:t>
      </w:r>
    </w:p>
    <w:p w:rsidR="00B15B31" w:rsidRPr="00FD2A7F" w:rsidP="00B15B31" w14:paraId="4FB9CE6B" w14:textId="6BE60666">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kern w:val="0"/>
          <w:szCs w:val="21"/>
        </w:rPr>
        <w:t>3</w:t>
      </w:r>
      <w:r w:rsidRPr="00FD2A7F">
        <w:rPr>
          <w:rFonts w:ascii="黑体" w:eastAsia="黑体" w:hAnsi="黑体" w:cs="宋体" w:hint="eastAsia"/>
          <w:kern w:val="0"/>
          <w:szCs w:val="21"/>
        </w:rPr>
        <w:t>、机构名称：宁波银行股份有限公司</w:t>
      </w:r>
    </w:p>
    <w:p w:rsidR="00B15B31" w:rsidRPr="00FD2A7F" w:rsidP="00B15B31" w14:paraId="2630CA2C" w14:textId="77777777">
      <w:pPr>
        <w:autoSpaceDE w:val="0"/>
        <w:autoSpaceDN w:val="0"/>
        <w:adjustRightInd w:val="0"/>
        <w:ind w:firstLine="420" w:firstLineChars="200"/>
        <w:jc w:val="left"/>
        <w:rPr>
          <w:rFonts w:ascii="黑体" w:eastAsia="黑体" w:hAnsi="黑体" w:cs="宋体" w:hint="eastAsia"/>
          <w:kern w:val="0"/>
          <w:szCs w:val="21"/>
        </w:rPr>
      </w:pPr>
      <w:r w:rsidRPr="00FD2A7F">
        <w:rPr>
          <w:rFonts w:ascii="黑体" w:eastAsia="黑体" w:hAnsi="黑体" w:cs="宋体" w:hint="eastAsia"/>
          <w:kern w:val="0"/>
          <w:szCs w:val="21"/>
        </w:rPr>
        <w:t xml:space="preserve">   客服热线：95574</w:t>
      </w:r>
    </w:p>
    <w:p w:rsidR="00B15B31" w:rsidRPr="00FD2A7F" w:rsidP="00B15B31" w14:paraId="38C8B1A8" w14:textId="77777777">
      <w:pPr>
        <w:autoSpaceDE w:val="0"/>
        <w:autoSpaceDN w:val="0"/>
        <w:adjustRightInd w:val="0"/>
        <w:ind w:firstLine="420" w:firstLineChars="200"/>
        <w:jc w:val="left"/>
        <w:rPr>
          <w:rFonts w:ascii="Calibri" w:eastAsia="黑体" w:hAnsi="Calibri" w:cs="Calibri"/>
          <w:kern w:val="0"/>
          <w:szCs w:val="21"/>
        </w:rPr>
      </w:pPr>
      <w:r w:rsidRPr="00FD2A7F">
        <w:rPr>
          <w:rFonts w:ascii="黑体" w:eastAsia="黑体" w:hAnsi="黑体" w:cs="宋体" w:hint="eastAsia"/>
          <w:kern w:val="0"/>
          <w:szCs w:val="21"/>
        </w:rPr>
        <w:t xml:space="preserve">   官方网站：www.nbcb.com.cn</w:t>
      </w:r>
    </w:p>
    <w:p w:rsidR="00B15B31" w:rsidRPr="00231AA6" w:rsidP="00B15B31" w14:paraId="0D9C8D77" w14:textId="113C42DE">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kern w:val="0"/>
          <w:szCs w:val="21"/>
        </w:rPr>
        <w:t>4</w:t>
      </w:r>
      <w:r w:rsidRPr="00231AA6">
        <w:rPr>
          <w:rFonts w:ascii="黑体" w:eastAsia="黑体" w:hAnsi="黑体" w:cs="宋体" w:hint="eastAsia"/>
          <w:kern w:val="0"/>
          <w:szCs w:val="21"/>
        </w:rPr>
        <w:t>、机构名称：</w:t>
      </w:r>
      <w:r w:rsidRPr="002244DC">
        <w:rPr>
          <w:rFonts w:ascii="黑体" w:eastAsia="黑体" w:hAnsi="黑体" w:cs="宋体" w:hint="eastAsia"/>
          <w:kern w:val="0"/>
          <w:szCs w:val="21"/>
        </w:rPr>
        <w:t>苏州银行股份有限公司</w:t>
      </w:r>
    </w:p>
    <w:p w:rsidR="00B15B31" w:rsidRPr="00231AA6" w:rsidP="00B15B31" w14:paraId="49EBD004" w14:textId="77777777">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Pr>
          <w:rFonts w:ascii="黑体" w:eastAsia="黑体" w:hAnsi="黑体" w:cs="宋体"/>
          <w:kern w:val="0"/>
          <w:szCs w:val="21"/>
        </w:rPr>
        <w:t>96067</w:t>
      </w:r>
    </w:p>
    <w:p w:rsidR="00B15B31" w:rsidRPr="00B15B31" w14:paraId="34AAA371" w14:textId="4FDDF5F2">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2244DC">
        <w:t>www.suzhoubank.com</w:t>
      </w:r>
    </w:p>
    <w:p w:rsidR="008938BB" w:rsidRPr="00CA561C" w:rsidP="008938BB" w14:paraId="2CB5F381" w14:textId="0680AF66">
      <w:pPr>
        <w:autoSpaceDE w:val="0"/>
        <w:autoSpaceDN w:val="0"/>
        <w:adjustRightInd w:val="0"/>
        <w:ind w:firstLine="420" w:firstLineChars="200"/>
        <w:jc w:val="left"/>
        <w:rPr>
          <w:rFonts w:ascii="黑体" w:hAnsi="黑体" w:hint="eastAsia"/>
          <w:kern w:val="0"/>
        </w:rPr>
      </w:pPr>
      <w:r>
        <w:rPr>
          <w:rFonts w:ascii="黑体" w:eastAsia="黑体" w:hAnsi="黑体" w:cs="宋体"/>
          <w:kern w:val="0"/>
          <w:szCs w:val="21"/>
        </w:rPr>
        <w:t>5</w:t>
      </w:r>
      <w:r w:rsidRPr="00FD2A7F">
        <w:rPr>
          <w:rFonts w:ascii="黑体" w:eastAsia="黑体" w:hAnsi="黑体" w:cs="宋体" w:hint="eastAsia"/>
          <w:kern w:val="0"/>
          <w:szCs w:val="21"/>
        </w:rPr>
        <w:t>、</w:t>
      </w:r>
      <w:r w:rsidRPr="00CA561C">
        <w:rPr>
          <w:rFonts w:ascii="黑体" w:hAnsi="黑体" w:hint="eastAsia"/>
          <w:kern w:val="0"/>
        </w:rPr>
        <w:t>机构</w:t>
      </w:r>
      <w:r w:rsidRPr="00FD2A7F">
        <w:rPr>
          <w:rFonts w:ascii="黑体" w:eastAsia="黑体" w:hAnsi="黑体" w:cs="宋体" w:hint="eastAsia"/>
          <w:kern w:val="0"/>
          <w:szCs w:val="21"/>
        </w:rPr>
        <w:t>名称：</w:t>
      </w:r>
      <w:r>
        <w:rPr>
          <w:rFonts w:ascii="黑体" w:eastAsia="黑体" w:hAnsi="黑体" w:cs="宋体" w:hint="eastAsia"/>
          <w:kern w:val="0"/>
          <w:szCs w:val="21"/>
        </w:rPr>
        <w:t>上海银行股份有限公司</w:t>
      </w:r>
    </w:p>
    <w:p w:rsidR="008938BB" w:rsidRPr="00FD2A7F" w:rsidP="008938BB" w14:paraId="5B4B5D93" w14:textId="20F8FA5C">
      <w:pPr>
        <w:autoSpaceDE w:val="0"/>
        <w:autoSpaceDN w:val="0"/>
        <w:adjustRightInd w:val="0"/>
        <w:ind w:firstLine="420" w:firstLineChars="200"/>
        <w:jc w:val="left"/>
        <w:rPr>
          <w:rFonts w:ascii="黑体" w:eastAsia="黑体" w:hAnsi="黑体" w:cs="宋体" w:hint="eastAsia"/>
          <w:kern w:val="0"/>
          <w:szCs w:val="21"/>
        </w:rPr>
      </w:pPr>
      <w:r w:rsidRPr="00FD2A7F">
        <w:rPr>
          <w:rFonts w:ascii="黑体" w:eastAsia="黑体" w:hAnsi="黑体" w:cs="宋体" w:hint="eastAsia"/>
          <w:kern w:val="0"/>
          <w:szCs w:val="21"/>
        </w:rPr>
        <w:t xml:space="preserve">   客服热线：</w:t>
      </w:r>
      <w:r w:rsidRPr="00433F94" w:rsidR="00433F94">
        <w:rPr>
          <w:rFonts w:ascii="黑体" w:eastAsia="黑体" w:hAnsi="黑体" w:cs="宋体"/>
          <w:kern w:val="0"/>
          <w:szCs w:val="21"/>
        </w:rPr>
        <w:t>95594</w:t>
      </w:r>
    </w:p>
    <w:p w:rsidR="008938BB" w:rsidRPr="00FD2A7F" w:rsidP="008938BB" w14:paraId="7551B5B4" w14:textId="6815EC17">
      <w:pPr>
        <w:autoSpaceDE w:val="0"/>
        <w:autoSpaceDN w:val="0"/>
        <w:adjustRightInd w:val="0"/>
        <w:ind w:firstLine="420" w:firstLineChars="200"/>
        <w:jc w:val="left"/>
        <w:rPr>
          <w:rFonts w:ascii="黑体" w:eastAsia="黑体" w:hAnsi="黑体" w:cs="宋体" w:hint="eastAsia"/>
          <w:kern w:val="0"/>
          <w:szCs w:val="21"/>
        </w:rPr>
      </w:pPr>
      <w:r w:rsidRPr="00FD2A7F">
        <w:rPr>
          <w:rFonts w:ascii="黑体" w:eastAsia="黑体" w:hAnsi="黑体" w:cs="宋体" w:hint="eastAsia"/>
          <w:kern w:val="0"/>
          <w:szCs w:val="21"/>
        </w:rPr>
        <w:t xml:space="preserve">   官方网站：</w:t>
      </w:r>
      <w:r w:rsidRPr="00433F94" w:rsidR="00433F94">
        <w:rPr>
          <w:rFonts w:ascii="黑体" w:eastAsia="黑体" w:hAnsi="黑体" w:cs="宋体"/>
          <w:kern w:val="0"/>
          <w:szCs w:val="21"/>
        </w:rPr>
        <w:t>www.bosc.cn</w:t>
      </w:r>
    </w:p>
    <w:p w:rsidR="008938BB" w:rsidP="008938BB" w14:paraId="284255A1" w14:textId="096DD5B4">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kern w:val="0"/>
          <w:szCs w:val="21"/>
        </w:rPr>
        <w:t>6</w:t>
      </w:r>
      <w:r w:rsidRPr="00FD2A7F">
        <w:rPr>
          <w:rFonts w:ascii="黑体" w:eastAsia="黑体" w:hAnsi="黑体" w:cs="宋体" w:hint="eastAsia"/>
          <w:kern w:val="0"/>
          <w:szCs w:val="21"/>
        </w:rPr>
        <w:t>、机构名称：</w:t>
      </w:r>
      <w:r w:rsidRPr="00003B2C" w:rsidR="00003B2C">
        <w:rPr>
          <w:rFonts w:ascii="黑体" w:eastAsia="黑体" w:hAnsi="黑体" w:cs="宋体" w:hint="eastAsia"/>
          <w:kern w:val="0"/>
          <w:szCs w:val="21"/>
        </w:rPr>
        <w:t>威海银行股份有限公司</w:t>
      </w:r>
    </w:p>
    <w:p w:rsidR="008938BB" w:rsidRPr="00FD2A7F" w:rsidP="008938BB" w14:paraId="5FFA46E6" w14:textId="60271649">
      <w:pPr>
        <w:autoSpaceDE w:val="0"/>
        <w:autoSpaceDN w:val="0"/>
        <w:adjustRightInd w:val="0"/>
        <w:ind w:firstLine="420" w:firstLineChars="200"/>
        <w:jc w:val="left"/>
        <w:rPr>
          <w:rFonts w:ascii="黑体" w:eastAsia="黑体" w:hAnsi="黑体" w:cs="宋体" w:hint="eastAsia"/>
          <w:kern w:val="0"/>
          <w:szCs w:val="21"/>
        </w:rPr>
      </w:pPr>
      <w:r w:rsidRPr="00FD2A7F">
        <w:rPr>
          <w:rFonts w:ascii="黑体" w:eastAsia="黑体" w:hAnsi="黑体" w:cs="宋体" w:hint="eastAsia"/>
          <w:kern w:val="0"/>
          <w:szCs w:val="21"/>
        </w:rPr>
        <w:t xml:space="preserve">   客服热线：</w:t>
      </w:r>
      <w:r w:rsidRPr="00433F94" w:rsidR="00433F94">
        <w:rPr>
          <w:rFonts w:ascii="黑体" w:eastAsia="黑体" w:hAnsi="黑体" w:cs="宋体"/>
          <w:kern w:val="0"/>
          <w:szCs w:val="21"/>
        </w:rPr>
        <w:t>4000096636</w:t>
      </w:r>
    </w:p>
    <w:p w:rsidR="008938BB" w:rsidRPr="00FD2A7F" w:rsidP="008938BB" w14:paraId="1F7ECDB5" w14:textId="2C80FC0B">
      <w:pPr>
        <w:autoSpaceDE w:val="0"/>
        <w:autoSpaceDN w:val="0"/>
        <w:adjustRightInd w:val="0"/>
        <w:ind w:firstLine="420" w:firstLineChars="200"/>
        <w:jc w:val="left"/>
        <w:rPr>
          <w:rFonts w:ascii="Calibri" w:eastAsia="黑体" w:hAnsi="Calibri" w:cs="Calibri"/>
          <w:kern w:val="0"/>
          <w:szCs w:val="21"/>
        </w:rPr>
      </w:pPr>
      <w:r w:rsidRPr="00FD2A7F">
        <w:rPr>
          <w:rFonts w:ascii="黑体" w:eastAsia="黑体" w:hAnsi="黑体" w:cs="宋体" w:hint="eastAsia"/>
          <w:kern w:val="0"/>
          <w:szCs w:val="21"/>
        </w:rPr>
        <w:t xml:space="preserve">   官方网站：</w:t>
      </w:r>
      <w:r w:rsidRPr="00433F94" w:rsidR="00433F94">
        <w:rPr>
          <w:rFonts w:ascii="黑体" w:eastAsia="黑体" w:hAnsi="黑体" w:cs="宋体"/>
          <w:kern w:val="0"/>
          <w:szCs w:val="21"/>
        </w:rPr>
        <w:t>www.whccb.com</w:t>
      </w:r>
    </w:p>
    <w:p w:rsidR="008938BB" w:rsidP="008938BB" w14:paraId="3C52DD04" w14:textId="77777777">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kern w:val="0"/>
          <w:szCs w:val="21"/>
        </w:rPr>
        <w:t>7</w:t>
      </w:r>
      <w:r w:rsidRPr="00231AA6">
        <w:rPr>
          <w:rFonts w:ascii="黑体" w:eastAsia="黑体" w:hAnsi="黑体" w:cs="宋体" w:hint="eastAsia"/>
          <w:kern w:val="0"/>
          <w:szCs w:val="21"/>
        </w:rPr>
        <w:t>、机构名称：</w:t>
      </w:r>
      <w:r w:rsidRPr="008938BB">
        <w:rPr>
          <w:rFonts w:ascii="黑体" w:eastAsia="黑体" w:hAnsi="黑体" w:cs="宋体" w:hint="eastAsia"/>
          <w:kern w:val="0"/>
          <w:szCs w:val="21"/>
        </w:rPr>
        <w:t>绍兴银行股份有限公司</w:t>
      </w:r>
    </w:p>
    <w:p w:rsidR="008938BB" w:rsidRPr="00231AA6" w:rsidP="008938BB" w14:paraId="2F8A654B" w14:textId="450F79FA">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433F94" w:rsidR="00433F94">
        <w:rPr>
          <w:rFonts w:ascii="黑体" w:eastAsia="黑体" w:hAnsi="黑体" w:cs="宋体"/>
          <w:kern w:val="0"/>
          <w:szCs w:val="21"/>
        </w:rPr>
        <w:t>0575-96528</w:t>
      </w:r>
    </w:p>
    <w:p w:rsidR="008938BB" w14:paraId="063FD373" w14:textId="07A0D84D">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433F94" w:rsidR="00433F94">
        <w:rPr>
          <w:rFonts w:ascii="黑体" w:eastAsia="黑体" w:hAnsi="黑体" w:cs="宋体"/>
          <w:kern w:val="0"/>
          <w:szCs w:val="21"/>
        </w:rPr>
        <w:t>www.sxccb.com</w:t>
      </w:r>
    </w:p>
    <w:p w:rsidR="00743178" w:rsidP="00743178" w14:paraId="4144DF3D" w14:textId="7DE59FAA">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kern w:val="0"/>
          <w:szCs w:val="21"/>
        </w:rPr>
        <w:t>8</w:t>
      </w:r>
      <w:r w:rsidRPr="00231AA6">
        <w:rPr>
          <w:rFonts w:ascii="黑体" w:eastAsia="黑体" w:hAnsi="黑体" w:cs="宋体" w:hint="eastAsia"/>
          <w:kern w:val="0"/>
          <w:szCs w:val="21"/>
        </w:rPr>
        <w:t>、机构名称：</w:t>
      </w:r>
      <w:r w:rsidRPr="00743178">
        <w:rPr>
          <w:rFonts w:ascii="黑体" w:eastAsia="黑体" w:hAnsi="黑体" w:cs="宋体" w:hint="eastAsia"/>
          <w:kern w:val="0"/>
          <w:szCs w:val="21"/>
        </w:rPr>
        <w:t>兴业银行股份有限公司</w:t>
      </w:r>
    </w:p>
    <w:p w:rsidR="00743178" w:rsidRPr="00231AA6" w:rsidP="00743178" w14:paraId="0A34FD1B" w14:textId="6E3EE38D">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68161E" w:rsidR="0068161E">
        <w:rPr>
          <w:rFonts w:ascii="黑体" w:eastAsia="黑体" w:hAnsi="黑体" w:cs="宋体"/>
          <w:kern w:val="0"/>
          <w:szCs w:val="21"/>
        </w:rPr>
        <w:t>95561</w:t>
      </w:r>
    </w:p>
    <w:p w:rsidR="00743178" w:rsidP="00743178" w14:paraId="2DDEB566" w14:textId="0EBDC0BB">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68161E" w:rsidR="0068161E">
        <w:rPr>
          <w:rFonts w:ascii="黑体" w:eastAsia="黑体" w:hAnsi="黑体" w:cs="宋体"/>
          <w:kern w:val="0"/>
          <w:szCs w:val="21"/>
        </w:rPr>
        <w:t>www.cib.com.cn</w:t>
      </w:r>
    </w:p>
    <w:p w:rsidR="00743178" w:rsidP="00743178" w14:paraId="53E1D38F" w14:textId="39099068">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kern w:val="0"/>
          <w:szCs w:val="21"/>
        </w:rPr>
        <w:t>9</w:t>
      </w:r>
      <w:r w:rsidRPr="00231AA6">
        <w:rPr>
          <w:rFonts w:ascii="黑体" w:eastAsia="黑体" w:hAnsi="黑体" w:cs="宋体" w:hint="eastAsia"/>
          <w:kern w:val="0"/>
          <w:szCs w:val="21"/>
        </w:rPr>
        <w:t>、机构名称：</w:t>
      </w:r>
      <w:r w:rsidRPr="00743178">
        <w:rPr>
          <w:rFonts w:ascii="黑体" w:eastAsia="黑体" w:hAnsi="黑体" w:cs="宋体" w:hint="eastAsia"/>
          <w:kern w:val="0"/>
          <w:szCs w:val="21"/>
        </w:rPr>
        <w:t>交通银行股份有限公司</w:t>
      </w:r>
    </w:p>
    <w:p w:rsidR="00743178" w:rsidRPr="00231AA6" w:rsidP="00743178" w14:paraId="197DF60F" w14:textId="40C788B9">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D45D63" w:rsidR="00D45D63">
        <w:rPr>
          <w:rFonts w:ascii="黑体" w:eastAsia="黑体" w:hAnsi="黑体" w:cs="宋体"/>
          <w:kern w:val="0"/>
          <w:szCs w:val="21"/>
        </w:rPr>
        <w:t>95559</w:t>
      </w:r>
    </w:p>
    <w:p w:rsidR="00743178" w:rsidP="00743178" w14:paraId="10556083" w14:textId="28D8B660">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D45D63" w:rsidR="00D45D63">
        <w:rPr>
          <w:rFonts w:ascii="黑体" w:eastAsia="黑体" w:hAnsi="黑体" w:cs="宋体"/>
          <w:kern w:val="0"/>
          <w:szCs w:val="21"/>
        </w:rPr>
        <w:t>www.bankcomm.com</w:t>
      </w:r>
    </w:p>
    <w:p w:rsidR="00B0323A" w:rsidP="00B0323A" w14:paraId="535F7202" w14:textId="4CA8158F">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10</w:t>
      </w:r>
      <w:r w:rsidRPr="00231AA6">
        <w:rPr>
          <w:rFonts w:ascii="黑体" w:eastAsia="黑体" w:hAnsi="黑体" w:cs="宋体" w:hint="eastAsia"/>
          <w:kern w:val="0"/>
          <w:szCs w:val="21"/>
        </w:rPr>
        <w:t>、机构名称：</w:t>
      </w:r>
      <w:r>
        <w:rPr>
          <w:rFonts w:ascii="黑体" w:eastAsia="黑体" w:hAnsi="黑体" w:cs="宋体" w:hint="eastAsia"/>
          <w:kern w:val="0"/>
          <w:szCs w:val="21"/>
        </w:rPr>
        <w:t>甘肃</w:t>
      </w:r>
      <w:r w:rsidRPr="00743178">
        <w:rPr>
          <w:rFonts w:ascii="黑体" w:eastAsia="黑体" w:hAnsi="黑体" w:cs="宋体" w:hint="eastAsia"/>
          <w:kern w:val="0"/>
          <w:szCs w:val="21"/>
        </w:rPr>
        <w:t>银行股份有限公司</w:t>
      </w:r>
    </w:p>
    <w:p w:rsidR="00B0323A" w:rsidRPr="00231AA6" w:rsidP="00B0323A" w14:paraId="0FA59B22" w14:textId="48F3D694">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00F2615E">
        <w:rPr>
          <w:rFonts w:ascii="黑体" w:eastAsia="黑体" w:hAnsi="黑体" w:cs="宋体" w:hint="eastAsia"/>
          <w:kern w:val="0"/>
          <w:szCs w:val="21"/>
        </w:rPr>
        <w:t>400-86-</w:t>
      </w:r>
      <w:r w:rsidRPr="00D45D63">
        <w:rPr>
          <w:rFonts w:ascii="黑体" w:eastAsia="黑体" w:hAnsi="黑体" w:cs="宋体"/>
          <w:kern w:val="0"/>
          <w:szCs w:val="21"/>
        </w:rPr>
        <w:t>9</w:t>
      </w:r>
      <w:r>
        <w:rPr>
          <w:rFonts w:ascii="黑体" w:eastAsia="黑体" w:hAnsi="黑体" w:cs="宋体" w:hint="eastAsia"/>
          <w:kern w:val="0"/>
          <w:szCs w:val="21"/>
        </w:rPr>
        <w:t>6666</w:t>
      </w:r>
    </w:p>
    <w:p w:rsidR="00B0323A" w:rsidP="00B0323A" w14:paraId="5F3D2A1C" w14:textId="700A6869">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D45D63">
        <w:rPr>
          <w:rFonts w:ascii="黑体" w:eastAsia="黑体" w:hAnsi="黑体" w:cs="宋体"/>
          <w:kern w:val="0"/>
          <w:szCs w:val="21"/>
        </w:rPr>
        <w:t>www.</w:t>
      </w:r>
      <w:r>
        <w:rPr>
          <w:rFonts w:ascii="黑体" w:eastAsia="黑体" w:hAnsi="黑体" w:cs="宋体" w:hint="eastAsia"/>
          <w:kern w:val="0"/>
          <w:szCs w:val="21"/>
        </w:rPr>
        <w:t>gs</w:t>
      </w:r>
      <w:r w:rsidRPr="00D45D63">
        <w:rPr>
          <w:rFonts w:ascii="黑体" w:eastAsia="黑体" w:hAnsi="黑体" w:cs="宋体"/>
          <w:kern w:val="0"/>
          <w:szCs w:val="21"/>
        </w:rPr>
        <w:t>bank</w:t>
      </w:r>
      <w:r w:rsidR="00F2615E">
        <w:rPr>
          <w:rFonts w:ascii="黑体" w:eastAsia="黑体" w:hAnsi="黑体" w:cs="宋体" w:hint="eastAsia"/>
          <w:kern w:val="0"/>
          <w:szCs w:val="21"/>
        </w:rPr>
        <w:t>china</w:t>
      </w:r>
      <w:r w:rsidRPr="00D45D63">
        <w:rPr>
          <w:rFonts w:ascii="黑体" w:eastAsia="黑体" w:hAnsi="黑体" w:cs="宋体"/>
          <w:kern w:val="0"/>
          <w:szCs w:val="21"/>
        </w:rPr>
        <w:t>.com</w:t>
      </w:r>
    </w:p>
    <w:p w:rsidR="00CA2BF1" w:rsidRPr="00D3554B" w:rsidP="00CA2BF1" w14:paraId="0995649D" w14:textId="05FAF87E">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11</w:t>
      </w:r>
      <w:r w:rsidRPr="00231AA6">
        <w:rPr>
          <w:rFonts w:ascii="黑体" w:eastAsia="黑体" w:hAnsi="黑体" w:cs="宋体" w:hint="eastAsia"/>
          <w:kern w:val="0"/>
          <w:szCs w:val="21"/>
        </w:rPr>
        <w:t>、机构名称：</w:t>
      </w:r>
      <w:r w:rsidR="00D3554B">
        <w:rPr>
          <w:rFonts w:ascii="黑体" w:eastAsia="黑体" w:hAnsi="黑体" w:cs="宋体" w:hint="eastAsia"/>
          <w:kern w:val="0"/>
          <w:szCs w:val="21"/>
        </w:rPr>
        <w:t>广东华兴</w:t>
      </w:r>
      <w:r w:rsidRPr="00743178">
        <w:rPr>
          <w:rFonts w:ascii="黑体" w:eastAsia="黑体" w:hAnsi="黑体" w:cs="宋体" w:hint="eastAsia"/>
          <w:kern w:val="0"/>
          <w:szCs w:val="21"/>
        </w:rPr>
        <w:t>银行股份有限公司</w:t>
      </w:r>
    </w:p>
    <w:p w:rsidR="00CA2BF1" w:rsidRPr="00231AA6" w:rsidP="00CA2BF1" w14:paraId="43418C90" w14:textId="5D78F57D">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00D3554B">
        <w:rPr>
          <w:rFonts w:ascii="黑体" w:eastAsia="黑体" w:hAnsi="黑体" w:cs="宋体" w:hint="eastAsia"/>
          <w:kern w:val="0"/>
          <w:szCs w:val="21"/>
        </w:rPr>
        <w:t>95091</w:t>
      </w:r>
    </w:p>
    <w:p w:rsidR="00CA2BF1" w:rsidP="00CA2BF1" w14:paraId="44BA4CA0" w14:textId="202A00F0">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D45D63">
        <w:rPr>
          <w:rFonts w:ascii="黑体" w:eastAsia="黑体" w:hAnsi="黑体" w:cs="宋体"/>
          <w:kern w:val="0"/>
          <w:szCs w:val="21"/>
        </w:rPr>
        <w:t>www.</w:t>
      </w:r>
      <w:r>
        <w:rPr>
          <w:rFonts w:ascii="黑体" w:eastAsia="黑体" w:hAnsi="黑体" w:cs="宋体" w:hint="eastAsia"/>
          <w:kern w:val="0"/>
          <w:szCs w:val="21"/>
        </w:rPr>
        <w:t>g</w:t>
      </w:r>
      <w:r w:rsidR="00D3554B">
        <w:rPr>
          <w:rFonts w:ascii="黑体" w:eastAsia="黑体" w:hAnsi="黑体" w:cs="宋体" w:hint="eastAsia"/>
          <w:kern w:val="0"/>
          <w:szCs w:val="21"/>
        </w:rPr>
        <w:t>h</w:t>
      </w:r>
      <w:r w:rsidRPr="00D45D63">
        <w:rPr>
          <w:rFonts w:ascii="黑体" w:eastAsia="黑体" w:hAnsi="黑体" w:cs="宋体"/>
          <w:kern w:val="0"/>
          <w:szCs w:val="21"/>
        </w:rPr>
        <w:t>bank.com</w:t>
      </w:r>
      <w:r w:rsidR="00D3554B">
        <w:rPr>
          <w:rFonts w:ascii="黑体" w:eastAsia="黑体" w:hAnsi="黑体" w:cs="宋体" w:hint="eastAsia"/>
          <w:kern w:val="0"/>
          <w:szCs w:val="21"/>
        </w:rPr>
        <w:t>.cn</w:t>
      </w:r>
    </w:p>
    <w:p w:rsidR="00C10469" w:rsidRPr="00D3554B" w:rsidP="00C10469" w14:paraId="498B832F" w14:textId="20A2BD19">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w:t>
      </w:r>
      <w:r w:rsidR="00DD1B87">
        <w:rPr>
          <w:rFonts w:ascii="黑体" w:eastAsia="黑体" w:hAnsi="黑体" w:cs="宋体" w:hint="eastAsia"/>
          <w:kern w:val="0"/>
          <w:szCs w:val="21"/>
        </w:rPr>
        <w:t>2</w:t>
      </w:r>
      <w:r w:rsidRPr="00231AA6">
        <w:rPr>
          <w:rFonts w:ascii="黑体" w:eastAsia="黑体" w:hAnsi="黑体" w:cs="宋体" w:hint="eastAsia"/>
          <w:kern w:val="0"/>
          <w:szCs w:val="21"/>
        </w:rPr>
        <w:t>、机构名称：</w:t>
      </w:r>
      <w:r w:rsidRPr="00C10469">
        <w:rPr>
          <w:rFonts w:ascii="黑体" w:eastAsia="黑体" w:hAnsi="黑体" w:cs="宋体" w:hint="eastAsia"/>
          <w:kern w:val="0"/>
          <w:szCs w:val="21"/>
        </w:rPr>
        <w:t>莱</w:t>
      </w:r>
      <w:r w:rsidRPr="00C10469">
        <w:rPr>
          <w:rFonts w:ascii="黑体" w:eastAsia="黑体" w:hAnsi="黑体" w:cs="宋体" w:hint="eastAsia"/>
          <w:kern w:val="0"/>
          <w:szCs w:val="21"/>
        </w:rPr>
        <w:t>商银行股份有限公司</w:t>
      </w:r>
    </w:p>
    <w:p w:rsidR="00C10469" w:rsidRPr="00231AA6" w:rsidP="00C10469" w14:paraId="083489B4" w14:textId="03D2F7CA">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C10469">
        <w:rPr>
          <w:rFonts w:ascii="黑体" w:eastAsia="黑体" w:hAnsi="黑体" w:cs="宋体"/>
          <w:kern w:val="0"/>
          <w:szCs w:val="21"/>
        </w:rPr>
        <w:t>40066-96629</w:t>
      </w:r>
    </w:p>
    <w:p w:rsidR="00C10469" w:rsidP="00C10469" w14:paraId="629379E2" w14:textId="4C4892A4">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C10469">
        <w:rPr>
          <w:rFonts w:ascii="黑体" w:eastAsia="黑体" w:hAnsi="黑体" w:cs="宋体"/>
          <w:kern w:val="0"/>
          <w:szCs w:val="21"/>
        </w:rPr>
        <w:t>www.lsbankchina.com</w:t>
      </w:r>
    </w:p>
    <w:p w:rsidR="00A13E72" w:rsidRPr="00231AA6" w:rsidP="00A13E72" w14:paraId="6EE418C2" w14:textId="069C6250">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13</w:t>
      </w:r>
      <w:r w:rsidRPr="00231AA6">
        <w:rPr>
          <w:rFonts w:ascii="黑体" w:eastAsia="黑体" w:hAnsi="黑体" w:cs="宋体" w:hint="eastAsia"/>
          <w:kern w:val="0"/>
          <w:szCs w:val="21"/>
        </w:rPr>
        <w:t>、机构名称：</w:t>
      </w:r>
      <w:r w:rsidRPr="0091403B">
        <w:rPr>
          <w:rFonts w:ascii="黑体" w:eastAsia="黑体" w:hAnsi="黑体" w:cs="宋体" w:hint="eastAsia"/>
          <w:kern w:val="0"/>
          <w:szCs w:val="21"/>
        </w:rPr>
        <w:t>江苏常熟农村商业银行股份有限公司</w:t>
      </w:r>
    </w:p>
    <w:p w:rsidR="00A13E72" w:rsidRPr="00231AA6" w:rsidP="00A13E72" w14:paraId="3F96CFC6" w14:textId="77777777">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91403B">
        <w:rPr>
          <w:rFonts w:ascii="黑体" w:eastAsia="黑体" w:hAnsi="黑体" w:cs="宋体"/>
          <w:kern w:val="0"/>
          <w:szCs w:val="21"/>
        </w:rPr>
        <w:t>956020</w:t>
      </w:r>
    </w:p>
    <w:p w:rsidR="00A13E72" w:rsidP="00A13E72" w14:paraId="17ADBE2B" w14:textId="77777777">
      <w:pPr>
        <w:autoSpaceDE w:val="0"/>
        <w:autoSpaceDN w:val="0"/>
        <w:adjustRightInd w:val="0"/>
        <w:ind w:firstLine="420" w:firstLineChars="200"/>
        <w:jc w:val="left"/>
      </w:pPr>
      <w:r w:rsidRPr="00231AA6">
        <w:rPr>
          <w:rFonts w:ascii="黑体" w:eastAsia="黑体" w:hAnsi="黑体" w:cs="宋体" w:hint="eastAsia"/>
          <w:kern w:val="0"/>
          <w:szCs w:val="21"/>
        </w:rPr>
        <w:t xml:space="preserve">   官方网站：</w:t>
      </w:r>
      <w:r w:rsidRPr="0091403B">
        <w:t>www.csrcbank.com</w:t>
      </w:r>
    </w:p>
    <w:p w:rsidR="00A06E5F" w:rsidRPr="00231AA6" w:rsidP="00A06E5F" w14:paraId="3D934C89" w14:textId="1BBEA42B">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14</w:t>
      </w:r>
      <w:r w:rsidRPr="00231AA6">
        <w:rPr>
          <w:rFonts w:ascii="黑体" w:eastAsia="黑体" w:hAnsi="黑体" w:cs="宋体" w:hint="eastAsia"/>
          <w:kern w:val="0"/>
          <w:szCs w:val="21"/>
        </w:rPr>
        <w:t>、机构名称：</w:t>
      </w:r>
      <w:r w:rsidRPr="00A06E5F">
        <w:rPr>
          <w:rFonts w:ascii="黑体" w:eastAsia="黑体" w:hAnsi="黑体" w:cs="宋体" w:hint="eastAsia"/>
          <w:kern w:val="0"/>
          <w:szCs w:val="21"/>
        </w:rPr>
        <w:t>上饶银行股份有限公司</w:t>
      </w:r>
    </w:p>
    <w:p w:rsidR="00A06E5F" w:rsidRPr="00231AA6" w:rsidP="00A06E5F" w14:paraId="56EC06E6" w14:textId="2E145631">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A06E5F">
        <w:rPr>
          <w:rFonts w:ascii="黑体" w:eastAsia="黑体" w:hAnsi="黑体" w:cs="宋体"/>
          <w:kern w:val="0"/>
          <w:szCs w:val="21"/>
        </w:rPr>
        <w:t>0793-96233</w:t>
      </w:r>
    </w:p>
    <w:p w:rsidR="00A06E5F" w:rsidP="00A06E5F" w14:paraId="37D18B4F" w14:textId="4FCDDD54">
      <w:pPr>
        <w:autoSpaceDE w:val="0"/>
        <w:autoSpaceDN w:val="0"/>
        <w:adjustRightInd w:val="0"/>
        <w:ind w:firstLine="420" w:firstLineChars="200"/>
        <w:jc w:val="left"/>
      </w:pPr>
      <w:r w:rsidRPr="00231AA6">
        <w:rPr>
          <w:rFonts w:ascii="黑体" w:eastAsia="黑体" w:hAnsi="黑体" w:cs="宋体" w:hint="eastAsia"/>
          <w:kern w:val="0"/>
          <w:szCs w:val="21"/>
        </w:rPr>
        <w:t xml:space="preserve">   官方网站：</w:t>
      </w:r>
      <w:r w:rsidRPr="00A06E5F">
        <w:rPr>
          <w:rFonts w:ascii="黑体" w:eastAsia="黑体" w:hAnsi="黑体" w:cs="宋体"/>
          <w:kern w:val="0"/>
          <w:szCs w:val="21"/>
        </w:rPr>
        <w:t>www.srbank.cn</w:t>
      </w:r>
    </w:p>
    <w:p w:rsidR="009B272D" w:rsidRPr="00D3554B" w:rsidP="009B272D" w14:paraId="1A1B3123" w14:textId="45760AE7">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15</w:t>
      </w:r>
      <w:r w:rsidRPr="00231AA6">
        <w:rPr>
          <w:rFonts w:ascii="黑体" w:eastAsia="黑体" w:hAnsi="黑体" w:cs="宋体" w:hint="eastAsia"/>
          <w:kern w:val="0"/>
          <w:szCs w:val="21"/>
        </w:rPr>
        <w:t>、机构名称：</w:t>
      </w:r>
      <w:r w:rsidRPr="009B272D">
        <w:rPr>
          <w:rFonts w:ascii="黑体" w:eastAsia="黑体" w:hAnsi="黑体" w:cs="宋体"/>
          <w:kern w:val="0"/>
          <w:szCs w:val="21"/>
        </w:rPr>
        <w:t>上海浦东发展银行股份有限公司</w:t>
      </w:r>
    </w:p>
    <w:p w:rsidR="009B272D" w:rsidRPr="00231AA6" w:rsidP="009B272D" w14:paraId="2038D78B" w14:textId="76257605">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9B272D">
        <w:rPr>
          <w:rFonts w:ascii="黑体" w:eastAsia="黑体" w:hAnsi="黑体" w:cs="宋体"/>
          <w:kern w:val="0"/>
          <w:szCs w:val="21"/>
        </w:rPr>
        <w:t>95528</w:t>
      </w:r>
    </w:p>
    <w:p w:rsidR="009B272D" w:rsidP="009B272D" w14:paraId="3FB1C271" w14:textId="0B96422A">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官方网站：</w:t>
      </w:r>
      <w:r w:rsidRPr="009B272D">
        <w:rPr>
          <w:rFonts w:ascii="黑体" w:eastAsia="黑体" w:hAnsi="黑体" w:cs="宋体"/>
          <w:kern w:val="0"/>
          <w:szCs w:val="21"/>
        </w:rPr>
        <w:t>www.spdb.com.cn</w:t>
      </w:r>
    </w:p>
    <w:p w:rsidR="009B272D" w:rsidRPr="00231AA6" w:rsidP="009B272D" w14:paraId="217D45D0" w14:textId="5AEF792C">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16</w:t>
      </w:r>
      <w:r w:rsidRPr="00231AA6">
        <w:rPr>
          <w:rFonts w:ascii="黑体" w:eastAsia="黑体" w:hAnsi="黑体" w:cs="宋体" w:hint="eastAsia"/>
          <w:kern w:val="0"/>
          <w:szCs w:val="21"/>
        </w:rPr>
        <w:t>、机构名称：</w:t>
      </w:r>
      <w:r w:rsidRPr="009B272D">
        <w:rPr>
          <w:rFonts w:ascii="黑体" w:eastAsia="黑体" w:hAnsi="黑体" w:cs="宋体"/>
          <w:kern w:val="0"/>
          <w:szCs w:val="21"/>
        </w:rPr>
        <w:t>中信银行股份有限公司</w:t>
      </w:r>
    </w:p>
    <w:p w:rsidR="009B272D" w:rsidRPr="00231AA6" w:rsidP="009B272D" w14:paraId="5DEC1174" w14:textId="4ADC71A5">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9B272D">
        <w:rPr>
          <w:rFonts w:ascii="黑体" w:eastAsia="黑体" w:hAnsi="黑体" w:cs="宋体"/>
          <w:kern w:val="0"/>
          <w:szCs w:val="21"/>
        </w:rPr>
        <w:t>95558</w:t>
      </w:r>
    </w:p>
    <w:p w:rsidR="009B272D" w:rsidP="009B272D" w14:paraId="446687A0" w14:textId="18DDFC75">
      <w:pPr>
        <w:autoSpaceDE w:val="0"/>
        <w:autoSpaceDN w:val="0"/>
        <w:adjustRightInd w:val="0"/>
        <w:ind w:firstLine="420" w:firstLineChars="200"/>
        <w:jc w:val="left"/>
      </w:pPr>
      <w:r w:rsidRPr="00231AA6">
        <w:rPr>
          <w:rFonts w:ascii="黑体" w:eastAsia="黑体" w:hAnsi="黑体" w:cs="宋体" w:hint="eastAsia"/>
          <w:kern w:val="0"/>
          <w:szCs w:val="21"/>
        </w:rPr>
        <w:t xml:space="preserve">   官方网站：</w:t>
      </w:r>
      <w:r w:rsidRPr="009B272D">
        <w:rPr>
          <w:rFonts w:ascii="黑体" w:eastAsia="黑体" w:hAnsi="黑体" w:cs="宋体"/>
          <w:kern w:val="0"/>
          <w:szCs w:val="21"/>
        </w:rPr>
        <w:t>www.citicbank.com</w:t>
      </w:r>
    </w:p>
    <w:p w:rsidR="009B272D" w:rsidRPr="00231AA6" w:rsidP="009B272D" w14:paraId="2C6DE1F6" w14:textId="7E841D41">
      <w:pPr>
        <w:autoSpaceDE w:val="0"/>
        <w:autoSpaceDN w:val="0"/>
        <w:adjustRightInd w:val="0"/>
        <w:ind w:firstLine="420" w:firstLineChars="200"/>
        <w:jc w:val="left"/>
        <w:rPr>
          <w:rFonts w:ascii="黑体" w:eastAsia="黑体" w:hAnsi="黑体" w:cs="宋体" w:hint="eastAsia"/>
          <w:kern w:val="0"/>
          <w:szCs w:val="21"/>
        </w:rPr>
      </w:pPr>
      <w:r>
        <w:rPr>
          <w:rFonts w:ascii="黑体" w:eastAsia="黑体" w:hAnsi="黑体" w:cs="宋体" w:hint="eastAsia"/>
          <w:kern w:val="0"/>
          <w:szCs w:val="21"/>
        </w:rPr>
        <w:t>17</w:t>
      </w:r>
      <w:r w:rsidRPr="00231AA6">
        <w:rPr>
          <w:rFonts w:ascii="黑体" w:eastAsia="黑体" w:hAnsi="黑体" w:cs="宋体" w:hint="eastAsia"/>
          <w:kern w:val="0"/>
          <w:szCs w:val="21"/>
        </w:rPr>
        <w:t>、机构名称：</w:t>
      </w:r>
      <w:r w:rsidRPr="009B272D">
        <w:rPr>
          <w:rFonts w:ascii="黑体" w:eastAsia="黑体" w:hAnsi="黑体" w:cs="宋体"/>
          <w:kern w:val="0"/>
          <w:szCs w:val="21"/>
        </w:rPr>
        <w:t>沧州银行股份有限公司</w:t>
      </w:r>
    </w:p>
    <w:p w:rsidR="009B272D" w:rsidRPr="00231AA6" w:rsidP="009B272D" w14:paraId="0E82763C" w14:textId="14BD9E0C">
      <w:pPr>
        <w:autoSpaceDE w:val="0"/>
        <w:autoSpaceDN w:val="0"/>
        <w:adjustRightInd w:val="0"/>
        <w:ind w:firstLine="420" w:firstLineChars="200"/>
        <w:jc w:val="left"/>
        <w:rPr>
          <w:rFonts w:ascii="黑体" w:eastAsia="黑体" w:hAnsi="黑体" w:cs="宋体" w:hint="eastAsia"/>
          <w:kern w:val="0"/>
          <w:szCs w:val="21"/>
        </w:rPr>
      </w:pPr>
      <w:r w:rsidRPr="00231AA6">
        <w:rPr>
          <w:rFonts w:ascii="黑体" w:eastAsia="黑体" w:hAnsi="黑体" w:cs="宋体" w:hint="eastAsia"/>
          <w:kern w:val="0"/>
          <w:szCs w:val="21"/>
        </w:rPr>
        <w:t xml:space="preserve">   客服热线：</w:t>
      </w:r>
      <w:r w:rsidRPr="009B272D">
        <w:rPr>
          <w:rFonts w:ascii="黑体" w:eastAsia="黑体" w:hAnsi="黑体" w:cs="宋体"/>
          <w:kern w:val="0"/>
          <w:szCs w:val="21"/>
        </w:rPr>
        <w:t>0317-96328</w:t>
      </w:r>
    </w:p>
    <w:p w:rsidR="009B272D" w:rsidP="009B272D" w14:paraId="3DFE836F" w14:textId="1BA4B6B4">
      <w:pPr>
        <w:autoSpaceDE w:val="0"/>
        <w:autoSpaceDN w:val="0"/>
        <w:adjustRightInd w:val="0"/>
        <w:ind w:firstLine="420" w:firstLineChars="200"/>
        <w:jc w:val="left"/>
      </w:pPr>
      <w:r w:rsidRPr="00231AA6">
        <w:rPr>
          <w:rFonts w:ascii="黑体" w:eastAsia="黑体" w:hAnsi="黑体" w:cs="宋体" w:hint="eastAsia"/>
          <w:kern w:val="0"/>
          <w:szCs w:val="21"/>
        </w:rPr>
        <w:t xml:space="preserve">   官方网站：</w:t>
      </w:r>
      <w:r w:rsidRPr="009B272D">
        <w:rPr>
          <w:rFonts w:ascii="黑体" w:eastAsia="黑体" w:hAnsi="黑体" w:cs="宋体"/>
          <w:kern w:val="0"/>
          <w:szCs w:val="21"/>
        </w:rPr>
        <w:t>www.bankcz.cn</w:t>
      </w:r>
    </w:p>
    <w:p w:rsidR="00A13E72" w:rsidRPr="009B272D" w14:paraId="550AFEA6" w14:textId="77777777">
      <w:pPr>
        <w:autoSpaceDE w:val="0"/>
        <w:autoSpaceDN w:val="0"/>
        <w:adjustRightInd w:val="0"/>
        <w:ind w:firstLine="420" w:firstLineChars="200"/>
        <w:jc w:val="left"/>
        <w:rPr>
          <w:rFonts w:ascii="黑体" w:eastAsia="黑体" w:hAnsi="黑体" w:cs="宋体" w:hint="eastAsia"/>
          <w:kern w:val="0"/>
          <w:szCs w:val="21"/>
        </w:rPr>
      </w:pPr>
    </w:p>
    <w:p w:rsidR="00F57BEF" w:rsidRPr="00B46892" w14:paraId="5F1225A6" w14:textId="573CDD84">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销售机构主要职责：</w:t>
      </w:r>
    </w:p>
    <w:p w:rsidR="00F57BEF" w:rsidRPr="00B46892" w14:paraId="563B473E"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1、严格遵循国家法律、法规及其他有关规定和理财产品销售文件的规定，办理本产品销售业务，勤勉、尽责地履行销售机构的职责；</w:t>
      </w:r>
    </w:p>
    <w:p w:rsidR="00F57BEF" w:rsidRPr="00B46892" w14:paraId="3B28EB9E"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2、应保证在履行理财产品销售文件过程中占有、控制的理财产品资产或理财产品份额持有人的资产与销售机构自身资产相互独立，分别建账，分别管理；</w:t>
      </w:r>
    </w:p>
    <w:p w:rsidR="00F57BEF" w:rsidRPr="00B46892" w14:paraId="2BE3DAED"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3、对投资者身份信息的真实性进行验证；</w:t>
      </w:r>
    </w:p>
    <w:p w:rsidR="00F57BEF" w:rsidRPr="00B46892" w14:paraId="5F52775C" w14:textId="17696F94">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4、对</w:t>
      </w:r>
      <w:r w:rsidR="00F25F39">
        <w:rPr>
          <w:rFonts w:ascii="黑体" w:eastAsia="黑体" w:hAnsi="黑体" w:cs="宋体" w:hint="eastAsia"/>
          <w:kern w:val="0"/>
          <w:szCs w:val="21"/>
        </w:rPr>
        <w:t>普通</w:t>
      </w:r>
      <w:r w:rsidRPr="00B46892">
        <w:rPr>
          <w:rFonts w:ascii="黑体" w:eastAsia="黑体" w:hAnsi="黑体" w:cs="宋体" w:hint="eastAsia"/>
          <w:kern w:val="0"/>
          <w:szCs w:val="21"/>
        </w:rPr>
        <w:t>投资者严谨客观实施风险承受能力评估并持续跟进，根据投资者的风险承受能力销售不同风险等级的产品，把合适的理财产品销售给合适的投资者；</w:t>
      </w:r>
    </w:p>
    <w:p w:rsidR="00F57BEF" w:rsidRPr="00B46892" w14:paraId="79B9E646"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5、向投资者提供持续信息服务，包括但不限于以下方面:及时向投资者</w:t>
      </w:r>
      <w:r w:rsidRPr="00B46892">
        <w:rPr>
          <w:rFonts w:ascii="黑体" w:eastAsia="黑体" w:hAnsi="黑体" w:cs="宋体" w:hint="eastAsia"/>
          <w:kern w:val="0"/>
          <w:szCs w:val="21"/>
        </w:rPr>
        <w:t>告知申赎理财</w:t>
      </w:r>
      <w:r w:rsidRPr="00B46892">
        <w:rPr>
          <w:rFonts w:ascii="黑体" w:eastAsia="黑体" w:hAnsi="黑体" w:cs="宋体" w:hint="eastAsia"/>
          <w:kern w:val="0"/>
          <w:szCs w:val="21"/>
        </w:rPr>
        <w:t>产品的确认日期、确认份额和金额等信息；定期向投资者提供其所持有的理财产品基本信息；及时向投资者告知对其决策有重大影响的信息；</w:t>
      </w:r>
    </w:p>
    <w:p w:rsidR="00F57BEF" w:rsidRPr="00B46892" w14:paraId="6BC4142C"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6、充分了解面向特定对象销售的理财产品的投资者信息，收集、核验投资者金融资产证明、收入证明或纳税凭证等材料；</w:t>
      </w:r>
    </w:p>
    <w:p w:rsidR="00F57BEF" w:rsidRPr="00B46892" w14:paraId="5C46C8DB"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7、根据反洗钱、反恐怖融资及非居民金融账户涉税信息尽职调查等相关法律法规要求识别客户身份；</w:t>
      </w:r>
    </w:p>
    <w:p w:rsidR="00F57BEF" w:rsidRPr="00B46892" w14:paraId="2294508D"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8、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rsidR="00F57BEF" w:rsidRPr="00B46892" w14:paraId="2EE306A4"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9、完整记录和保存销售业务活动信息，确保记录信息全面、准确和不可篡改；</w:t>
      </w:r>
    </w:p>
    <w:p w:rsidR="00F57BEF" w:rsidRPr="00B46892" w14:paraId="56829E1D"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10、根据有关法律法规、监管规定和理财产品销售文件的要求，及时、充分披露本产品的相关信息；</w:t>
      </w:r>
    </w:p>
    <w:p w:rsidR="00F57BEF" w:rsidRPr="00B46892" w14:paraId="6BF8A4E3"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11、建立健全档案管理制度，妥善保管投资者理财产品销售相关资料，保管年限不得低于法规规定的年限；</w:t>
      </w:r>
    </w:p>
    <w:p w:rsidR="00F57BEF" w:rsidRPr="00B46892" w14:paraId="3CDA76F3" w14:textId="77777777">
      <w:pPr>
        <w:autoSpaceDE w:val="0"/>
        <w:autoSpaceDN w:val="0"/>
        <w:adjustRightInd w:val="0"/>
        <w:ind w:firstLine="420" w:firstLineChars="200"/>
        <w:jc w:val="left"/>
        <w:rPr>
          <w:rFonts w:ascii="黑体" w:eastAsia="黑体" w:hAnsi="黑体" w:cs="宋体" w:hint="eastAsia"/>
          <w:kern w:val="0"/>
          <w:szCs w:val="21"/>
        </w:rPr>
      </w:pPr>
      <w:r w:rsidRPr="00B46892">
        <w:rPr>
          <w:rFonts w:ascii="黑体" w:eastAsia="黑体" w:hAnsi="黑体" w:cs="宋体" w:hint="eastAsia"/>
          <w:kern w:val="0"/>
          <w:szCs w:val="21"/>
        </w:rPr>
        <w:t>12、法律、法规、国务院银行业监督管理机构规定、理财产品销售文件约定的其他职责。</w:t>
      </w:r>
    </w:p>
    <w:p w:rsidR="00F57BEF" w:rsidRPr="00B46892" w14:paraId="24122411" w14:textId="77777777">
      <w:pPr>
        <w:autoSpaceDE w:val="0"/>
        <w:autoSpaceDN w:val="0"/>
        <w:adjustRightInd w:val="0"/>
        <w:jc w:val="left"/>
        <w:rPr>
          <w:rFonts w:ascii="黑体" w:eastAsia="黑体" w:hAnsi="黑体" w:cs="宋体" w:hint="eastAsia"/>
          <w:kern w:val="0"/>
          <w:szCs w:val="21"/>
        </w:rPr>
      </w:pPr>
    </w:p>
    <w:p w:rsidR="00F57BEF" w:rsidRPr="00B46892" w14:paraId="66FE6735" w14:textId="77777777">
      <w:pPr>
        <w:autoSpaceDE w:val="0"/>
        <w:autoSpaceDN w:val="0"/>
        <w:adjustRightInd w:val="0"/>
        <w:jc w:val="left"/>
        <w:rPr>
          <w:rFonts w:ascii="黑体" w:eastAsia="黑体" w:hAnsi="黑体" w:cs="宋体" w:hint="eastAsia"/>
          <w:b/>
          <w:kern w:val="0"/>
          <w:szCs w:val="21"/>
        </w:rPr>
      </w:pPr>
      <w:r w:rsidRPr="00B46892">
        <w:rPr>
          <w:rFonts w:ascii="黑体" w:eastAsia="黑体" w:hAnsi="黑体" w:cs="宋体" w:hint="eastAsia"/>
          <w:b/>
          <w:kern w:val="0"/>
          <w:szCs w:val="21"/>
        </w:rPr>
        <w:t>九、投资合作机构</w:t>
      </w:r>
    </w:p>
    <w:p w:rsidR="00F57BEF" w:rsidRPr="00B46892" w14:paraId="48CA3D96"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投资合作机构的主要职责为进行受托资金的投资管理，根据合同约定从事受托投资或提供投资顾问等服务，具体职责以产品管理人与投资合作机构签署的合同为准</w:t>
      </w:r>
      <w:bookmarkEnd w:id="7"/>
      <w:r w:rsidRPr="00B46892">
        <w:rPr>
          <w:rFonts w:ascii="黑体" w:eastAsia="黑体" w:hAnsi="黑体" w:cs="黑体" w:hint="eastAsia"/>
          <w:kern w:val="0"/>
          <w:szCs w:val="21"/>
        </w:rPr>
        <w:t>。</w:t>
      </w:r>
    </w:p>
    <w:p w:rsidR="00F57BEF" w:rsidRPr="00B46892" w14:paraId="11A97B76" w14:textId="77777777">
      <w:pPr>
        <w:autoSpaceDE w:val="0"/>
        <w:autoSpaceDN w:val="0"/>
        <w:adjustRightInd w:val="0"/>
        <w:ind w:firstLine="330" w:firstLineChars="157"/>
        <w:jc w:val="left"/>
        <w:rPr>
          <w:rFonts w:ascii="黑体" w:eastAsia="黑体" w:hAnsi="黑体" w:cs="宋体" w:hint="eastAsia"/>
          <w:kern w:val="0"/>
          <w:szCs w:val="21"/>
        </w:rPr>
      </w:pPr>
    </w:p>
    <w:p w:rsidR="00F57BEF" w:rsidRPr="00B46892" w14:paraId="2DF21AC9" w14:textId="77777777">
      <w:pPr>
        <w:autoSpaceDE w:val="0"/>
        <w:autoSpaceDN w:val="0"/>
        <w:adjustRightInd w:val="0"/>
        <w:jc w:val="left"/>
        <w:rPr>
          <w:rFonts w:ascii="黑体" w:eastAsia="黑体" w:hAnsi="黑体" w:cs="宋体" w:hint="eastAsia"/>
          <w:b/>
          <w:kern w:val="0"/>
          <w:szCs w:val="21"/>
        </w:rPr>
      </w:pPr>
      <w:r w:rsidRPr="00B46892">
        <w:rPr>
          <w:rFonts w:ascii="黑体" w:eastAsia="黑体" w:hAnsi="黑体" w:cs="宋体" w:hint="eastAsia"/>
          <w:b/>
          <w:kern w:val="0"/>
          <w:szCs w:val="21"/>
        </w:rPr>
        <w:t>十、信息披露</w:t>
      </w:r>
    </w:p>
    <w:p w:rsidR="00F57BEF" w:rsidRPr="00B46892" w14:paraId="3BFA5E59" w14:textId="77777777">
      <w:pPr>
        <w:autoSpaceDE w:val="0"/>
        <w:autoSpaceDN w:val="0"/>
        <w:adjustRightInd w:val="0"/>
        <w:jc w:val="left"/>
        <w:rPr>
          <w:rFonts w:ascii="黑体" w:eastAsia="黑体" w:hAnsi="黑体" w:cs="宋体" w:hint="eastAsia"/>
          <w:kern w:val="0"/>
          <w:szCs w:val="21"/>
        </w:rPr>
      </w:pPr>
      <w:r w:rsidRPr="00B46892">
        <w:rPr>
          <w:rFonts w:ascii="黑体" w:eastAsia="黑体" w:hAnsi="黑体" w:cs="宋体" w:hint="eastAsia"/>
          <w:kern w:val="0"/>
          <w:szCs w:val="21"/>
        </w:rPr>
        <w:t>（一</w:t>
      </w:r>
      <w:r w:rsidRPr="00B46892">
        <w:rPr>
          <w:rFonts w:ascii="黑体" w:eastAsia="黑体" w:hAnsi="黑体" w:cs="宋体"/>
          <w:kern w:val="0"/>
          <w:szCs w:val="21"/>
        </w:rPr>
        <w:t>）信息披露内容</w:t>
      </w:r>
    </w:p>
    <w:p w:rsidR="00F57BEF" w:rsidRPr="00B46892" w14:paraId="0F024132" w14:textId="0ED51BBB">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产品管理人将于产品募集期间、存续期间和终止时，通过</w:t>
      </w:r>
      <w:r w:rsidRPr="00B46892" w:rsidR="003859ED">
        <w:rPr>
          <w:rFonts w:ascii="黑体" w:eastAsia="黑体" w:hAnsi="黑体" w:cs="黑体" w:hint="eastAsia"/>
          <w:kern w:val="0"/>
          <w:szCs w:val="21"/>
        </w:rPr>
        <w:t>宁银理财官网（www.wmbnb.com)、宁银理财</w:t>
      </w:r>
      <w:r w:rsidR="004568E5">
        <w:rPr>
          <w:rFonts w:ascii="黑体" w:eastAsia="黑体" w:hAnsi="黑体" w:cs="黑体" w:hint="eastAsia"/>
          <w:kern w:val="0"/>
          <w:szCs w:val="21"/>
        </w:rPr>
        <w:t>直销app、宁银理财</w:t>
      </w:r>
      <w:r w:rsidRPr="00B46892" w:rsidR="003859ED">
        <w:rPr>
          <w:rFonts w:ascii="黑体" w:eastAsia="黑体" w:hAnsi="黑体" w:cs="黑体" w:hint="eastAsia"/>
          <w:kern w:val="0"/>
          <w:szCs w:val="21"/>
        </w:rPr>
        <w:t>相关产品代理销售机构官方渠道</w:t>
      </w:r>
      <w:r w:rsidRPr="00B46892">
        <w:rPr>
          <w:rFonts w:ascii="黑体" w:eastAsia="黑体" w:hAnsi="黑体" w:cs="黑体" w:hint="eastAsia"/>
          <w:kern w:val="0"/>
          <w:szCs w:val="21"/>
        </w:rPr>
        <w:t>或其他</w:t>
      </w:r>
      <w:r w:rsidRPr="00B46892" w:rsidR="00007FC6">
        <w:rPr>
          <w:rFonts w:ascii="黑体" w:eastAsia="黑体" w:hAnsi="黑体" w:cs="黑体" w:hint="eastAsia"/>
          <w:kern w:val="0"/>
          <w:szCs w:val="21"/>
        </w:rPr>
        <w:t>适当的</w:t>
      </w:r>
      <w:r w:rsidRPr="00B46892">
        <w:rPr>
          <w:rFonts w:ascii="黑体" w:eastAsia="黑体" w:hAnsi="黑体" w:cs="黑体" w:hint="eastAsia"/>
          <w:kern w:val="0"/>
          <w:szCs w:val="21"/>
        </w:rPr>
        <w:t>方式披露以下产品信息：</w:t>
      </w:r>
    </w:p>
    <w:p w:rsidR="00F57BEF" w:rsidRPr="00B46892" w14:paraId="648BCBDE"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1、理财产品销售文件，包括《理财产品说明书》、《风险揭示书》、《销售（代理销售）协议书》、《投资协议书》和《投资者权益须知》等有关文件，以及对以上文件的有</w:t>
      </w:r>
      <w:r w:rsidRPr="00B46892">
        <w:rPr>
          <w:rFonts w:ascii="黑体" w:eastAsia="黑体" w:hAnsi="黑体" w:cs="黑体" w:hint="eastAsia"/>
          <w:kern w:val="0"/>
          <w:szCs w:val="21"/>
        </w:rPr>
        <w:t>效修改或补充；</w:t>
      </w:r>
    </w:p>
    <w:p w:rsidR="00F57BEF" w:rsidRPr="00B46892" w14:paraId="6218E009"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2、发行公告，包括本产品成立日期和募集规模等信息，产品管理人将在本理财产品成立后5个工作日内披露产品发行公告；</w:t>
      </w:r>
    </w:p>
    <w:p w:rsidR="00F57BEF" w:rsidRPr="00B46892" w14:paraId="6F5791AF"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3、定期报告，包括本产品的存续规模、收益表现，并分别列示直接和间接投资的资产种类、投资比例、投资组合的流动性风险分析，前十项资产具体名称、规模和比例，以及在半年和年度报告中产品前10名投资者的类别、持有份额及占总份额的比例等信息。</w:t>
      </w:r>
    </w:p>
    <w:p w:rsidR="00F57BEF" w:rsidRPr="00B46892" w14:paraId="0D7CCD4E" w14:textId="717E2375">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本产品存续期间，如出现单一投资者持有产品份额达到或者超过该产品总份额20%的情形，为保障其他投资者的权益，产品管理人将在定期报告中披露该投资者的类别、持有份额及占比、持有份额变化情况及产品风险等信息，</w:t>
      </w:r>
      <w:r w:rsidRPr="00B46892" w:rsidR="00D83351">
        <w:rPr>
          <w:rFonts w:ascii="黑体" w:eastAsia="黑体" w:hAnsi="黑体" w:cs="黑体" w:hint="eastAsia"/>
          <w:kern w:val="0"/>
          <w:szCs w:val="21"/>
        </w:rPr>
        <w:t>国家金融监督管理总局</w:t>
      </w:r>
      <w:r w:rsidRPr="00B46892">
        <w:rPr>
          <w:rFonts w:ascii="黑体" w:eastAsia="黑体" w:hAnsi="黑体" w:cs="黑体" w:hint="eastAsia"/>
          <w:kern w:val="0"/>
          <w:szCs w:val="21"/>
        </w:rPr>
        <w:t>认定的特殊情形除外。</w:t>
      </w:r>
    </w:p>
    <w:p w:rsidR="00F57BEF" w:rsidRPr="00B46892" w14:paraId="07DCDE04"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rsidR="00F57BEF" w:rsidRPr="00B46892" w14:paraId="3F3DE72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4、到期公告，包括本产品的存续期限、终止日期、收费情况和收益分配情况等信息，产品管理人将在本理财产品终止后5个工作日内披露产品到期公告；</w:t>
      </w:r>
    </w:p>
    <w:p w:rsidR="00F57BEF" w:rsidRPr="00B46892" w14:paraId="44DA1A70"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5、重大事项公告；</w:t>
      </w:r>
    </w:p>
    <w:p w:rsidR="00F57BEF" w:rsidRPr="00B46892" w14:paraId="7E350EE7"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6、临时性信息披露；</w:t>
      </w:r>
    </w:p>
    <w:p w:rsidR="00F57BEF" w:rsidRPr="00B46892" w14:paraId="5489BA6A"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7、国务院银行业监督管理机构规定的其他信息；</w:t>
      </w:r>
    </w:p>
    <w:p w:rsidR="00F57BEF" w:rsidRPr="00B46892" w14:paraId="42C15025" w14:textId="77777777">
      <w:pPr>
        <w:autoSpaceDE w:val="0"/>
        <w:autoSpaceDN w:val="0"/>
        <w:adjustRightInd w:val="0"/>
        <w:ind w:firstLine="420" w:firstLineChars="200"/>
        <w:jc w:val="left"/>
        <w:rPr>
          <w:rFonts w:ascii="黑体" w:eastAsia="黑体" w:hAnsi="黑体" w:cs="黑体" w:hint="eastAsia"/>
          <w:kern w:val="0"/>
          <w:szCs w:val="21"/>
        </w:rPr>
      </w:pPr>
      <w:r w:rsidRPr="00B46892">
        <w:rPr>
          <w:rFonts w:ascii="黑体" w:eastAsia="黑体" w:hAnsi="黑体" w:cs="黑体" w:hint="eastAsia"/>
          <w:kern w:val="0"/>
          <w:szCs w:val="21"/>
        </w:rPr>
        <w:t>8、产品管理人认为需要披露的其他信息。</w:t>
      </w:r>
    </w:p>
    <w:p w:rsidR="00F57BEF" w:rsidRPr="00B46892" w14:paraId="0D2C7AE7" w14:textId="77777777">
      <w:pPr>
        <w:autoSpaceDE w:val="0"/>
        <w:autoSpaceDN w:val="0"/>
        <w:adjustRightInd w:val="0"/>
        <w:jc w:val="left"/>
        <w:rPr>
          <w:rFonts w:ascii="黑体" w:eastAsia="黑体" w:hAnsi="黑体" w:cs="宋体" w:hint="eastAsia"/>
          <w:b/>
          <w:kern w:val="0"/>
          <w:szCs w:val="21"/>
        </w:rPr>
      </w:pPr>
      <w:r w:rsidRPr="00B46892">
        <w:rPr>
          <w:rFonts w:ascii="黑体" w:eastAsia="黑体" w:hAnsi="黑体" w:cs="宋体" w:hint="eastAsia"/>
          <w:b/>
          <w:kern w:val="0"/>
          <w:szCs w:val="21"/>
        </w:rPr>
        <w:t>（二</w:t>
      </w:r>
      <w:r w:rsidRPr="00B46892">
        <w:rPr>
          <w:rFonts w:ascii="黑体" w:eastAsia="黑体" w:hAnsi="黑体" w:cs="宋体"/>
          <w:b/>
          <w:kern w:val="0"/>
          <w:szCs w:val="21"/>
        </w:rPr>
        <w:t>）</w:t>
      </w:r>
      <w:r w:rsidRPr="00B46892">
        <w:rPr>
          <w:rFonts w:ascii="黑体" w:eastAsia="黑体" w:hAnsi="黑体" w:cs="宋体" w:hint="eastAsia"/>
          <w:b/>
          <w:kern w:val="0"/>
          <w:szCs w:val="21"/>
        </w:rPr>
        <w:t>投资者同意，产品管理人或销售机构通过</w:t>
      </w:r>
      <w:r w:rsidRPr="00B46892">
        <w:rPr>
          <w:rFonts w:ascii="黑体" w:eastAsia="黑体" w:hAnsi="黑体" w:cs="宋体"/>
          <w:b/>
          <w:kern w:val="0"/>
          <w:szCs w:val="21"/>
        </w:rPr>
        <w:t>上述</w:t>
      </w:r>
      <w:r w:rsidRPr="00B46892">
        <w:rPr>
          <w:rFonts w:ascii="黑体" w:eastAsia="黑体" w:hAnsi="黑体" w:cs="宋体" w:hint="eastAsia"/>
          <w:b/>
          <w:kern w:val="0"/>
          <w:szCs w:val="21"/>
        </w:rPr>
        <w:t>方式及</w:t>
      </w:r>
      <w:r w:rsidRPr="00B46892">
        <w:rPr>
          <w:rFonts w:ascii="黑体" w:eastAsia="黑体" w:hAnsi="黑体" w:cs="宋体"/>
          <w:b/>
          <w:kern w:val="0"/>
          <w:szCs w:val="21"/>
        </w:rPr>
        <w:t>频率</w:t>
      </w:r>
      <w:r w:rsidRPr="00B46892">
        <w:rPr>
          <w:rFonts w:ascii="黑体" w:eastAsia="黑体" w:hAnsi="黑体" w:cs="宋体" w:hint="eastAsia"/>
          <w:b/>
          <w:kern w:val="0"/>
          <w:szCs w:val="21"/>
        </w:rPr>
        <w:t>进行信息披露，</w:t>
      </w:r>
      <w:r w:rsidRPr="00B46892">
        <w:rPr>
          <w:rFonts w:ascii="黑体" w:eastAsia="黑体" w:hAnsi="黑体" w:cs="宋体"/>
          <w:b/>
          <w:kern w:val="0"/>
          <w:szCs w:val="21"/>
        </w:rPr>
        <w:t>视为完全履行信息</w:t>
      </w:r>
      <w:r w:rsidRPr="00B46892">
        <w:rPr>
          <w:rFonts w:ascii="黑体" w:eastAsia="黑体" w:hAnsi="黑体" w:cs="宋体" w:hint="eastAsia"/>
          <w:b/>
          <w:kern w:val="0"/>
          <w:szCs w:val="21"/>
        </w:rPr>
        <w:t>披露</w:t>
      </w:r>
      <w:r w:rsidRPr="00B46892">
        <w:rPr>
          <w:rFonts w:ascii="黑体" w:eastAsia="黑体" w:hAnsi="黑体" w:cs="宋体"/>
          <w:b/>
          <w:kern w:val="0"/>
          <w:szCs w:val="21"/>
        </w:rPr>
        <w:t>义务</w:t>
      </w:r>
      <w:r w:rsidRPr="00B46892">
        <w:rPr>
          <w:rFonts w:ascii="黑体" w:eastAsia="黑体" w:hAnsi="黑体" w:cs="宋体" w:hint="eastAsia"/>
          <w:b/>
          <w:kern w:val="0"/>
          <w:szCs w:val="21"/>
        </w:rPr>
        <w:t>，如果投资者未及时查询，或由于通讯故障、非产品管理</w:t>
      </w:r>
      <w:r w:rsidRPr="00B46892">
        <w:rPr>
          <w:rFonts w:ascii="黑体" w:eastAsia="黑体" w:hAnsi="黑体" w:cs="宋体" w:hint="eastAsia"/>
          <w:b/>
          <w:kern w:val="0"/>
          <w:szCs w:val="21"/>
        </w:rPr>
        <w:t>人原因</w:t>
      </w:r>
      <w:r w:rsidRPr="00B46892">
        <w:rPr>
          <w:rFonts w:ascii="黑体" w:eastAsia="黑体" w:hAnsi="黑体" w:cs="宋体" w:hint="eastAsia"/>
          <w:b/>
          <w:kern w:val="0"/>
          <w:szCs w:val="21"/>
        </w:rPr>
        <w:t>的系统故障以及其他不可抗力等因素的影响</w:t>
      </w:r>
      <w:r w:rsidRPr="00B46892">
        <w:rPr>
          <w:rFonts w:ascii="黑体" w:eastAsia="黑体" w:hAnsi="黑体" w:cs="宋体"/>
          <w:b/>
          <w:kern w:val="0"/>
          <w:szCs w:val="21"/>
        </w:rPr>
        <w:t>,致使</w:t>
      </w:r>
      <w:r w:rsidRPr="00B46892">
        <w:rPr>
          <w:rFonts w:ascii="黑体" w:eastAsia="黑体" w:hAnsi="黑体" w:cs="宋体" w:hint="eastAsia"/>
          <w:b/>
          <w:kern w:val="0"/>
          <w:szCs w:val="21"/>
        </w:rPr>
        <w:t>投资者无法及时了解产品信息，因此而产生的（包括但不限于因未及时获知信息而错过资金使用和再投资的机会等）全部责任和风险，由投资者自行承担。</w:t>
      </w:r>
    </w:p>
    <w:p w:rsidR="00F57BEF" w:rsidRPr="00B46892" w14:paraId="7E73B320" w14:textId="77777777">
      <w:pPr>
        <w:autoSpaceDE w:val="0"/>
        <w:autoSpaceDN w:val="0"/>
        <w:adjustRightInd w:val="0"/>
        <w:ind w:firstLine="330" w:firstLineChars="157"/>
        <w:jc w:val="left"/>
        <w:rPr>
          <w:rFonts w:ascii="黑体" w:eastAsia="黑体" w:hAnsi="黑体" w:cs="宋体" w:hint="eastAsia"/>
          <w:kern w:val="0"/>
          <w:szCs w:val="21"/>
        </w:rPr>
      </w:pPr>
    </w:p>
    <w:p w:rsidR="00F57BEF" w:rsidRPr="00B46892" w14:paraId="37ABD035" w14:textId="77777777">
      <w:pPr>
        <w:autoSpaceDE w:val="0"/>
        <w:autoSpaceDN w:val="0"/>
        <w:adjustRightInd w:val="0"/>
        <w:jc w:val="left"/>
        <w:rPr>
          <w:rFonts w:ascii="黑体" w:eastAsia="黑体" w:hAnsi="黑体" w:cs="黑体" w:hint="eastAsia"/>
          <w:b/>
          <w:kern w:val="0"/>
          <w:szCs w:val="21"/>
        </w:rPr>
      </w:pPr>
      <w:r w:rsidRPr="00B46892">
        <w:rPr>
          <w:rFonts w:ascii="黑体" w:eastAsia="黑体" w:hAnsi="黑体" w:cs="黑体" w:hint="eastAsia"/>
          <w:b/>
          <w:kern w:val="0"/>
          <w:szCs w:val="21"/>
        </w:rPr>
        <w:t>十一、特别提示</w:t>
      </w:r>
    </w:p>
    <w:p w:rsidR="00F57BEF" w:rsidRPr="00B46892" w14:paraId="555F4537" w14:textId="60EE416F">
      <w:pPr>
        <w:autoSpaceDE w:val="0"/>
        <w:autoSpaceDN w:val="0"/>
        <w:adjustRightInd w:val="0"/>
        <w:ind w:firstLine="420" w:firstLineChars="200"/>
        <w:jc w:val="left"/>
        <w:rPr>
          <w:rFonts w:ascii="黑体" w:eastAsia="黑体" w:hAnsi="黑体" w:cs="宋体" w:hint="eastAsia"/>
          <w:b/>
          <w:kern w:val="0"/>
          <w:szCs w:val="21"/>
        </w:rPr>
      </w:pPr>
      <w:r w:rsidRPr="00B46892">
        <w:rPr>
          <w:rFonts w:ascii="黑体" w:eastAsia="黑体" w:hAnsi="黑体" w:cs="宋体"/>
          <w:b/>
          <w:kern w:val="0"/>
          <w:szCs w:val="21"/>
        </w:rPr>
        <w:t>1、</w:t>
      </w:r>
      <w:r w:rsidRPr="00B46892">
        <w:rPr>
          <w:rFonts w:ascii="黑体" w:eastAsia="黑体" w:hAnsi="黑体" w:cs="宋体" w:hint="eastAsia"/>
          <w:b/>
          <w:kern w:val="0"/>
          <w:szCs w:val="21"/>
        </w:rPr>
        <w:t>本产品业绩比较基准</w:t>
      </w:r>
      <w:r w:rsidR="007A196E">
        <w:rPr>
          <w:rFonts w:ascii="黑体" w:eastAsia="黑体" w:hAnsi="黑体" w:cs="宋体" w:hint="eastAsia"/>
          <w:b/>
          <w:kern w:val="0"/>
          <w:szCs w:val="21"/>
        </w:rPr>
        <w:t>、产品的过往业绩</w:t>
      </w:r>
      <w:r w:rsidRPr="00B46892">
        <w:rPr>
          <w:rFonts w:ascii="黑体" w:eastAsia="黑体" w:hAnsi="黑体" w:cs="宋体" w:hint="eastAsia"/>
          <w:b/>
          <w:kern w:val="0"/>
          <w:szCs w:val="21"/>
        </w:rPr>
        <w:t>仅供投资者参考，并不作为产品管理人向投资者支付本产品本金</w:t>
      </w:r>
      <w:r w:rsidRPr="00B46892">
        <w:rPr>
          <w:rFonts w:ascii="黑体" w:eastAsia="黑体" w:hAnsi="黑体" w:cs="宋体"/>
          <w:b/>
          <w:kern w:val="0"/>
          <w:szCs w:val="21"/>
        </w:rPr>
        <w:t>或</w:t>
      </w:r>
      <w:r w:rsidRPr="00B46892">
        <w:rPr>
          <w:rFonts w:ascii="黑体" w:eastAsia="黑体" w:hAnsi="黑体" w:cs="宋体" w:hint="eastAsia"/>
          <w:b/>
          <w:kern w:val="0"/>
          <w:szCs w:val="21"/>
        </w:rPr>
        <w:t>收益的承诺；投资者所能获得的最终收益以产品实际</w:t>
      </w:r>
      <w:r w:rsidRPr="00B46892">
        <w:rPr>
          <w:rFonts w:ascii="黑体" w:eastAsia="黑体" w:hAnsi="黑体" w:cs="宋体"/>
          <w:b/>
          <w:kern w:val="0"/>
          <w:szCs w:val="21"/>
        </w:rPr>
        <w:t>情况</w:t>
      </w:r>
      <w:r w:rsidRPr="00B46892">
        <w:rPr>
          <w:rFonts w:ascii="黑体" w:eastAsia="黑体" w:hAnsi="黑体" w:cs="宋体" w:hint="eastAsia"/>
          <w:b/>
          <w:kern w:val="0"/>
          <w:szCs w:val="21"/>
        </w:rPr>
        <w:t>为准。</w:t>
      </w:r>
    </w:p>
    <w:p w:rsidR="00F57BEF" w:rsidRPr="00B46892" w14:paraId="42EF1F27" w14:textId="77777777">
      <w:pPr>
        <w:autoSpaceDE w:val="0"/>
        <w:autoSpaceDN w:val="0"/>
        <w:adjustRightInd w:val="0"/>
        <w:ind w:firstLine="420" w:firstLineChars="200"/>
        <w:jc w:val="left"/>
        <w:rPr>
          <w:rFonts w:ascii="黑体" w:eastAsia="黑体" w:hAnsi="黑体" w:cs="宋体" w:hint="eastAsia"/>
          <w:b/>
          <w:kern w:val="0"/>
          <w:szCs w:val="21"/>
        </w:rPr>
      </w:pPr>
      <w:r w:rsidRPr="00B46892">
        <w:rPr>
          <w:rFonts w:ascii="黑体" w:eastAsia="黑体" w:hAnsi="黑体" w:cs="宋体"/>
          <w:b/>
          <w:kern w:val="0"/>
          <w:szCs w:val="21"/>
        </w:rPr>
        <w:t>2</w:t>
      </w:r>
      <w:r w:rsidRPr="00B46892">
        <w:rPr>
          <w:rFonts w:ascii="黑体" w:eastAsia="黑体" w:hAnsi="黑体" w:cs="宋体" w:hint="eastAsia"/>
          <w:b/>
          <w:kern w:val="0"/>
          <w:szCs w:val="21"/>
        </w:rPr>
        <w:t>、投资者在投资前，请仔细阅读本说明书，并</w:t>
      </w:r>
      <w:r w:rsidRPr="00B46892">
        <w:rPr>
          <w:rFonts w:ascii="黑体" w:eastAsia="黑体" w:hAnsi="黑体" w:cs="宋体" w:hint="eastAsia"/>
          <w:b/>
          <w:kern w:val="0"/>
          <w:szCs w:val="21"/>
        </w:rPr>
        <w:t>作出</w:t>
      </w:r>
      <w:r w:rsidRPr="00B46892">
        <w:rPr>
          <w:rFonts w:ascii="黑体" w:eastAsia="黑体" w:hAnsi="黑体" w:cs="宋体" w:hint="eastAsia"/>
          <w:b/>
          <w:kern w:val="0"/>
          <w:szCs w:val="21"/>
        </w:rPr>
        <w:t>独立的投资决策。</w:t>
      </w:r>
    </w:p>
    <w:p w:rsidR="00F57BEF" w:rsidRPr="00B46892" w14:paraId="6A8B02A4" w14:textId="77777777">
      <w:pPr>
        <w:autoSpaceDE w:val="0"/>
        <w:autoSpaceDN w:val="0"/>
        <w:adjustRightInd w:val="0"/>
        <w:ind w:firstLine="420" w:firstLineChars="200"/>
        <w:jc w:val="left"/>
        <w:rPr>
          <w:rFonts w:ascii="黑体" w:eastAsia="黑体" w:hAnsi="黑体" w:cs="宋体" w:hint="eastAsia"/>
          <w:b/>
          <w:kern w:val="0"/>
          <w:szCs w:val="21"/>
        </w:rPr>
      </w:pPr>
      <w:r w:rsidRPr="00B46892">
        <w:rPr>
          <w:rFonts w:ascii="黑体" w:eastAsia="黑体" w:hAnsi="黑体" w:cs="宋体"/>
          <w:b/>
          <w:kern w:val="0"/>
          <w:szCs w:val="21"/>
        </w:rPr>
        <w:t>3、产品管理人</w:t>
      </w:r>
      <w:r w:rsidRPr="00B46892">
        <w:rPr>
          <w:rFonts w:ascii="黑体" w:eastAsia="黑体" w:hAnsi="黑体" w:cs="宋体" w:hint="eastAsia"/>
          <w:b/>
          <w:kern w:val="0"/>
          <w:szCs w:val="21"/>
        </w:rPr>
        <w:t>将恪守勤勉尽责的原则，合理配置资产组合，为投资者提供专业化的理财服务。</w:t>
      </w:r>
    </w:p>
    <w:p w:rsidR="00F57BEF" w:rsidRPr="00B46892" w14:paraId="71F147DC" w14:textId="77777777">
      <w:pPr>
        <w:autoSpaceDE w:val="0"/>
        <w:autoSpaceDN w:val="0"/>
        <w:adjustRightInd w:val="0"/>
        <w:ind w:firstLine="420" w:firstLineChars="200"/>
        <w:jc w:val="left"/>
        <w:rPr>
          <w:rFonts w:ascii="黑体" w:eastAsia="黑体" w:hAnsi="黑体" w:cs="宋体" w:hint="eastAsia"/>
          <w:b/>
          <w:kern w:val="0"/>
          <w:szCs w:val="21"/>
        </w:rPr>
      </w:pPr>
      <w:r w:rsidRPr="00B46892">
        <w:rPr>
          <w:rFonts w:ascii="黑体" w:eastAsia="黑体" w:hAnsi="黑体" w:cs="宋体"/>
          <w:b/>
          <w:kern w:val="0"/>
          <w:szCs w:val="21"/>
        </w:rPr>
        <w:t>4</w:t>
      </w:r>
      <w:r w:rsidRPr="00B46892">
        <w:rPr>
          <w:rFonts w:ascii="黑体" w:eastAsia="黑体" w:hAnsi="黑体" w:cs="宋体" w:hint="eastAsia"/>
          <w:b/>
          <w:kern w:val="0"/>
          <w:szCs w:val="21"/>
        </w:rPr>
        <w:t>、投资者应密切关注产品管理人或销售机构发布的与本产品有关的信息披露公告，以免造成不必要的损失。</w:t>
      </w:r>
    </w:p>
    <w:p w:rsidR="00F57BEF" w:rsidRPr="00B46892" w14:paraId="505EAD8B" w14:textId="77777777">
      <w:pPr>
        <w:autoSpaceDE w:val="0"/>
        <w:autoSpaceDN w:val="0"/>
        <w:adjustRightInd w:val="0"/>
        <w:ind w:firstLine="420" w:firstLineChars="200"/>
        <w:jc w:val="left"/>
        <w:rPr>
          <w:rFonts w:ascii="黑体" w:eastAsia="黑体" w:hAnsi="黑体" w:cs="宋体" w:hint="eastAsia"/>
          <w:b/>
          <w:kern w:val="0"/>
          <w:szCs w:val="21"/>
        </w:rPr>
      </w:pPr>
      <w:r w:rsidRPr="00B46892">
        <w:rPr>
          <w:rFonts w:ascii="黑体" w:eastAsia="黑体" w:hAnsi="黑体" w:cs="宋体"/>
          <w:b/>
          <w:kern w:val="0"/>
          <w:szCs w:val="21"/>
        </w:rPr>
        <w:t>5、</w:t>
      </w:r>
      <w:r w:rsidRPr="00B46892">
        <w:rPr>
          <w:rFonts w:ascii="黑体" w:eastAsia="黑体" w:hAnsi="黑体" w:cs="宋体" w:hint="eastAsia"/>
          <w:b/>
          <w:kern w:val="0"/>
          <w:szCs w:val="21"/>
        </w:rPr>
        <w:t>在本产品的实际运作管理过程中，</w:t>
      </w:r>
      <w:r w:rsidRPr="00B46892">
        <w:rPr>
          <w:rFonts w:ascii="黑体" w:eastAsia="黑体" w:hAnsi="黑体" w:cs="宋体" w:hint="eastAsia"/>
          <w:b/>
          <w:kern w:val="0"/>
          <w:szCs w:val="21"/>
        </w:rPr>
        <w:t>若相关</w:t>
      </w:r>
      <w:r w:rsidRPr="00B46892">
        <w:rPr>
          <w:rFonts w:ascii="黑体" w:eastAsia="黑体" w:hAnsi="黑体" w:cs="宋体" w:hint="eastAsia"/>
          <w:b/>
          <w:kern w:val="0"/>
          <w:szCs w:val="21"/>
        </w:rPr>
        <w:t>法律法规或政策另有规定，从其规定。</w:t>
      </w:r>
    </w:p>
    <w:p w:rsidR="00F57BEF" w:rsidRPr="00B46892" w14:paraId="5B34999E" w14:textId="6D7478EB">
      <w:pPr>
        <w:autoSpaceDE w:val="0"/>
        <w:autoSpaceDN w:val="0"/>
        <w:adjustRightInd w:val="0"/>
        <w:ind w:firstLine="420" w:firstLineChars="200"/>
        <w:jc w:val="left"/>
        <w:rPr>
          <w:rFonts w:ascii="黑体" w:eastAsia="黑体" w:hAnsi="黑体" w:cs="宋体" w:hint="eastAsia"/>
          <w:b/>
          <w:kern w:val="0"/>
          <w:szCs w:val="21"/>
        </w:rPr>
      </w:pPr>
      <w:r w:rsidRPr="00B46892">
        <w:rPr>
          <w:rFonts w:ascii="黑体" w:eastAsia="黑体" w:hAnsi="黑体" w:cs="宋体" w:hint="eastAsia"/>
          <w:b/>
          <w:kern w:val="0"/>
          <w:szCs w:val="21"/>
        </w:rPr>
        <w:t>6、</w:t>
      </w:r>
      <w:r w:rsidRPr="00B46892">
        <w:rPr>
          <w:rFonts w:ascii="黑体" w:eastAsia="黑体" w:hAnsi="黑体" w:cs="宋体"/>
          <w:b/>
          <w:kern w:val="0"/>
          <w:szCs w:val="21"/>
        </w:rPr>
        <w:t>其他</w:t>
      </w:r>
      <w:r w:rsidRPr="00B46892">
        <w:rPr>
          <w:rFonts w:ascii="黑体" w:eastAsia="黑体" w:hAnsi="黑体" w:cs="宋体" w:hint="eastAsia"/>
          <w:b/>
          <w:kern w:val="0"/>
          <w:szCs w:val="21"/>
        </w:rPr>
        <w:t>：</w:t>
      </w:r>
      <w:r w:rsidRPr="00B46892" w:rsidR="003859ED">
        <w:rPr>
          <w:rFonts w:ascii="黑体" w:eastAsia="黑体" w:hAnsi="黑体" w:hint="eastAsia"/>
          <w:b/>
          <w:szCs w:val="21"/>
        </w:rPr>
        <w:t>无</w:t>
      </w:r>
    </w:p>
    <w:p w:rsidR="00F57BEF" w:rsidRPr="00B46892" w14:paraId="0BF6205D" w14:textId="77777777">
      <w:pPr>
        <w:autoSpaceDE w:val="0"/>
        <w:autoSpaceDN w:val="0"/>
        <w:adjustRightInd w:val="0"/>
        <w:ind w:firstLine="420" w:firstLineChars="200"/>
        <w:jc w:val="left"/>
        <w:rPr>
          <w:rFonts w:ascii="黑体" w:eastAsia="黑体" w:hAnsi="黑体" w:cs="宋体" w:hint="eastAsia"/>
          <w:kern w:val="0"/>
          <w:szCs w:val="21"/>
        </w:rPr>
      </w:pPr>
    </w:p>
    <w:p w:rsidR="00F57BEF" w:rsidRPr="00B46892" w14:paraId="7C443AB7" w14:textId="77777777">
      <w:pPr>
        <w:rPr>
          <w:rFonts w:ascii="黑体" w:eastAsia="黑体" w:hAnsi="黑体" w:hint="eastAsia"/>
          <w:b/>
          <w:szCs w:val="21"/>
        </w:rPr>
      </w:pPr>
      <w:r w:rsidRPr="00B46892">
        <w:rPr>
          <w:rFonts w:ascii="黑体" w:eastAsia="黑体" w:hAnsi="黑体" w:hint="eastAsia"/>
          <w:b/>
          <w:szCs w:val="21"/>
        </w:rPr>
        <w:t>十二、其他</w:t>
      </w:r>
    </w:p>
    <w:p w:rsidR="00F57BEF" w:rsidRPr="00B46892" w14:paraId="608D81C1" w14:textId="77777777">
      <w:pPr>
        <w:autoSpaceDE w:val="0"/>
        <w:autoSpaceDN w:val="0"/>
        <w:adjustRightInd w:val="0"/>
        <w:ind w:firstLine="420" w:firstLineChars="200"/>
        <w:jc w:val="left"/>
        <w:rPr>
          <w:rFonts w:ascii="黑体" w:eastAsia="黑体" w:hAnsi="黑体" w:hint="eastAsia"/>
          <w:b/>
          <w:szCs w:val="21"/>
        </w:rPr>
      </w:pPr>
      <w:r w:rsidRPr="00B46892">
        <w:rPr>
          <w:rFonts w:ascii="黑体" w:eastAsia="黑体" w:hAnsi="黑体"/>
          <w:b/>
          <w:szCs w:val="21"/>
        </w:rPr>
        <w:t>1、</w:t>
      </w:r>
      <w:r w:rsidRPr="00B46892">
        <w:rPr>
          <w:rFonts w:ascii="黑体" w:eastAsia="黑体" w:hAnsi="黑体" w:hint="eastAsia"/>
          <w:b/>
          <w:szCs w:val="21"/>
        </w:rPr>
        <w:t>除</w:t>
      </w:r>
      <w:r w:rsidRPr="00B46892">
        <w:rPr>
          <w:rFonts w:ascii="黑体" w:eastAsia="黑体" w:hAnsi="黑体"/>
          <w:b/>
          <w:szCs w:val="21"/>
        </w:rPr>
        <w:t>产品管理人</w:t>
      </w:r>
      <w:r w:rsidRPr="00B46892">
        <w:rPr>
          <w:rFonts w:ascii="黑体" w:eastAsia="黑体" w:hAnsi="黑体" w:hint="eastAsia"/>
          <w:b/>
          <w:szCs w:val="21"/>
        </w:rPr>
        <w:t>同意外</w:t>
      </w:r>
      <w:r w:rsidRPr="00B46892">
        <w:rPr>
          <w:rFonts w:ascii="黑体" w:eastAsia="黑体" w:hAnsi="黑体"/>
          <w:b/>
          <w:szCs w:val="21"/>
        </w:rPr>
        <w:t>，本产品</w:t>
      </w:r>
      <w:r w:rsidRPr="00B46892">
        <w:rPr>
          <w:rFonts w:ascii="黑体" w:eastAsia="黑体" w:hAnsi="黑体" w:hint="eastAsia"/>
          <w:b/>
          <w:szCs w:val="21"/>
        </w:rPr>
        <w:t>不</w:t>
      </w:r>
      <w:r w:rsidRPr="00B46892">
        <w:rPr>
          <w:rFonts w:ascii="黑体" w:eastAsia="黑体" w:hAnsi="黑体"/>
          <w:b/>
          <w:szCs w:val="21"/>
        </w:rPr>
        <w:t>允许投资者</w:t>
      </w:r>
      <w:r w:rsidRPr="00B46892">
        <w:rPr>
          <w:rFonts w:ascii="黑体" w:eastAsia="黑体" w:hAnsi="黑体" w:hint="eastAsia"/>
          <w:b/>
          <w:szCs w:val="21"/>
        </w:rPr>
        <w:t>办理</w:t>
      </w:r>
      <w:r w:rsidRPr="00B46892">
        <w:rPr>
          <w:rFonts w:ascii="黑体" w:eastAsia="黑体" w:hAnsi="黑体"/>
          <w:b/>
          <w:szCs w:val="21"/>
        </w:rPr>
        <w:t>提前赎回</w:t>
      </w:r>
      <w:r w:rsidRPr="00B46892">
        <w:rPr>
          <w:rFonts w:ascii="黑体" w:eastAsia="黑体" w:hAnsi="黑体" w:hint="eastAsia"/>
          <w:b/>
          <w:szCs w:val="21"/>
        </w:rPr>
        <w:t>。</w:t>
      </w:r>
    </w:p>
    <w:p w:rsidR="00F57BEF" w:rsidRPr="00B46892" w14:paraId="2FB7ABF2" w14:textId="284FD2CC">
      <w:pPr>
        <w:autoSpaceDE w:val="0"/>
        <w:autoSpaceDN w:val="0"/>
        <w:adjustRightInd w:val="0"/>
        <w:ind w:firstLine="420" w:firstLineChars="200"/>
        <w:jc w:val="left"/>
        <w:rPr>
          <w:rFonts w:ascii="黑体" w:eastAsia="黑体" w:hAnsi="黑体" w:hint="eastAsia"/>
          <w:b/>
          <w:szCs w:val="21"/>
        </w:rPr>
      </w:pPr>
      <w:r w:rsidRPr="00B46892">
        <w:rPr>
          <w:rFonts w:ascii="黑体" w:eastAsia="黑体" w:hAnsi="黑体"/>
          <w:b/>
          <w:szCs w:val="21"/>
        </w:rPr>
        <w:t>2</w:t>
      </w:r>
      <w:r w:rsidRPr="00B46892">
        <w:rPr>
          <w:rFonts w:ascii="黑体" w:eastAsia="黑体" w:hAnsi="黑体" w:hint="eastAsia"/>
          <w:b/>
          <w:szCs w:val="21"/>
        </w:rPr>
        <w:t>、</w:t>
      </w:r>
      <w:r w:rsidRPr="00B46892">
        <w:rPr>
          <w:rFonts w:ascii="黑体" w:eastAsia="黑体" w:hAnsi="黑体"/>
          <w:b/>
          <w:szCs w:val="21"/>
        </w:rPr>
        <w:t>其他</w:t>
      </w:r>
      <w:r w:rsidRPr="00B46892">
        <w:rPr>
          <w:rFonts w:ascii="黑体" w:eastAsia="黑体" w:hAnsi="黑体" w:hint="eastAsia"/>
          <w:b/>
          <w:szCs w:val="21"/>
        </w:rPr>
        <w:t>：</w:t>
      </w:r>
      <w:r w:rsidRPr="00B46892" w:rsidR="003859ED">
        <w:rPr>
          <w:rFonts w:ascii="黑体" w:eastAsia="黑体" w:hAnsi="黑体" w:hint="eastAsia"/>
          <w:b/>
          <w:szCs w:val="21"/>
        </w:rPr>
        <w:t>无</w:t>
      </w:r>
    </w:p>
    <w:p w:rsidR="00F57BEF" w:rsidRPr="00B46892" w14:paraId="344C2CCB" w14:textId="77777777">
      <w:pPr>
        <w:autoSpaceDE w:val="0"/>
        <w:autoSpaceDN w:val="0"/>
        <w:adjustRightInd w:val="0"/>
        <w:ind w:firstLine="420" w:firstLineChars="200"/>
        <w:jc w:val="left"/>
        <w:rPr>
          <w:rFonts w:ascii="黑体" w:eastAsia="黑体" w:hAnsi="黑体" w:hint="eastAsia"/>
          <w:szCs w:val="21"/>
        </w:rPr>
      </w:pPr>
    </w:p>
    <w:p w:rsidR="00F57BEF" w:rsidRPr="00B46892" w14:paraId="695F4554" w14:textId="77777777">
      <w:pPr>
        <w:autoSpaceDE w:val="0"/>
        <w:autoSpaceDN w:val="0"/>
        <w:adjustRightInd w:val="0"/>
        <w:ind w:firstLine="420" w:firstLineChars="200"/>
        <w:jc w:val="left"/>
        <w:rPr>
          <w:rFonts w:ascii="黑体" w:eastAsia="黑体" w:hAnsi="黑体" w:hint="eastAsia"/>
          <w:b/>
          <w:szCs w:val="21"/>
        </w:rPr>
      </w:pPr>
      <w:r w:rsidRPr="00B46892">
        <w:rPr>
          <w:rFonts w:ascii="黑体" w:eastAsia="黑体" w:hAnsi="黑体" w:hint="eastAsia"/>
          <w:b/>
          <w:szCs w:val="21"/>
        </w:rPr>
        <w:t>以下内容由投资者确认并</w:t>
      </w:r>
      <w:r w:rsidRPr="00B46892">
        <w:rPr>
          <w:rFonts w:ascii="黑体" w:eastAsia="黑体" w:hAnsi="黑体"/>
          <w:b/>
          <w:szCs w:val="21"/>
        </w:rPr>
        <w:t>签字</w:t>
      </w:r>
      <w:r w:rsidRPr="00B46892">
        <w:rPr>
          <w:rFonts w:ascii="黑体" w:eastAsia="黑体" w:hAnsi="黑体" w:hint="eastAsia"/>
          <w:b/>
          <w:szCs w:val="21"/>
        </w:rPr>
        <w:t>（机构投资者需盖章），如通过线</w:t>
      </w:r>
      <w:r w:rsidRPr="00B46892">
        <w:rPr>
          <w:rFonts w:ascii="黑体" w:eastAsia="黑体" w:hAnsi="黑体" w:hint="eastAsia"/>
          <w:b/>
          <w:szCs w:val="21"/>
        </w:rPr>
        <w:t>上渠道</w:t>
      </w:r>
      <w:r w:rsidRPr="00B46892">
        <w:rPr>
          <w:rFonts w:ascii="黑体" w:eastAsia="黑体" w:hAnsi="黑体" w:hint="eastAsia"/>
          <w:b/>
          <w:szCs w:val="21"/>
        </w:rPr>
        <w:t>购买，认（申）购确认即视为投资者同意并确认下述内容：</w:t>
      </w:r>
    </w:p>
    <w:p w:rsidR="00F57BEF" w:rsidRPr="00B46892" w14:paraId="06F3A2B4" w14:textId="77777777">
      <w:pPr>
        <w:autoSpaceDE w:val="0"/>
        <w:autoSpaceDN w:val="0"/>
        <w:adjustRightInd w:val="0"/>
        <w:ind w:firstLine="420" w:firstLineChars="200"/>
        <w:jc w:val="left"/>
        <w:rPr>
          <w:rFonts w:ascii="黑体" w:eastAsia="黑体" w:hAnsi="黑体" w:hint="eastAsia"/>
          <w:szCs w:val="21"/>
        </w:rPr>
      </w:pPr>
      <w:r w:rsidRPr="00B46892">
        <w:rPr>
          <w:rFonts w:ascii="黑体" w:eastAsia="黑体" w:hAnsi="黑体" w:hint="eastAsia"/>
          <w:szCs w:val="21"/>
        </w:rPr>
        <w:t>声明：本人/本机构充分阅读本</w:t>
      </w:r>
      <w:r w:rsidRPr="00B46892">
        <w:rPr>
          <w:rFonts w:ascii="黑体" w:eastAsia="黑体" w:hAnsi="黑体"/>
          <w:szCs w:val="21"/>
        </w:rPr>
        <w:t>说明书及</w:t>
      </w:r>
      <w:r w:rsidRPr="00B46892">
        <w:rPr>
          <w:rFonts w:ascii="黑体" w:eastAsia="黑体" w:hAnsi="黑体" w:hint="eastAsia"/>
          <w:szCs w:val="21"/>
        </w:rPr>
        <w:t>本理财产品的《风险揭示书》、《销售（代理销</w:t>
      </w:r>
      <w:r w:rsidRPr="00B46892">
        <w:rPr>
          <w:rFonts w:ascii="黑体" w:eastAsia="黑体" w:hAnsi="黑体" w:hint="eastAsia"/>
          <w:szCs w:val="21"/>
        </w:rPr>
        <w:t>售）协议书》、《投资协议书》、《投资者权益须知》等理财产品销售文件，已全面、准确地理解本产品，充分认识到投资本产品需要承担的风险，并自愿承担此风险。</w:t>
      </w:r>
    </w:p>
    <w:p w:rsidR="00F57BEF" w14:paraId="4BB5782E" w14:textId="77777777">
      <w:pPr>
        <w:autoSpaceDE w:val="0"/>
        <w:autoSpaceDN w:val="0"/>
        <w:adjustRightInd w:val="0"/>
        <w:ind w:firstLine="420" w:firstLineChars="200"/>
        <w:jc w:val="left"/>
        <w:rPr>
          <w:rFonts w:ascii="黑体" w:eastAsia="黑体" w:hAnsi="黑体" w:hint="eastAsia"/>
          <w:szCs w:val="21"/>
        </w:rPr>
      </w:pPr>
    </w:p>
    <w:p w:rsidR="00821019" w:rsidRPr="00C542B4" w:rsidP="00821019" w14:paraId="0ABE4A81" w14:textId="33AD7195">
      <w:pPr>
        <w:autoSpaceDE w:val="0"/>
        <w:autoSpaceDN w:val="0"/>
        <w:adjustRightInd w:val="0"/>
        <w:ind w:firstLine="420" w:firstLineChars="200"/>
        <w:jc w:val="left"/>
        <w:rPr>
          <w:rFonts w:ascii="黑体" w:eastAsia="黑体" w:hAnsi="黑体" w:hint="eastAsia"/>
          <w:b/>
          <w:szCs w:val="21"/>
        </w:rPr>
      </w:pPr>
      <w:r>
        <w:rPr>
          <w:rFonts w:ascii="黑体" w:eastAsia="黑体" w:hAnsi="黑体" w:hint="eastAsia"/>
          <w:b/>
          <w:szCs w:val="21"/>
        </w:rPr>
        <w:t>(自然人签署适用)</w:t>
      </w:r>
    </w:p>
    <w:p w:rsidR="00821019" w14:paraId="5833E6E5" w14:textId="1DECA74B">
      <w:pPr>
        <w:autoSpaceDE w:val="0"/>
        <w:autoSpaceDN w:val="0"/>
        <w:adjustRightInd w:val="0"/>
        <w:ind w:firstLine="420" w:firstLineChars="200"/>
        <w:jc w:val="left"/>
        <w:rPr>
          <w:rFonts w:ascii="黑体" w:eastAsia="黑体" w:hAnsi="黑体" w:hint="eastAsia"/>
          <w:b/>
          <w:szCs w:val="21"/>
        </w:rPr>
      </w:pPr>
      <w:r w:rsidRPr="00B46892">
        <w:rPr>
          <w:rFonts w:ascii="黑体" w:eastAsia="黑体" w:hAnsi="黑体" w:hint="eastAsia"/>
          <w:b/>
          <w:szCs w:val="21"/>
        </w:rPr>
        <w:t xml:space="preserve">投资者签字____________                  </w:t>
      </w:r>
    </w:p>
    <w:p w:rsidR="00821019" w14:paraId="36C89646" w14:textId="77777777">
      <w:pPr>
        <w:autoSpaceDE w:val="0"/>
        <w:autoSpaceDN w:val="0"/>
        <w:adjustRightInd w:val="0"/>
        <w:ind w:firstLine="420" w:firstLineChars="200"/>
        <w:jc w:val="left"/>
        <w:rPr>
          <w:rFonts w:ascii="黑体" w:eastAsia="黑体" w:hAnsi="黑体" w:hint="eastAsia"/>
          <w:b/>
          <w:szCs w:val="21"/>
        </w:rPr>
      </w:pPr>
    </w:p>
    <w:p w:rsidR="00821019" w:rsidP="00821019" w14:paraId="0F4E3FDE" w14:textId="77777777">
      <w:pPr>
        <w:autoSpaceDE w:val="0"/>
        <w:autoSpaceDN w:val="0"/>
        <w:adjustRightInd w:val="0"/>
        <w:ind w:firstLine="420" w:firstLineChars="200"/>
        <w:jc w:val="left"/>
        <w:rPr>
          <w:rFonts w:ascii="黑体" w:eastAsia="黑体" w:hAnsi="黑体" w:hint="eastAsia"/>
          <w:b/>
          <w:szCs w:val="21"/>
        </w:rPr>
      </w:pPr>
      <w:r>
        <w:rPr>
          <w:rFonts w:ascii="黑体" w:eastAsia="黑体" w:hAnsi="黑体" w:hint="eastAsia"/>
          <w:b/>
          <w:szCs w:val="21"/>
        </w:rPr>
        <w:t>（机构投资者签署适用）</w:t>
      </w:r>
    </w:p>
    <w:p w:rsidR="00821019" w:rsidRPr="00530442" w:rsidP="00821019" w14:paraId="47F4E085" w14:textId="77777777">
      <w:pPr>
        <w:autoSpaceDE w:val="0"/>
        <w:autoSpaceDN w:val="0"/>
        <w:adjustRightInd w:val="0"/>
        <w:ind w:firstLine="420" w:firstLineChars="200"/>
        <w:jc w:val="left"/>
        <w:rPr>
          <w:rFonts w:ascii="黑体" w:eastAsia="黑体" w:hAnsi="黑体" w:hint="eastAsia"/>
          <w:b/>
          <w:szCs w:val="21"/>
        </w:rPr>
      </w:pPr>
      <w:r w:rsidRPr="00530442">
        <w:rPr>
          <w:rFonts w:ascii="黑体" w:eastAsia="黑体" w:hAnsi="黑体"/>
          <w:b/>
          <w:szCs w:val="21"/>
        </w:rPr>
        <w:t>公章（或经公章授权的其他有效印鉴）：</w:t>
      </w:r>
    </w:p>
    <w:p w:rsidR="00821019" w:rsidP="00821019" w14:paraId="185622FD" w14:textId="77777777">
      <w:pPr>
        <w:autoSpaceDE w:val="0"/>
        <w:autoSpaceDN w:val="0"/>
        <w:adjustRightInd w:val="0"/>
        <w:ind w:firstLine="420" w:firstLineChars="200"/>
        <w:jc w:val="left"/>
        <w:rPr>
          <w:rFonts w:ascii="黑体" w:eastAsia="黑体" w:hAnsi="黑体" w:hint="eastAsia"/>
          <w:b/>
          <w:szCs w:val="21"/>
        </w:rPr>
      </w:pPr>
      <w:r w:rsidRPr="00530442">
        <w:rPr>
          <w:rFonts w:ascii="黑体" w:eastAsia="黑体" w:hAnsi="黑体"/>
          <w:b/>
          <w:szCs w:val="21"/>
        </w:rPr>
        <w:t>法定代表人（负责人）或授权代理人签字/签章：</w:t>
      </w:r>
    </w:p>
    <w:p w:rsidR="00821019" w:rsidRPr="00821019" w14:paraId="048FBA33" w14:textId="77777777">
      <w:pPr>
        <w:autoSpaceDE w:val="0"/>
        <w:autoSpaceDN w:val="0"/>
        <w:adjustRightInd w:val="0"/>
        <w:ind w:firstLine="420" w:firstLineChars="200"/>
        <w:jc w:val="left"/>
        <w:rPr>
          <w:rFonts w:ascii="黑体" w:eastAsia="黑体" w:hAnsi="黑体" w:hint="eastAsia"/>
          <w:b/>
          <w:szCs w:val="21"/>
        </w:rPr>
      </w:pPr>
    </w:p>
    <w:p w:rsidR="00821019" w14:paraId="55961F32" w14:textId="77777777">
      <w:pPr>
        <w:autoSpaceDE w:val="0"/>
        <w:autoSpaceDN w:val="0"/>
        <w:adjustRightInd w:val="0"/>
        <w:ind w:firstLine="420" w:firstLineChars="200"/>
        <w:jc w:val="left"/>
        <w:rPr>
          <w:rFonts w:ascii="黑体" w:eastAsia="黑体" w:hAnsi="黑体" w:hint="eastAsia"/>
          <w:b/>
          <w:szCs w:val="21"/>
        </w:rPr>
      </w:pPr>
    </w:p>
    <w:p w:rsidR="00F57BEF" w14:paraId="0BD05DAC" w14:textId="3444FC77">
      <w:pPr>
        <w:autoSpaceDE w:val="0"/>
        <w:autoSpaceDN w:val="0"/>
        <w:adjustRightInd w:val="0"/>
        <w:ind w:firstLine="420" w:firstLineChars="200"/>
        <w:jc w:val="left"/>
        <w:rPr>
          <w:rFonts w:ascii="黑体" w:eastAsia="黑体" w:hAnsi="黑体" w:hint="eastAsia"/>
          <w:b/>
          <w:szCs w:val="21"/>
        </w:rPr>
        <w:sectPr>
          <w:pgSz w:w="11906" w:h="16838"/>
          <w:pgMar w:top="1440" w:right="1800" w:bottom="1440" w:left="1800" w:header="851" w:footer="992" w:gutter="0"/>
          <w:cols w:space="425"/>
          <w:docGrid w:type="lines" w:linePitch="312"/>
        </w:sectPr>
      </w:pPr>
      <w:r w:rsidRPr="00B46892">
        <w:rPr>
          <w:rFonts w:ascii="黑体" w:eastAsia="黑体" w:hAnsi="黑体" w:hint="eastAsia"/>
          <w:b/>
          <w:szCs w:val="21"/>
        </w:rPr>
        <w:t>日期_______________</w:t>
      </w:r>
    </w:p>
    <w:p w:rsidR="00156F5C" w14:paraId="578C8384" w14:textId="77777777">
      <w:pPr>
        <w:jc w:val="center"/>
        <w:rPr>
          <w:rFonts w:ascii="黑体" w:eastAsia="黑体" w:hAnsi="宋体" w:cs="Times New Roman" w:hint="eastAsia"/>
          <w:b/>
          <w:sz w:val="44"/>
          <w:szCs w:val="44"/>
        </w:rPr>
      </w:pPr>
      <w:r>
        <w:rPr>
          <w:rFonts w:ascii="黑体" w:eastAsia="黑体" w:hAnsi="宋体" w:cs="Times New Roman" w:hint="eastAsia"/>
          <w:b/>
          <w:sz w:val="44"/>
          <w:szCs w:val="44"/>
        </w:rPr>
        <w:t>宁银理财</w:t>
      </w:r>
      <w:r>
        <w:rPr>
          <w:rFonts w:ascii="黑体" w:eastAsia="黑体" w:hAnsi="宋体" w:cs="Times New Roman" w:hint="eastAsia"/>
          <w:b/>
          <w:sz w:val="44"/>
          <w:szCs w:val="44"/>
        </w:rPr>
        <w:t>有限责任公司</w:t>
      </w:r>
      <w:r>
        <w:rPr>
          <w:rFonts w:ascii="黑体" w:eastAsia="黑体" w:hAnsi="宋体" w:cs="Times New Roman"/>
          <w:b/>
          <w:sz w:val="44"/>
          <w:szCs w:val="44"/>
        </w:rPr>
        <w:t>产品</w:t>
      </w:r>
      <w:r>
        <w:rPr>
          <w:rFonts w:ascii="黑体" w:eastAsia="黑体" w:hAnsi="宋体" w:cs="Times New Roman" w:hint="eastAsia"/>
          <w:b/>
          <w:sz w:val="44"/>
          <w:szCs w:val="44"/>
        </w:rPr>
        <w:t>投资</w:t>
      </w:r>
      <w:r>
        <w:rPr>
          <w:rFonts w:ascii="黑体" w:eastAsia="黑体" w:hAnsi="宋体" w:cs="Times New Roman"/>
          <w:b/>
          <w:sz w:val="44"/>
          <w:szCs w:val="44"/>
        </w:rPr>
        <w:t>协议</w:t>
      </w:r>
      <w:r>
        <w:rPr>
          <w:rFonts w:ascii="黑体" w:eastAsia="黑体" w:hAnsi="宋体" w:cs="Times New Roman" w:hint="eastAsia"/>
          <w:b/>
          <w:sz w:val="44"/>
          <w:szCs w:val="44"/>
        </w:rPr>
        <w:t>书</w:t>
      </w:r>
    </w:p>
    <w:p w:rsidR="00156F5C" w14:paraId="449E4B99" w14:textId="4BCCA3CF">
      <w:pPr>
        <w:adjustRightInd w:val="0"/>
        <w:snapToGrid w:val="0"/>
        <w:spacing w:line="312" w:lineRule="auto"/>
        <w:jc w:val="center"/>
        <w:rPr>
          <w:rFonts w:ascii="宋体" w:hAnsi="宋体" w:hint="eastAsia"/>
          <w:b/>
          <w:sz w:val="24"/>
        </w:rPr>
      </w:pPr>
      <w:r>
        <w:rPr>
          <w:rFonts w:ascii="宋体" w:hAnsi="宋体" w:hint="eastAsia"/>
          <w:b/>
          <w:sz w:val="24"/>
        </w:rPr>
        <w:t>（</w:t>
      </w:r>
      <w:r w:rsidR="003F3A2D">
        <w:rPr>
          <w:rFonts w:ascii="宋体" w:hAnsi="宋体"/>
          <w:b/>
          <w:sz w:val="24"/>
        </w:rPr>
        <w:t>202601</w:t>
      </w:r>
      <w:r>
        <w:rPr>
          <w:rFonts w:ascii="宋体" w:hAnsi="宋体" w:hint="eastAsia"/>
          <w:b/>
          <w:sz w:val="24"/>
        </w:rPr>
        <w:t>版）</w:t>
      </w:r>
    </w:p>
    <w:p w:rsidR="00156F5C" w14:paraId="07C714F6" w14:textId="77777777">
      <w:pPr>
        <w:adjustRightInd w:val="0"/>
        <w:snapToGrid w:val="0"/>
        <w:spacing w:line="312" w:lineRule="auto"/>
        <w:jc w:val="center"/>
        <w:rPr>
          <w:rFonts w:ascii="宋体" w:hAnsi="宋体" w:hint="eastAsia"/>
          <w:b/>
          <w:sz w:val="24"/>
        </w:rPr>
      </w:pPr>
    </w:p>
    <w:p w:rsidR="00156F5C" w14:paraId="7B7BD5D0"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宁银理财</w:t>
      </w:r>
      <w:r>
        <w:rPr>
          <w:rFonts w:ascii="宋体" w:eastAsia="宋体" w:hAnsi="宋体" w:cs="Times New Roman" w:hint="eastAsia"/>
          <w:sz w:val="24"/>
          <w:szCs w:val="24"/>
        </w:rPr>
        <w:t>有限责任公司（以下简称“乙方”）与其发行理财产品的购买方（以下简称“甲方”）经平等友好协商，本着自愿、诚实信用的原则，就甲方</w:t>
      </w:r>
      <w:r>
        <w:rPr>
          <w:rFonts w:ascii="宋体" w:eastAsia="宋体" w:hAnsi="宋体" w:cs="Times New Roman"/>
          <w:sz w:val="24"/>
          <w:szCs w:val="24"/>
        </w:rPr>
        <w:t>投资乙方发行管理的本</w:t>
      </w:r>
      <w:r>
        <w:rPr>
          <w:rFonts w:ascii="宋体" w:eastAsia="宋体" w:hAnsi="宋体" w:cs="Times New Roman" w:hint="eastAsia"/>
          <w:sz w:val="24"/>
          <w:szCs w:val="24"/>
        </w:rPr>
        <w:t>理财</w:t>
      </w:r>
      <w:r>
        <w:rPr>
          <w:rFonts w:ascii="宋体" w:eastAsia="宋体" w:hAnsi="宋体" w:cs="Times New Roman"/>
          <w:sz w:val="24"/>
          <w:szCs w:val="24"/>
        </w:rPr>
        <w:t>产品、接受乙方提供</w:t>
      </w:r>
      <w:r>
        <w:rPr>
          <w:rFonts w:ascii="宋体" w:eastAsia="宋体" w:hAnsi="宋体" w:cs="Times New Roman" w:hint="eastAsia"/>
          <w:sz w:val="24"/>
          <w:szCs w:val="24"/>
        </w:rPr>
        <w:t>的本</w:t>
      </w:r>
      <w:r>
        <w:rPr>
          <w:rFonts w:ascii="宋体" w:eastAsia="宋体" w:hAnsi="宋体" w:cs="Times New Roman"/>
          <w:sz w:val="24"/>
          <w:szCs w:val="24"/>
        </w:rPr>
        <w:t>理财</w:t>
      </w:r>
      <w:r>
        <w:rPr>
          <w:rFonts w:ascii="宋体" w:eastAsia="宋体" w:hAnsi="宋体" w:cs="Times New Roman" w:hint="eastAsia"/>
          <w:sz w:val="24"/>
          <w:szCs w:val="24"/>
        </w:rPr>
        <w:t>产品</w:t>
      </w:r>
      <w:r>
        <w:rPr>
          <w:rFonts w:ascii="宋体" w:eastAsia="宋体" w:hAnsi="宋体" w:cs="Times New Roman"/>
          <w:sz w:val="24"/>
          <w:szCs w:val="24"/>
        </w:rPr>
        <w:t>相关</w:t>
      </w:r>
      <w:r>
        <w:rPr>
          <w:rFonts w:ascii="宋体" w:eastAsia="宋体" w:hAnsi="宋体" w:cs="Times New Roman" w:hint="eastAsia"/>
          <w:sz w:val="24"/>
          <w:szCs w:val="24"/>
        </w:rPr>
        <w:t>的投资</w:t>
      </w:r>
      <w:r>
        <w:rPr>
          <w:rFonts w:ascii="宋体" w:eastAsia="宋体" w:hAnsi="宋体" w:cs="Times New Roman"/>
          <w:sz w:val="24"/>
          <w:szCs w:val="24"/>
        </w:rPr>
        <w:t>服务等事宜，</w:t>
      </w:r>
      <w:r>
        <w:rPr>
          <w:rFonts w:ascii="宋体" w:eastAsia="宋体" w:hAnsi="宋体" w:cs="Times New Roman" w:hint="eastAsia"/>
          <w:sz w:val="24"/>
          <w:szCs w:val="24"/>
        </w:rPr>
        <w:t>达成如下协议（以下简称“本协议”）：</w:t>
      </w:r>
    </w:p>
    <w:p w:rsidR="00156F5C" w14:paraId="58C69275" w14:textId="77777777">
      <w:pPr>
        <w:pStyle w:val="ListParagraph"/>
        <w:numPr>
          <w:ilvl w:val="0"/>
          <w:numId w:val="3"/>
        </w:numPr>
        <w:spacing w:line="360" w:lineRule="auto"/>
        <w:ind w:firstLineChars="0"/>
        <w:rPr>
          <w:rFonts w:ascii="宋体" w:eastAsia="宋体" w:hAnsi="宋体" w:cs="Times New Roman" w:hint="eastAsia"/>
          <w:b/>
          <w:sz w:val="24"/>
          <w:szCs w:val="24"/>
        </w:rPr>
      </w:pPr>
      <w:r>
        <w:rPr>
          <w:rFonts w:ascii="宋体" w:eastAsia="宋体" w:hAnsi="宋体" w:cs="Times New Roman" w:hint="eastAsia"/>
          <w:b/>
          <w:sz w:val="24"/>
          <w:szCs w:val="24"/>
        </w:rPr>
        <w:t>重要提示</w:t>
      </w:r>
    </w:p>
    <w:p w:rsidR="00156F5C" w14:paraId="54ED831F"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b/>
          <w:sz w:val="24"/>
          <w:szCs w:val="24"/>
        </w:rPr>
        <w:t>理财非存款、产品有风险、投资须谨慎。</w:t>
      </w:r>
      <w:r>
        <w:rPr>
          <w:rFonts w:ascii="宋体" w:eastAsia="宋体" w:hAnsi="宋体" w:cs="Times New Roman" w:hint="eastAsia"/>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156F5C" w14:paraId="36CC1654"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理财产品过往业绩不代表其未来表现，不等于理财产品实际收益，投资须谨慎。</w:t>
      </w:r>
      <w:r>
        <w:rPr>
          <w:rFonts w:ascii="宋体" w:eastAsia="宋体" w:hAnsi="宋体" w:cs="Times New Roman"/>
          <w:b/>
          <w:bCs/>
          <w:sz w:val="24"/>
          <w:szCs w:val="24"/>
        </w:rPr>
        <w:t>在任何情况下，乙方公布的产品业绩比较基准</w:t>
      </w:r>
      <w:r>
        <w:rPr>
          <w:rFonts w:ascii="宋体" w:eastAsia="宋体" w:hAnsi="宋体" w:cs="Times New Roman" w:hint="eastAsia"/>
          <w:b/>
          <w:bCs/>
          <w:sz w:val="24"/>
          <w:szCs w:val="24"/>
        </w:rPr>
        <w:t>及产品过往业绩</w:t>
      </w:r>
      <w:r>
        <w:rPr>
          <w:rFonts w:ascii="宋体" w:eastAsia="宋体" w:hAnsi="宋体" w:cs="Times New Roman"/>
          <w:b/>
          <w:bCs/>
          <w:sz w:val="24"/>
          <w:szCs w:val="24"/>
        </w:rPr>
        <w:t>仅供甲方参考，不</w:t>
      </w:r>
      <w:r>
        <w:rPr>
          <w:rFonts w:ascii="宋体" w:eastAsia="宋体" w:hAnsi="宋体" w:cs="Times New Roman" w:hint="eastAsia"/>
          <w:b/>
          <w:bCs/>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sz w:val="24"/>
          <w:szCs w:val="24"/>
        </w:rPr>
        <w:t>。</w:t>
      </w:r>
    </w:p>
    <w:p w:rsidR="00156F5C" w14:paraId="4E8154BB"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sz w:val="24"/>
          <w:szCs w:val="24"/>
        </w:rPr>
        <w:t>销售文件</w:t>
      </w:r>
      <w:r>
        <w:rPr>
          <w:rFonts w:ascii="宋体" w:eastAsia="宋体" w:hAnsi="宋体" w:cs="Times New Roman" w:hint="eastAsia"/>
          <w:sz w:val="24"/>
          <w:szCs w:val="24"/>
        </w:rPr>
        <w:t>具有同等法律效力。本协议未及事项，包括但不限于理财产品的认（申）购、赎回等相关事项，以《理财产品说明书》等理财产品销售文件</w:t>
      </w:r>
      <w:r>
        <w:rPr>
          <w:rFonts w:ascii="宋体" w:eastAsia="宋体" w:hAnsi="宋体" w:cs="Times New Roman"/>
          <w:sz w:val="24"/>
          <w:szCs w:val="24"/>
        </w:rPr>
        <w:t>具体</w:t>
      </w:r>
      <w:r>
        <w:rPr>
          <w:rFonts w:ascii="宋体" w:eastAsia="宋体" w:hAnsi="宋体" w:cs="Times New Roman" w:hint="eastAsia"/>
          <w:sz w:val="24"/>
          <w:szCs w:val="24"/>
        </w:rPr>
        <w:t>约定为准。本协议与《理财产品说明书》不一致的，以《理财产品说明书》为准。</w:t>
      </w:r>
    </w:p>
    <w:p w:rsidR="00156F5C" w14:paraId="529C56F6" w14:textId="77777777">
      <w:pPr>
        <w:pStyle w:val="ListParagraph"/>
        <w:numPr>
          <w:ilvl w:val="0"/>
          <w:numId w:val="3"/>
        </w:numPr>
        <w:spacing w:line="360" w:lineRule="auto"/>
        <w:ind w:firstLineChars="0"/>
        <w:rPr>
          <w:rFonts w:ascii="宋体" w:eastAsia="宋体" w:hAnsi="宋体" w:cs="Times New Roman" w:hint="eastAsia"/>
          <w:b/>
          <w:sz w:val="24"/>
          <w:szCs w:val="24"/>
        </w:rPr>
      </w:pPr>
      <w:r>
        <w:rPr>
          <w:rFonts w:ascii="宋体" w:eastAsia="宋体" w:hAnsi="宋体" w:cs="Times New Roman" w:hint="eastAsia"/>
          <w:b/>
          <w:sz w:val="24"/>
          <w:szCs w:val="24"/>
        </w:rPr>
        <w:t>甲方声明</w:t>
      </w:r>
    </w:p>
    <w:p w:rsidR="00156F5C" w14:paraId="52C0EAB7"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sz w:val="24"/>
          <w:szCs w:val="24"/>
        </w:rPr>
        <w:t>为资产管理产</w:t>
      </w:r>
      <w:r>
        <w:rPr>
          <w:rFonts w:ascii="宋体" w:eastAsia="宋体" w:hAnsi="宋体" w:cs="Times New Roman"/>
          <w:sz w:val="24"/>
          <w:szCs w:val="24"/>
        </w:rPr>
        <w:t>品的，甲方投资本理财产品不</w:t>
      </w:r>
      <w:r>
        <w:rPr>
          <w:rFonts w:ascii="宋体" w:eastAsia="宋体" w:hAnsi="宋体" w:cs="Times New Roman" w:hint="eastAsia"/>
          <w:sz w:val="24"/>
          <w:szCs w:val="24"/>
        </w:rPr>
        <w:t>存在</w:t>
      </w:r>
      <w:r>
        <w:rPr>
          <w:rFonts w:ascii="宋体" w:eastAsia="宋体" w:hAnsi="宋体" w:cs="Times New Roman"/>
          <w:sz w:val="24"/>
          <w:szCs w:val="24"/>
        </w:rPr>
        <w:t>违反</w:t>
      </w:r>
      <w:r>
        <w:rPr>
          <w:rFonts w:ascii="宋体" w:eastAsia="宋体" w:hAnsi="宋体" w:cs="Times New Roman" w:hint="eastAsia"/>
          <w:sz w:val="24"/>
          <w:szCs w:val="24"/>
        </w:rPr>
        <w:t>监管要求</w:t>
      </w:r>
      <w:r>
        <w:rPr>
          <w:rFonts w:ascii="宋体" w:eastAsia="宋体" w:hAnsi="宋体" w:cs="Times New Roman"/>
          <w:sz w:val="24"/>
          <w:szCs w:val="24"/>
        </w:rPr>
        <w:t>的多层嵌套</w:t>
      </w:r>
      <w:r>
        <w:rPr>
          <w:rFonts w:ascii="宋体" w:eastAsia="宋体" w:hAnsi="宋体" w:cs="Times New Roman" w:hint="eastAsia"/>
          <w:sz w:val="24"/>
          <w:szCs w:val="24"/>
        </w:rPr>
        <w:t>、</w:t>
      </w:r>
      <w:r>
        <w:rPr>
          <w:rFonts w:ascii="宋体" w:eastAsia="宋体" w:hAnsi="宋体" w:cs="Times New Roman"/>
          <w:sz w:val="24"/>
          <w:szCs w:val="24"/>
        </w:rPr>
        <w:t>规避投资范围、杠杆约束等</w:t>
      </w:r>
      <w:r>
        <w:rPr>
          <w:rFonts w:ascii="宋体" w:eastAsia="宋体" w:hAnsi="宋体" w:cs="Times New Roman" w:hint="eastAsia"/>
          <w:sz w:val="24"/>
          <w:szCs w:val="24"/>
        </w:rPr>
        <w:t>违规</w:t>
      </w:r>
      <w:r>
        <w:rPr>
          <w:rFonts w:ascii="宋体" w:eastAsia="宋体" w:hAnsi="宋体" w:cs="Times New Roman"/>
          <w:sz w:val="24"/>
          <w:szCs w:val="24"/>
        </w:rPr>
        <w:t>行为</w:t>
      </w:r>
      <w:r>
        <w:rPr>
          <w:rFonts w:ascii="宋体" w:eastAsia="宋体" w:hAnsi="宋体" w:cs="Times New Roman" w:hint="eastAsia"/>
          <w:sz w:val="24"/>
          <w:szCs w:val="24"/>
        </w:rPr>
        <w:t>。</w:t>
      </w:r>
    </w:p>
    <w:p w:rsidR="00156F5C" w14:paraId="4DF95608"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sz w:val="24"/>
          <w:szCs w:val="24"/>
        </w:rPr>
        <w:t>2、甲方保证签署和履行本协议系基于甲方的真实意愿，且不会违反对甲方</w:t>
      </w:r>
      <w:r>
        <w:rPr>
          <w:rFonts w:ascii="宋体" w:eastAsia="宋体" w:hAnsi="宋体" w:cs="Times New Roman" w:hint="eastAsia"/>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156F5C" w14:paraId="71664BCB"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sz w:val="24"/>
          <w:szCs w:val="24"/>
        </w:rPr>
        <w:t>的相关风险和全部后果，</w:t>
      </w:r>
      <w:r>
        <w:rPr>
          <w:rFonts w:ascii="宋体" w:eastAsia="宋体" w:hAnsi="宋体" w:cs="Times New Roman" w:hint="eastAsia"/>
          <w:b/>
          <w:sz w:val="24"/>
          <w:szCs w:val="24"/>
        </w:rPr>
        <w:t>乙方不承担任何责任。</w:t>
      </w:r>
    </w:p>
    <w:p w:rsidR="00156F5C" w14:paraId="7C76913F"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sz w:val="24"/>
          <w:szCs w:val="24"/>
        </w:rPr>
        <w:t>4、</w:t>
      </w:r>
      <w:r>
        <w:rPr>
          <w:rFonts w:ascii="宋体" w:eastAsia="宋体" w:hAnsi="宋体" w:cs="Times New Roman" w:hint="eastAsia"/>
          <w:b/>
          <w:sz w:val="24"/>
          <w:szCs w:val="24"/>
        </w:rPr>
        <w:t>甲方购买理财产品的资金为合法自有资金或合法募集资金，不存在使用贷款、发行债券等筹集的非自有资金投资资产管理产品的情形。甲方承诺投资理财产品使用的资金来源合法合</w:t>
      </w:r>
      <w:r>
        <w:rPr>
          <w:rFonts w:ascii="宋体" w:eastAsia="宋体" w:hAnsi="宋体" w:cs="Times New Roman" w:hint="eastAsia"/>
          <w:b/>
          <w:sz w:val="24"/>
          <w:szCs w:val="24"/>
        </w:rPr>
        <w:t>规</w:t>
      </w:r>
      <w:r>
        <w:rPr>
          <w:rFonts w:ascii="宋体" w:eastAsia="宋体" w:hAnsi="宋体" w:cs="Times New Roman" w:hint="eastAsia"/>
          <w:b/>
          <w:sz w:val="24"/>
          <w:szCs w:val="24"/>
        </w:rPr>
        <w:t>，并且系为合法之目的投资本理财产品，而非为洗钱等违法犯罪之目的</w:t>
      </w:r>
      <w:r>
        <w:rPr>
          <w:rFonts w:ascii="宋体" w:eastAsia="宋体" w:hAnsi="宋体" w:cs="Times New Roman" w:hint="eastAsia"/>
          <w:sz w:val="24"/>
          <w:szCs w:val="24"/>
        </w:rPr>
        <w:t>。</w:t>
      </w:r>
      <w:r>
        <w:rPr>
          <w:rFonts w:ascii="宋体" w:eastAsia="宋体" w:hAnsi="宋体" w:cs="Times New Roman" w:hint="eastAsia"/>
          <w:b/>
          <w:sz w:val="24"/>
          <w:szCs w:val="24"/>
        </w:rPr>
        <w:t>甲方将配合乙方及代理销售机构开展反洗钱、反恐怖融资及非居民金融账户涉税信息尽职调查等相关法律、法规及监管规定要求的工作，及时、真实、准确、完整地提供身份信息及资金来源信息并授权乙方对上述信息进行收集、存储、使用、加工、传输、提供等。</w:t>
      </w:r>
    </w:p>
    <w:p w:rsidR="00156F5C" w14:paraId="6BAF0A4E"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第三条</w:t>
      </w:r>
      <w:r>
        <w:rPr>
          <w:rFonts w:ascii="宋体" w:eastAsia="宋体" w:hAnsi="宋体" w:cs="Times New Roman"/>
          <w:b/>
          <w:sz w:val="24"/>
          <w:szCs w:val="24"/>
        </w:rPr>
        <w:t xml:space="preserve"> </w:t>
      </w:r>
      <w:r>
        <w:rPr>
          <w:rFonts w:ascii="宋体" w:eastAsia="宋体" w:hAnsi="宋体" w:cs="Times New Roman" w:hint="eastAsia"/>
          <w:b/>
          <w:sz w:val="24"/>
          <w:szCs w:val="24"/>
        </w:rPr>
        <w:t>双方权利与义务</w:t>
      </w:r>
    </w:p>
    <w:p w:rsidR="00156F5C" w14:paraId="352B4C3F" w14:textId="77777777">
      <w:pPr>
        <w:pStyle w:val="ListParagraph"/>
        <w:widowControl/>
        <w:numPr>
          <w:ilvl w:val="0"/>
          <w:numId w:val="4"/>
        </w:numPr>
        <w:ind w:firstLineChars="0"/>
        <w:jc w:val="left"/>
        <w:rPr>
          <w:rFonts w:ascii="宋体" w:eastAsia="宋体" w:hAnsi="宋体" w:cs="Times New Roman" w:hint="eastAsia"/>
          <w:b/>
          <w:sz w:val="24"/>
          <w:szCs w:val="24"/>
        </w:rPr>
      </w:pPr>
      <w:r>
        <w:rPr>
          <w:rFonts w:ascii="宋体" w:eastAsia="宋体" w:hAnsi="宋体" w:cs="Times New Roman" w:hint="eastAsia"/>
          <w:b/>
          <w:sz w:val="24"/>
          <w:szCs w:val="24"/>
        </w:rPr>
        <w:t>甲方权利与义务</w:t>
      </w:r>
    </w:p>
    <w:p w:rsidR="00156F5C" w14:paraId="5918D4BE"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sz w:val="24"/>
          <w:szCs w:val="24"/>
        </w:rPr>
        <w:t>1</w:t>
      </w:r>
      <w:r>
        <w:rPr>
          <w:rFonts w:ascii="宋体" w:eastAsia="宋体" w:hAnsi="宋体" w:cs="Times New Roman" w:hint="eastAsia"/>
          <w:sz w:val="24"/>
          <w:szCs w:val="24"/>
        </w:rPr>
        <w:t>、甲方有权依照《理财产品说明书》等理财</w:t>
      </w:r>
      <w:r>
        <w:rPr>
          <w:rFonts w:ascii="宋体" w:eastAsia="宋体" w:hAnsi="宋体" w:cs="Times New Roman"/>
          <w:sz w:val="24"/>
          <w:szCs w:val="24"/>
        </w:rPr>
        <w:t>产品销售文件</w:t>
      </w:r>
      <w:r>
        <w:rPr>
          <w:rFonts w:ascii="宋体" w:eastAsia="宋体" w:hAnsi="宋体" w:cs="Times New Roman" w:hint="eastAsia"/>
          <w:sz w:val="24"/>
          <w:szCs w:val="24"/>
        </w:rPr>
        <w:t>的约定获得投资收益，</w:t>
      </w:r>
      <w:r>
        <w:rPr>
          <w:rFonts w:ascii="宋体" w:eastAsia="宋体" w:hAnsi="宋体" w:cs="Times New Roman" w:hint="eastAsia"/>
          <w:b/>
          <w:sz w:val="24"/>
          <w:szCs w:val="24"/>
        </w:rPr>
        <w:t>在约定的投资期内，投资本金不另计存款利息。</w:t>
      </w:r>
    </w:p>
    <w:p w:rsidR="00156F5C" w14:paraId="28A65E48"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2、甲方承诺所提供的所有资料真实、完整、合法、有效</w:t>
      </w:r>
      <w:r>
        <w:rPr>
          <w:rFonts w:ascii="宋体" w:eastAsia="宋体" w:hAnsi="宋体" w:cs="Times New Roman"/>
          <w:sz w:val="24"/>
          <w:szCs w:val="24"/>
        </w:rPr>
        <w:t>，如有变更，甲方应</w:t>
      </w:r>
      <w:r>
        <w:rPr>
          <w:rFonts w:ascii="宋体" w:eastAsia="宋体" w:hAnsi="宋体" w:cs="Times New Roman" w:hint="eastAsia"/>
          <w:sz w:val="24"/>
          <w:szCs w:val="24"/>
        </w:rPr>
        <w:t>及时到其购买本产品的所有销售机构办理变更手续。</w:t>
      </w:r>
      <w:r>
        <w:rPr>
          <w:rFonts w:ascii="宋体" w:eastAsia="宋体" w:hAnsi="宋体" w:cs="Times New Roman" w:hint="eastAsia"/>
          <w:b/>
          <w:sz w:val="24"/>
          <w:szCs w:val="24"/>
        </w:rPr>
        <w:t>若甲方未及时办理相关变更手续，由此导致的一切后果由甲方自行承担，乙方对此不承担任何责任。</w:t>
      </w:r>
    </w:p>
    <w:p w:rsidR="00156F5C" w14:paraId="117BC128"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sz w:val="24"/>
          <w:szCs w:val="24"/>
        </w:rPr>
        <w:t>3</w:t>
      </w:r>
      <w:r>
        <w:rPr>
          <w:rFonts w:ascii="宋体" w:eastAsia="宋体" w:hAnsi="宋体" w:cs="Times New Roman" w:hint="eastAsia"/>
          <w:sz w:val="24"/>
          <w:szCs w:val="24"/>
        </w:rPr>
        <w:t>、因甲方指定账户冻结、挂失、换卡、销户、长期不动户等原因造成账户</w:t>
      </w:r>
      <w:r>
        <w:rPr>
          <w:rFonts w:ascii="宋体" w:eastAsia="宋体" w:hAnsi="宋体" w:cs="Times New Roman" w:hint="eastAsia"/>
          <w:sz w:val="24"/>
          <w:szCs w:val="24"/>
        </w:rPr>
        <w:t>变更或异常</w:t>
      </w:r>
      <w:r>
        <w:rPr>
          <w:rFonts w:ascii="宋体" w:eastAsia="宋体" w:hAnsi="宋体" w:cs="Times New Roman"/>
          <w:sz w:val="24"/>
          <w:szCs w:val="24"/>
        </w:rPr>
        <w:t>,甲方应及时到</w:t>
      </w:r>
      <w:r>
        <w:rPr>
          <w:rFonts w:ascii="宋体" w:eastAsia="宋体" w:hAnsi="宋体" w:cs="Times New Roman" w:hint="eastAsia"/>
          <w:sz w:val="24"/>
          <w:szCs w:val="24"/>
        </w:rPr>
        <w:t>其购买本产品的所有销售机构</w:t>
      </w:r>
      <w:r>
        <w:rPr>
          <w:rFonts w:ascii="宋体" w:eastAsia="宋体" w:hAnsi="宋体" w:cs="Times New Roman"/>
          <w:sz w:val="24"/>
          <w:szCs w:val="24"/>
        </w:rPr>
        <w:t>办理变更手续。</w:t>
      </w:r>
      <w:r>
        <w:rPr>
          <w:rFonts w:ascii="宋体" w:eastAsia="宋体" w:hAnsi="宋体" w:cs="Times New Roman"/>
          <w:b/>
          <w:sz w:val="24"/>
          <w:szCs w:val="24"/>
        </w:rPr>
        <w:t>如因甲方未及时办理变更手续而造成</w:t>
      </w:r>
      <w:r>
        <w:rPr>
          <w:rFonts w:ascii="宋体" w:eastAsia="宋体" w:hAnsi="宋体" w:cs="Times New Roman" w:hint="eastAsia"/>
          <w:b/>
          <w:sz w:val="24"/>
          <w:szCs w:val="24"/>
        </w:rPr>
        <w:t>其购买本产品的销售机构</w:t>
      </w:r>
      <w:r>
        <w:rPr>
          <w:rFonts w:ascii="宋体" w:eastAsia="宋体" w:hAnsi="宋体" w:cs="Times New Roman"/>
          <w:b/>
          <w:sz w:val="24"/>
          <w:szCs w:val="24"/>
        </w:rPr>
        <w:t>无法向甲方进行正常收益分配和资金清算分配</w:t>
      </w:r>
      <w:r>
        <w:rPr>
          <w:rFonts w:ascii="宋体" w:eastAsia="宋体" w:hAnsi="宋体" w:cs="Times New Roman" w:hint="eastAsia"/>
          <w:b/>
          <w:sz w:val="24"/>
          <w:szCs w:val="24"/>
        </w:rPr>
        <w:t>的</w:t>
      </w:r>
      <w:r>
        <w:rPr>
          <w:rFonts w:ascii="宋体" w:eastAsia="宋体" w:hAnsi="宋体" w:cs="Times New Roman"/>
          <w:b/>
          <w:sz w:val="24"/>
          <w:szCs w:val="24"/>
        </w:rPr>
        <w:t>,由此导致甲方损失的由甲方自行承担,乙方不承担责任。</w:t>
      </w:r>
    </w:p>
    <w:p w:rsidR="00156F5C" w14:paraId="53ADDC91"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sz w:val="24"/>
          <w:szCs w:val="24"/>
        </w:rPr>
        <w:t>4</w:t>
      </w:r>
      <w:r>
        <w:rPr>
          <w:rFonts w:ascii="宋体" w:eastAsia="宋体" w:hAnsi="宋体" w:cs="Times New Roman" w:hint="eastAsia"/>
          <w:sz w:val="24"/>
          <w:szCs w:val="24"/>
        </w:rPr>
        <w:t>、</w:t>
      </w:r>
      <w:r>
        <w:rPr>
          <w:rFonts w:ascii="宋体" w:eastAsia="宋体" w:hAnsi="宋体" w:cs="Times New Roman"/>
          <w:sz w:val="24"/>
          <w:szCs w:val="24"/>
        </w:rPr>
        <w:t>甲方对本协议及其条款负有保密义务，未经乙方书面许可，甲方不得向任</w:t>
      </w:r>
      <w:r>
        <w:rPr>
          <w:rFonts w:ascii="宋体" w:eastAsia="宋体" w:hAnsi="宋体" w:cs="Times New Roman" w:hint="eastAsia"/>
          <w:sz w:val="24"/>
          <w:szCs w:val="24"/>
        </w:rPr>
        <w:t>何组织、个人提供或泄露与乙方有关的业务资料及信息，</w:t>
      </w:r>
      <w:r>
        <w:rPr>
          <w:rFonts w:ascii="宋体" w:eastAsia="宋体" w:hAnsi="宋体" w:cs="Times New Roman"/>
          <w:sz w:val="24"/>
          <w:szCs w:val="24"/>
        </w:rPr>
        <w:t>法律、法规另有规</w:t>
      </w:r>
      <w:r>
        <w:rPr>
          <w:rFonts w:ascii="宋体" w:eastAsia="宋体" w:hAnsi="宋体" w:cs="Times New Roman" w:hint="eastAsia"/>
          <w:sz w:val="24"/>
          <w:szCs w:val="24"/>
        </w:rPr>
        <w:t>定的</w:t>
      </w:r>
      <w:r>
        <w:rPr>
          <w:rFonts w:ascii="宋体" w:eastAsia="宋体" w:hAnsi="宋体" w:cs="Times New Roman"/>
          <w:sz w:val="24"/>
          <w:szCs w:val="24"/>
        </w:rPr>
        <w:t>除</w:t>
      </w:r>
      <w:r>
        <w:rPr>
          <w:rFonts w:ascii="宋体" w:eastAsia="宋体" w:hAnsi="宋体" w:cs="Times New Roman" w:hint="eastAsia"/>
          <w:sz w:val="24"/>
          <w:szCs w:val="24"/>
        </w:rPr>
        <w:t>外。</w:t>
      </w:r>
    </w:p>
    <w:p w:rsidR="00156F5C" w14:paraId="4FF399FD"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b/>
          <w:bCs/>
          <w:sz w:val="24"/>
          <w:szCs w:val="24"/>
        </w:rPr>
        <w:t>5</w:t>
      </w:r>
      <w:r>
        <w:rPr>
          <w:rFonts w:ascii="宋体" w:eastAsia="宋体" w:hAnsi="宋体" w:cs="Times New Roman" w:hint="eastAsia"/>
          <w:b/>
          <w:bCs/>
          <w:sz w:val="24"/>
          <w:szCs w:val="24"/>
        </w:rPr>
        <w:t>、甲方签署本协议，即同意授权乙方及代理销售机构从甲方指定账户冻结或</w:t>
      </w:r>
      <w:r>
        <w:rPr>
          <w:rFonts w:ascii="宋体" w:eastAsia="宋体" w:hAnsi="宋体" w:cs="Times New Roman"/>
          <w:b/>
          <w:bCs/>
          <w:sz w:val="24"/>
          <w:szCs w:val="24"/>
        </w:rPr>
        <w:t>划转</w:t>
      </w:r>
      <w:r>
        <w:rPr>
          <w:rFonts w:ascii="宋体" w:eastAsia="宋体" w:hAnsi="宋体" w:cs="Times New Roman" w:hint="eastAsia"/>
          <w:b/>
          <w:bCs/>
          <w:sz w:val="24"/>
          <w:szCs w:val="24"/>
        </w:rPr>
        <w:t>等额于甲</w:t>
      </w:r>
      <w:r>
        <w:rPr>
          <w:rFonts w:ascii="宋体" w:eastAsia="宋体" w:hAnsi="宋体" w:cs="Times New Roman"/>
          <w:b/>
          <w:bCs/>
          <w:sz w:val="24"/>
          <w:szCs w:val="24"/>
        </w:rPr>
        <w:t>方在本协议项下提交认购或申购的交易金额的资金，</w:t>
      </w:r>
      <w:r>
        <w:rPr>
          <w:rFonts w:ascii="宋体" w:eastAsia="宋体" w:hAnsi="宋体" w:cs="Times New Roman" w:hint="eastAsia"/>
          <w:b/>
          <w:bCs/>
          <w:sz w:val="24"/>
          <w:szCs w:val="24"/>
        </w:rPr>
        <w:t>或</w:t>
      </w:r>
      <w:r>
        <w:rPr>
          <w:rFonts w:ascii="宋体" w:eastAsia="宋体" w:hAnsi="宋体" w:cs="Times New Roman"/>
          <w:b/>
          <w:bCs/>
          <w:sz w:val="24"/>
          <w:szCs w:val="24"/>
        </w:rPr>
        <w:t>进行币种转换于境外投资，</w:t>
      </w:r>
      <w:r>
        <w:rPr>
          <w:rFonts w:ascii="宋体" w:eastAsia="宋体" w:hAnsi="宋体" w:cs="Times New Roman" w:hint="eastAsia"/>
          <w:b/>
          <w:bCs/>
          <w:sz w:val="24"/>
          <w:szCs w:val="24"/>
        </w:rPr>
        <w:t>乙方及</w:t>
      </w:r>
      <w:r>
        <w:rPr>
          <w:rFonts w:ascii="宋体" w:eastAsia="宋体" w:hAnsi="宋体" w:cs="Times New Roman"/>
          <w:b/>
          <w:bCs/>
          <w:sz w:val="24"/>
          <w:szCs w:val="24"/>
        </w:rPr>
        <w:t>代理销售机构在</w:t>
      </w:r>
      <w:r>
        <w:rPr>
          <w:rFonts w:ascii="宋体" w:eastAsia="宋体" w:hAnsi="宋体" w:cs="Times New Roman" w:hint="eastAsia"/>
          <w:b/>
          <w:bCs/>
          <w:sz w:val="24"/>
          <w:szCs w:val="24"/>
        </w:rPr>
        <w:t>冻结或</w:t>
      </w:r>
      <w:r>
        <w:rPr>
          <w:rFonts w:ascii="宋体" w:eastAsia="宋体" w:hAnsi="宋体" w:cs="Times New Roman"/>
          <w:b/>
          <w:bCs/>
          <w:sz w:val="24"/>
          <w:szCs w:val="24"/>
        </w:rPr>
        <w:t>划款时均无须再通知甲方。</w:t>
      </w:r>
      <w:r>
        <w:rPr>
          <w:rFonts w:ascii="宋体" w:eastAsia="宋体" w:hAnsi="宋体" w:cs="Times New Roman" w:hint="eastAsia"/>
          <w:b/>
          <w:sz w:val="24"/>
          <w:szCs w:val="24"/>
        </w:rPr>
        <w:t>在产品认（申）</w:t>
      </w:r>
      <w:r>
        <w:rPr>
          <w:rFonts w:ascii="宋体" w:eastAsia="宋体" w:hAnsi="宋体" w:cs="Times New Roman" w:hint="eastAsia"/>
          <w:b/>
          <w:sz w:val="24"/>
          <w:szCs w:val="24"/>
        </w:rPr>
        <w:t>购期内</w:t>
      </w:r>
      <w:r>
        <w:rPr>
          <w:rFonts w:ascii="宋体" w:eastAsia="宋体" w:hAnsi="宋体" w:cs="Times New Roman" w:hint="eastAsia"/>
          <w:b/>
          <w:sz w:val="24"/>
          <w:szCs w:val="24"/>
        </w:rPr>
        <w:t>，如因甲方原因导致投资本金不能从甲方指定账户足额划转导致甲方对相关理财产品的购买不成功的，乙方不承担责任。</w:t>
      </w:r>
    </w:p>
    <w:p w:rsidR="00156F5C" w14:paraId="4F676DA7"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sz w:val="24"/>
          <w:szCs w:val="24"/>
        </w:rPr>
        <w:t>6</w:t>
      </w:r>
      <w:r>
        <w:rPr>
          <w:rFonts w:ascii="宋体" w:eastAsia="宋体" w:hAnsi="宋体" w:cs="Times New Roman" w:hint="eastAsia"/>
          <w:sz w:val="24"/>
          <w:szCs w:val="24"/>
        </w:rPr>
        <w:t>、如甲方在本协议项下投资的理财产品为《理财产品说明书》声明的面向</w:t>
      </w:r>
      <w:r>
        <w:rPr>
          <w:rFonts w:ascii="宋体" w:eastAsia="宋体" w:hAnsi="宋体" w:cs="Times New Roman"/>
          <w:sz w:val="24"/>
          <w:szCs w:val="24"/>
        </w:rPr>
        <w:t>合格投资者发行的理财产品，甲方</w:t>
      </w:r>
      <w:r>
        <w:rPr>
          <w:rFonts w:ascii="宋体" w:eastAsia="宋体" w:hAnsi="宋体" w:cs="Times New Roman" w:hint="eastAsia"/>
          <w:sz w:val="24"/>
          <w:szCs w:val="24"/>
        </w:rPr>
        <w:t>承诺其</w:t>
      </w:r>
      <w:r>
        <w:rPr>
          <w:rFonts w:ascii="宋体" w:eastAsia="宋体" w:hAnsi="宋体" w:cs="Times New Roman"/>
          <w:sz w:val="24"/>
          <w:szCs w:val="24"/>
        </w:rPr>
        <w:t>符合监管要求的合格投资者条件。</w:t>
      </w:r>
    </w:p>
    <w:p w:rsidR="00156F5C" w14:paraId="4DE68B57"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156F5C" w14:paraId="207C631F"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hint="eastAsia"/>
          <w:b/>
          <w:sz w:val="24"/>
          <w:szCs w:val="24"/>
        </w:rPr>
        <w:t>甲方认可乙方按《理财产品说明书》中约定的方式披露理财产品相关信息，</w:t>
      </w:r>
      <w:r>
        <w:rPr>
          <w:rFonts w:ascii="宋体" w:eastAsia="宋体" w:hAnsi="宋体" w:cs="Times New Roman" w:hint="eastAsia"/>
          <w:sz w:val="24"/>
          <w:szCs w:val="24"/>
        </w:rPr>
        <w:t>包括但不限于理财产品销售文件修改及补充、发行公告、定期报告、到期公告、重要事项公告等。</w:t>
      </w:r>
    </w:p>
    <w:p w:rsidR="00156F5C" w14:paraId="5EF35FEC"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9、如甲方投资的理财产品为私募理财产品，则募集期最后一日为产品冷静期，冷静</w:t>
      </w:r>
      <w:r>
        <w:rPr>
          <w:rFonts w:ascii="宋体" w:eastAsia="宋体" w:hAnsi="宋体" w:cs="Times New Roman" w:hint="eastAsia"/>
          <w:b/>
          <w:sz w:val="24"/>
          <w:szCs w:val="24"/>
        </w:rPr>
        <w:t>期具体</w:t>
      </w:r>
      <w:r>
        <w:rPr>
          <w:rFonts w:ascii="宋体" w:eastAsia="宋体" w:hAnsi="宋体" w:cs="Times New Roman" w:hint="eastAsia"/>
          <w:b/>
          <w:sz w:val="24"/>
          <w:szCs w:val="24"/>
        </w:rPr>
        <w:t>设置规则以《理财产品说明书》为准。在冷静期内，如甲方改变投资决定，应立即撤销认（申）购的申请或通过其购买本产品的所有销售机构向乙方提出解除相应理财产品销售文件，乙方应当遵从甲方意愿，解除已签订的理财产品销售文件，并由其购买本产品的销售机构及时退还甲方的全部投资款项。</w:t>
      </w:r>
    </w:p>
    <w:p w:rsidR="00156F5C" w14:paraId="39B3BB66"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sz w:val="24"/>
          <w:szCs w:val="24"/>
        </w:rPr>
        <w:t>10</w:t>
      </w:r>
      <w:r>
        <w:rPr>
          <w:rFonts w:ascii="宋体" w:eastAsia="宋体" w:hAnsi="宋体" w:cs="Times New Roman" w:hint="eastAsia"/>
          <w:sz w:val="24"/>
          <w:szCs w:val="24"/>
        </w:rPr>
        <w:t>、若甲方为</w:t>
      </w:r>
      <w:r>
        <w:rPr>
          <w:rFonts w:ascii="宋体" w:eastAsia="宋体" w:hAnsi="宋体" w:cs="Times New Roman" w:hint="eastAsia"/>
          <w:sz w:val="24"/>
          <w:szCs w:val="24"/>
        </w:rPr>
        <w:t>非机构</w:t>
      </w:r>
      <w:r>
        <w:rPr>
          <w:rFonts w:ascii="宋体" w:eastAsia="宋体" w:hAnsi="宋体" w:cs="Times New Roman" w:hint="eastAsia"/>
          <w:sz w:val="24"/>
          <w:szCs w:val="24"/>
        </w:rPr>
        <w:t>投资者，则对于乙方发行的、</w:t>
      </w:r>
      <w:r>
        <w:rPr>
          <w:rFonts w:ascii="宋体" w:eastAsia="宋体" w:hAnsi="宋体" w:cs="Times New Roman"/>
          <w:sz w:val="24"/>
          <w:szCs w:val="24"/>
        </w:rPr>
        <w:t>被乙方</w:t>
      </w:r>
      <w:r>
        <w:rPr>
          <w:rFonts w:ascii="宋体" w:eastAsia="宋体" w:hAnsi="宋体" w:cs="Times New Roman" w:hint="eastAsia"/>
          <w:sz w:val="24"/>
          <w:szCs w:val="24"/>
        </w:rPr>
        <w:t>或代理销售机构</w:t>
      </w:r>
      <w:r>
        <w:rPr>
          <w:rFonts w:ascii="宋体" w:eastAsia="宋体" w:hAnsi="宋体" w:cs="Times New Roman"/>
          <w:sz w:val="24"/>
          <w:szCs w:val="24"/>
        </w:rPr>
        <w:t>认定</w:t>
      </w:r>
      <w:r>
        <w:rPr>
          <w:rFonts w:ascii="宋体" w:eastAsia="宋体" w:hAnsi="宋体" w:cs="Times New Roman" w:hint="eastAsia"/>
          <w:sz w:val="24"/>
          <w:szCs w:val="24"/>
        </w:rPr>
        <w:t>风险评级为四级及以上（即中高</w:t>
      </w:r>
      <w:r>
        <w:rPr>
          <w:rFonts w:ascii="宋体" w:eastAsia="宋体" w:hAnsi="宋体" w:cs="Times New Roman"/>
          <w:sz w:val="24"/>
          <w:szCs w:val="24"/>
        </w:rPr>
        <w:t>风险和高风险</w:t>
      </w:r>
      <w:r>
        <w:rPr>
          <w:rFonts w:ascii="宋体" w:eastAsia="宋体" w:hAnsi="宋体" w:cs="Times New Roman" w:hint="eastAsia"/>
          <w:sz w:val="24"/>
          <w:szCs w:val="24"/>
        </w:rPr>
        <w:t>）的理财产品，甲方</w:t>
      </w:r>
      <w:r>
        <w:rPr>
          <w:rFonts w:ascii="宋体" w:eastAsia="宋体" w:hAnsi="宋体" w:cs="Times New Roman" w:hint="eastAsia"/>
          <w:sz w:val="24"/>
          <w:szCs w:val="24"/>
        </w:rPr>
        <w:t>需前往</w:t>
      </w:r>
      <w:r>
        <w:rPr>
          <w:rFonts w:ascii="宋体" w:eastAsia="宋体" w:hAnsi="宋体" w:cs="Times New Roman" w:hint="eastAsia"/>
          <w:sz w:val="24"/>
          <w:szCs w:val="24"/>
        </w:rPr>
        <w:t>乙方或代理销售机构认可</w:t>
      </w:r>
      <w:r>
        <w:rPr>
          <w:rFonts w:ascii="宋体" w:eastAsia="宋体" w:hAnsi="宋体" w:cs="Times New Roman"/>
          <w:sz w:val="24"/>
          <w:szCs w:val="24"/>
        </w:rPr>
        <w:t>的</w:t>
      </w:r>
      <w:r>
        <w:rPr>
          <w:rFonts w:ascii="宋体" w:eastAsia="宋体" w:hAnsi="宋体" w:cs="Times New Roman" w:hint="eastAsia"/>
          <w:sz w:val="24"/>
          <w:szCs w:val="24"/>
        </w:rPr>
        <w:t>营业网点进行购买，但已与乙方或代理销售机构当面书面约定过的情况除外。</w:t>
      </w:r>
      <w:r>
        <w:rPr>
          <w:rFonts w:ascii="宋体" w:eastAsia="宋体" w:hAnsi="宋体" w:cs="Times New Roman" w:hint="eastAsia"/>
          <w:b/>
          <w:sz w:val="24"/>
          <w:szCs w:val="24"/>
        </w:rPr>
        <w:t>甲方与乙方或代理销售机构已有当面书面约定的，即视为同意乙方及代理销售机构后续通过线</w:t>
      </w:r>
      <w:r>
        <w:rPr>
          <w:rFonts w:ascii="宋体" w:eastAsia="宋体" w:hAnsi="宋体" w:cs="Times New Roman" w:hint="eastAsia"/>
          <w:b/>
          <w:sz w:val="24"/>
          <w:szCs w:val="24"/>
        </w:rPr>
        <w:t>上渠道</w:t>
      </w:r>
      <w:r>
        <w:rPr>
          <w:rFonts w:ascii="宋体" w:eastAsia="宋体" w:hAnsi="宋体" w:cs="Times New Roman" w:hint="eastAsia"/>
          <w:b/>
          <w:sz w:val="24"/>
          <w:szCs w:val="24"/>
        </w:rPr>
        <w:t>向其推介和销售乙方发行的理财产品（包括评级为四级及以上的中高风险和高风险的理财产品），知晓并确认通过线</w:t>
      </w:r>
      <w:r>
        <w:rPr>
          <w:rFonts w:ascii="宋体" w:eastAsia="宋体" w:hAnsi="宋体" w:cs="Times New Roman" w:hint="eastAsia"/>
          <w:b/>
          <w:sz w:val="24"/>
          <w:szCs w:val="24"/>
        </w:rPr>
        <w:t>上渠道</w:t>
      </w:r>
      <w:r>
        <w:rPr>
          <w:rFonts w:ascii="宋体" w:eastAsia="宋体" w:hAnsi="宋体" w:cs="Times New Roman" w:hint="eastAsia"/>
          <w:b/>
          <w:sz w:val="24"/>
          <w:szCs w:val="24"/>
        </w:rPr>
        <w:t>办理，均是基于其对产品的特点、期限、流动性及相关风险的充分理解和评估下所</w:t>
      </w:r>
      <w:r>
        <w:rPr>
          <w:rFonts w:ascii="宋体" w:eastAsia="宋体" w:hAnsi="宋体" w:cs="Times New Roman" w:hint="eastAsia"/>
          <w:b/>
          <w:sz w:val="24"/>
          <w:szCs w:val="24"/>
        </w:rPr>
        <w:t>作出</w:t>
      </w:r>
      <w:r>
        <w:rPr>
          <w:rFonts w:ascii="宋体" w:eastAsia="宋体" w:hAnsi="宋体" w:cs="Times New Roman" w:hint="eastAsia"/>
          <w:b/>
          <w:sz w:val="24"/>
          <w:szCs w:val="24"/>
        </w:rPr>
        <w:t>的独立判断，由此产生的一切后果，将由甲方自行独立承担。</w:t>
      </w:r>
    </w:p>
    <w:p w:rsidR="00156F5C" w14:paraId="3F2909A7"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b/>
          <w:sz w:val="24"/>
          <w:szCs w:val="24"/>
        </w:rPr>
        <w:t>甲方承诺在产品存续期内，除非按照《</w:t>
      </w:r>
      <w:r>
        <w:rPr>
          <w:rFonts w:ascii="宋体" w:eastAsia="宋体" w:hAnsi="宋体" w:cs="Times New Roman" w:hint="eastAsia"/>
          <w:b/>
          <w:sz w:val="24"/>
          <w:szCs w:val="24"/>
        </w:rPr>
        <w:t>理财</w:t>
      </w:r>
      <w:r>
        <w:rPr>
          <w:rFonts w:ascii="宋体" w:eastAsia="宋体" w:hAnsi="宋体" w:cs="Times New Roman"/>
          <w:b/>
          <w:sz w:val="24"/>
          <w:szCs w:val="24"/>
        </w:rPr>
        <w:t>产品说明书》约定行权终止理财产</w:t>
      </w:r>
      <w:r>
        <w:rPr>
          <w:rFonts w:ascii="宋体" w:eastAsia="宋体" w:hAnsi="宋体" w:cs="Times New Roman" w:hint="eastAsia"/>
          <w:b/>
          <w:sz w:val="24"/>
          <w:szCs w:val="24"/>
        </w:rPr>
        <w:t>品，否则不得要求乙方在产品到期日</w:t>
      </w:r>
      <w:r>
        <w:rPr>
          <w:rFonts w:ascii="宋体" w:eastAsia="宋体" w:hAnsi="宋体" w:cs="Times New Roman"/>
          <w:b/>
          <w:sz w:val="24"/>
          <w:szCs w:val="24"/>
        </w:rPr>
        <w:t>或</w:t>
      </w:r>
      <w:r>
        <w:rPr>
          <w:rFonts w:ascii="宋体" w:eastAsia="宋体" w:hAnsi="宋体" w:cs="Times New Roman" w:hint="eastAsia"/>
          <w:b/>
          <w:sz w:val="24"/>
          <w:szCs w:val="24"/>
        </w:rPr>
        <w:t>开放日前退还已扣划款项或以任何形式清算其持有的理财产品份额，且不得将甲方指定账户销户。</w:t>
      </w:r>
      <w:r>
        <w:rPr>
          <w:rFonts w:ascii="宋体" w:eastAsia="宋体" w:hAnsi="宋体" w:cs="Times New Roman" w:hint="eastAsia"/>
          <w:sz w:val="24"/>
          <w:szCs w:val="24"/>
        </w:rPr>
        <w:t>代理销售机构即为甲方指定账户开户银行的，代理销售机构有权拒绝甲方的销户请求并及时告知乙方。</w:t>
      </w:r>
    </w:p>
    <w:p w:rsidR="00156F5C" w14:paraId="24641E17"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12、如因甲方原因，导致乙方对</w:t>
      </w:r>
      <w:r>
        <w:rPr>
          <w:rFonts w:ascii="宋体" w:eastAsia="宋体" w:hAnsi="宋体" w:cs="Times New Roman" w:hint="eastAsia"/>
          <w:b/>
          <w:sz w:val="24"/>
          <w:szCs w:val="24"/>
        </w:rPr>
        <w:t>其他第三</w:t>
      </w:r>
      <w:r>
        <w:rPr>
          <w:rFonts w:ascii="宋体" w:eastAsia="宋体" w:hAnsi="宋体" w:cs="Times New Roman" w:hint="eastAsia"/>
          <w:b/>
          <w:sz w:val="24"/>
          <w:szCs w:val="24"/>
        </w:rPr>
        <w:t>方承担赔偿责任的，甲方应承担相应的赔偿责任。</w:t>
      </w:r>
    </w:p>
    <w:p w:rsidR="00156F5C" w14:paraId="2FE32AB4"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r>
        <w:rPr>
          <w:rFonts w:ascii="宋体" w:eastAsia="宋体" w:hAnsi="宋体" w:cs="Times New Roman" w:hint="eastAsia"/>
          <w:sz w:val="24"/>
          <w:szCs w:val="24"/>
        </w:rPr>
        <w:t>、法律、法规、监管规定和其他在本产品所对应理财产品销售文件中约定的甲方的权利与义务。</w:t>
      </w:r>
    </w:p>
    <w:p w:rsidR="00156F5C" w14:paraId="38EA06C5" w14:textId="77777777">
      <w:pPr>
        <w:spacing w:line="360" w:lineRule="auto"/>
        <w:ind w:left="482"/>
        <w:rPr>
          <w:rFonts w:ascii="宋体" w:eastAsia="宋体" w:hAnsi="宋体" w:cs="Times New Roman" w:hint="eastAsia"/>
          <w:strike/>
          <w:sz w:val="24"/>
          <w:szCs w:val="24"/>
        </w:rPr>
      </w:pPr>
    </w:p>
    <w:p w:rsidR="00156F5C" w14:paraId="05128312" w14:textId="77777777">
      <w:pPr>
        <w:spacing w:line="360" w:lineRule="auto"/>
        <w:ind w:left="482"/>
        <w:rPr>
          <w:rFonts w:ascii="宋体" w:eastAsia="宋体" w:hAnsi="宋体" w:cs="Times New Roman" w:hint="eastAsia"/>
          <w:b/>
          <w:sz w:val="24"/>
          <w:szCs w:val="24"/>
        </w:rPr>
      </w:pPr>
      <w:r>
        <w:rPr>
          <w:rFonts w:ascii="宋体" w:eastAsia="宋体" w:hAnsi="宋体" w:cs="Times New Roman" w:hint="eastAsia"/>
          <w:b/>
          <w:sz w:val="24"/>
          <w:szCs w:val="24"/>
        </w:rPr>
        <w:t>（二）乙方权利与义务</w:t>
      </w:r>
    </w:p>
    <w:p w:rsidR="00156F5C" w14:paraId="323AF24D" w14:textId="77777777">
      <w:pPr>
        <w:spacing w:line="360" w:lineRule="auto"/>
        <w:ind w:firstLine="480" w:firstLineChars="20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1、乙方有权依据法律、法规</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156F5C" w14:paraId="1A6E469F" w14:textId="77777777">
      <w:pPr>
        <w:spacing w:line="360" w:lineRule="auto"/>
        <w:ind w:firstLine="480" w:firstLineChars="200"/>
        <w:rPr>
          <w:rFonts w:ascii="宋体" w:eastAsia="宋体" w:hAnsi="宋体" w:cs="Times New Roman" w:hint="eastAsia"/>
          <w:b/>
          <w:color w:val="000000" w:themeColor="text1"/>
          <w:sz w:val="24"/>
          <w:szCs w:val="24"/>
          <w:highlight w:val="yellow"/>
        </w:rPr>
      </w:pPr>
      <w:r>
        <w:rPr>
          <w:rFonts w:ascii="宋体" w:eastAsia="宋体" w:hAnsi="宋体" w:cs="Times New Roman"/>
          <w:b/>
          <w:color w:val="000000" w:themeColor="text1"/>
          <w:sz w:val="24"/>
          <w:szCs w:val="24"/>
        </w:rPr>
        <w:t>2、乙方有权以产品管理人名义,全权负责</w:t>
      </w:r>
      <w:r>
        <w:rPr>
          <w:rFonts w:ascii="宋体" w:eastAsia="宋体" w:hAnsi="宋体" w:cs="Times New Roman" w:hint="eastAsia"/>
          <w:b/>
          <w:color w:val="000000" w:themeColor="text1"/>
          <w:sz w:val="24"/>
          <w:szCs w:val="24"/>
        </w:rPr>
        <w:t>本理财产品资金的运用和理财产品资产的管理</w:t>
      </w:r>
      <w:r>
        <w:rPr>
          <w:rFonts w:ascii="宋体" w:eastAsia="宋体" w:hAnsi="宋体" w:cs="Times New Roman"/>
          <w:b/>
          <w:color w:val="000000" w:themeColor="text1"/>
          <w:sz w:val="24"/>
          <w:szCs w:val="24"/>
        </w:rPr>
        <w:t>,代表投资者利益行使诉讼权利或者实施其他法律行为，例如代表理财产品及其全部投资人参加与理财产品所投资资产相关的所有会议，并对相关事项进行表决；代表投资者利益,按照法律</w:t>
      </w:r>
      <w:r>
        <w:rPr>
          <w:rFonts w:ascii="宋体" w:eastAsia="宋体" w:hAnsi="宋体" w:cs="Times New Roman" w:hint="eastAsia"/>
          <w:b/>
          <w:color w:val="000000" w:themeColor="text1"/>
          <w:sz w:val="24"/>
          <w:szCs w:val="24"/>
        </w:rPr>
        <w:t>、法规和监管规定对理财产品投资产生的风险资产进行多种方式的处置</w:t>
      </w:r>
      <w:r>
        <w:rPr>
          <w:rFonts w:ascii="宋体" w:eastAsia="宋体" w:hAnsi="宋体" w:cs="Times New Roman"/>
          <w:b/>
          <w:color w:val="000000" w:themeColor="text1"/>
          <w:sz w:val="24"/>
          <w:szCs w:val="24"/>
        </w:rPr>
        <w:t>,包括但不限于转让、重组、债转股、资产证券化、委外催收、抵债资产收取与处置、破产重整等，由此产生的费用和法律</w:t>
      </w:r>
      <w:r>
        <w:rPr>
          <w:rFonts w:ascii="宋体" w:eastAsia="宋体" w:hAnsi="宋体" w:cs="Times New Roman" w:hint="eastAsia"/>
          <w:b/>
          <w:color w:val="000000" w:themeColor="text1"/>
          <w:sz w:val="24"/>
          <w:szCs w:val="24"/>
        </w:rPr>
        <w:t>后果由理财产品承担。在理财产品投资过程中发生任何争议，乙方有权以产品管理人的名</w:t>
      </w:r>
      <w:r>
        <w:rPr>
          <w:rFonts w:ascii="宋体" w:eastAsia="宋体" w:hAnsi="宋体" w:cs="Times New Roman"/>
          <w:b/>
          <w:color w:val="000000" w:themeColor="text1"/>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sz w:val="24"/>
          <w:szCs w:val="24"/>
        </w:rPr>
        <w:t>。甲方对此充分理解并同意该等授权安排。</w:t>
      </w:r>
      <w:r>
        <w:rPr>
          <w:rFonts w:ascii="宋体" w:eastAsia="宋体" w:hAnsi="宋体" w:cs="Times New Roman"/>
          <w:b/>
          <w:color w:val="000000" w:themeColor="text1"/>
          <w:sz w:val="24"/>
          <w:szCs w:val="24"/>
        </w:rPr>
        <w:t>乙方采取上述行动所产生的费用</w:t>
      </w:r>
      <w:r>
        <w:rPr>
          <w:rFonts w:ascii="宋体" w:eastAsia="宋体" w:hAnsi="宋体" w:cs="Times New Roman" w:hint="eastAsia"/>
          <w:b/>
          <w:color w:val="000000" w:themeColor="text1"/>
          <w:sz w:val="24"/>
          <w:szCs w:val="24"/>
        </w:rPr>
        <w:t>，</w:t>
      </w:r>
      <w:r>
        <w:rPr>
          <w:rFonts w:ascii="宋体" w:eastAsia="宋体" w:hAnsi="宋体" w:cs="Times New Roman"/>
          <w:b/>
          <w:color w:val="000000" w:themeColor="text1"/>
          <w:sz w:val="24"/>
          <w:szCs w:val="24"/>
        </w:rPr>
        <w:t>若乙方进行垫付的，乙方有权直接从理财产品财产中优先受偿。</w:t>
      </w:r>
    </w:p>
    <w:p w:rsidR="00156F5C" w14:paraId="139802A7" w14:textId="77777777">
      <w:pPr>
        <w:spacing w:line="360" w:lineRule="auto"/>
        <w:ind w:firstLine="480" w:firstLineChars="200"/>
        <w:rPr>
          <w:rFonts w:ascii="宋体" w:eastAsia="宋体" w:hAnsi="宋体" w:cs="Times New Roman" w:hint="eastAsia"/>
          <w:color w:val="000000" w:themeColor="text1"/>
          <w:sz w:val="24"/>
          <w:szCs w:val="24"/>
        </w:rPr>
      </w:pPr>
      <w:r>
        <w:rPr>
          <w:rFonts w:ascii="宋体" w:eastAsia="宋体" w:hAnsi="宋体" w:cs="Times New Roman"/>
          <w:color w:val="000000" w:themeColor="text1"/>
          <w:sz w:val="24"/>
          <w:szCs w:val="24"/>
        </w:rPr>
        <w:t>3</w:t>
      </w:r>
      <w:r>
        <w:rPr>
          <w:rFonts w:ascii="宋体" w:eastAsia="宋体" w:hAnsi="宋体" w:cs="Times New Roman" w:hint="eastAsia"/>
          <w:color w:val="000000" w:themeColor="text1"/>
          <w:sz w:val="24"/>
          <w:szCs w:val="24"/>
        </w:rPr>
        <w:t>、</w:t>
      </w:r>
      <w:r>
        <w:rPr>
          <w:rFonts w:ascii="宋体" w:eastAsia="宋体" w:hAnsi="宋体" w:cs="Times New Roman"/>
          <w:b/>
          <w:color w:val="000000" w:themeColor="text1"/>
          <w:sz w:val="24"/>
          <w:szCs w:val="24"/>
        </w:rPr>
        <w:t>乙方有权依照《理财产品说明书》</w:t>
      </w:r>
      <w:r>
        <w:rPr>
          <w:rFonts w:ascii="宋体" w:eastAsia="宋体" w:hAnsi="宋体" w:cs="Times New Roman" w:hint="eastAsia"/>
          <w:b/>
          <w:color w:val="000000" w:themeColor="text1"/>
          <w:sz w:val="24"/>
          <w:szCs w:val="24"/>
        </w:rPr>
        <w:t>的</w:t>
      </w:r>
      <w:r>
        <w:rPr>
          <w:rFonts w:ascii="宋体" w:eastAsia="宋体" w:hAnsi="宋体" w:cs="Times New Roman"/>
          <w:b/>
          <w:color w:val="000000" w:themeColor="text1"/>
          <w:sz w:val="24"/>
          <w:szCs w:val="24"/>
        </w:rPr>
        <w:t>约定收取</w:t>
      </w:r>
      <w:r>
        <w:rPr>
          <w:rFonts w:ascii="宋体" w:eastAsia="宋体" w:hAnsi="宋体" w:cs="Times New Roman" w:hint="eastAsia"/>
          <w:b/>
          <w:color w:val="000000" w:themeColor="text1"/>
          <w:sz w:val="24"/>
          <w:szCs w:val="24"/>
        </w:rPr>
        <w:t>固定管理费、浮动管理费、销售服务费等</w:t>
      </w:r>
      <w:r>
        <w:rPr>
          <w:rFonts w:ascii="宋体" w:eastAsia="宋体" w:hAnsi="宋体" w:cs="Times New Roman"/>
          <w:b/>
          <w:color w:val="000000" w:themeColor="text1"/>
          <w:sz w:val="24"/>
          <w:szCs w:val="24"/>
        </w:rPr>
        <w:t>理</w:t>
      </w:r>
      <w:r>
        <w:rPr>
          <w:rFonts w:ascii="宋体" w:eastAsia="宋体" w:hAnsi="宋体" w:cs="Times New Roman" w:hint="eastAsia"/>
          <w:b/>
          <w:color w:val="000000" w:themeColor="text1"/>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156F5C" w14:paraId="49AA7FAF" w14:textId="77777777">
      <w:pPr>
        <w:spacing w:line="360" w:lineRule="auto"/>
        <w:ind w:firstLine="480" w:firstLineChars="200"/>
        <w:rPr>
          <w:rFonts w:ascii="宋体" w:eastAsia="宋体" w:hAnsi="宋体" w:cs="Times New Roman" w:hint="eastAsia"/>
          <w:color w:val="000000" w:themeColor="text1"/>
          <w:sz w:val="24"/>
          <w:szCs w:val="24"/>
        </w:rPr>
      </w:pPr>
      <w:r>
        <w:rPr>
          <w:rFonts w:ascii="宋体" w:eastAsia="宋体" w:hAnsi="宋体" w:cs="Times New Roman"/>
          <w:color w:val="000000" w:themeColor="text1"/>
          <w:sz w:val="24"/>
          <w:szCs w:val="24"/>
        </w:rPr>
        <w:t>4</w:t>
      </w:r>
      <w:r>
        <w:rPr>
          <w:rFonts w:ascii="宋体" w:eastAsia="宋体" w:hAnsi="宋体" w:cs="Times New Roman" w:hint="eastAsia"/>
          <w:color w:val="000000" w:themeColor="text1"/>
          <w:sz w:val="24"/>
          <w:szCs w:val="24"/>
        </w:rPr>
        <w:t>、乙方有权按照《理财产品说明书》的约定确定收益分配方案、向甲方分配收益。</w:t>
      </w:r>
    </w:p>
    <w:p w:rsidR="00156F5C" w14:paraId="2CF12D33" w14:textId="7B6268DE">
      <w:pPr>
        <w:spacing w:line="360" w:lineRule="auto"/>
        <w:ind w:firstLine="480" w:firstLineChars="200"/>
        <w:rPr>
          <w:rFonts w:ascii="宋体" w:eastAsia="宋体" w:hAnsi="宋体" w:cs="Times New Roman" w:hint="eastAsia"/>
          <w:color w:val="000000" w:themeColor="text1"/>
          <w:sz w:val="24"/>
          <w:szCs w:val="24"/>
        </w:rPr>
      </w:pPr>
      <w:r>
        <w:rPr>
          <w:rFonts w:ascii="宋体" w:eastAsia="宋体" w:hAnsi="宋体" w:cs="Times New Roman"/>
          <w:color w:val="000000" w:themeColor="text1"/>
          <w:sz w:val="24"/>
          <w:szCs w:val="24"/>
        </w:rPr>
        <w:t>5</w:t>
      </w:r>
      <w:r>
        <w:rPr>
          <w:rFonts w:ascii="宋体" w:eastAsia="宋体" w:hAnsi="宋体" w:cs="Times New Roman" w:hint="eastAsia"/>
          <w:color w:val="000000" w:themeColor="text1"/>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bCs/>
          <w:color w:val="000000" w:themeColor="text1"/>
          <w:sz w:val="24"/>
          <w:szCs w:val="24"/>
        </w:rPr>
        <w:t>甲方应在充分知晓、理解有关信息披露内容后签署本协议，并在签署本协议后通过约定的信息披露渠道持续关注理财产品信息披露内容。</w:t>
      </w:r>
    </w:p>
    <w:p w:rsidR="00156F5C" w14:paraId="3B5FC216" w14:textId="022008A9">
      <w:pPr>
        <w:spacing w:line="360" w:lineRule="auto"/>
        <w:ind w:firstLine="480" w:firstLineChars="200"/>
        <w:rPr>
          <w:rFonts w:ascii="宋体" w:eastAsia="宋体" w:hAnsi="宋体" w:cs="Times New Roman" w:hint="eastAsia"/>
          <w:b/>
          <w:bCs/>
          <w:color w:val="000000" w:themeColor="text1"/>
          <w:sz w:val="24"/>
          <w:szCs w:val="24"/>
        </w:rPr>
      </w:pPr>
      <w:r>
        <w:rPr>
          <w:rFonts w:ascii="宋体" w:eastAsia="宋体" w:hAnsi="宋体" w:cs="Times New Roman"/>
          <w:b/>
          <w:bCs/>
          <w:color w:val="000000" w:themeColor="text1"/>
          <w:sz w:val="24"/>
          <w:szCs w:val="24"/>
        </w:rPr>
        <w:t>6</w:t>
      </w:r>
      <w:r>
        <w:rPr>
          <w:rFonts w:ascii="宋体" w:eastAsia="宋体" w:hAnsi="宋体" w:cs="Times New Roman" w:hint="eastAsia"/>
          <w:b/>
          <w:bCs/>
          <w:color w:val="000000" w:themeColor="text1"/>
          <w:sz w:val="24"/>
          <w:szCs w:val="24"/>
        </w:rPr>
        <w:t>、</w:t>
      </w:r>
      <w:r>
        <w:rPr>
          <w:rFonts w:ascii="宋体" w:eastAsia="宋体" w:hAnsi="宋体" w:cs="Times New Roman"/>
          <w:b/>
          <w:bCs/>
          <w:color w:val="000000" w:themeColor="text1"/>
          <w:sz w:val="24"/>
          <w:szCs w:val="24"/>
        </w:rPr>
        <w:t>基于乙方履行</w:t>
      </w:r>
      <w:r>
        <w:rPr>
          <w:rFonts w:ascii="宋体" w:eastAsia="宋体" w:hAnsi="宋体" w:cs="Times New Roman" w:hint="eastAsia"/>
          <w:b/>
          <w:bCs/>
          <w:color w:val="000000" w:themeColor="text1"/>
          <w:sz w:val="24"/>
          <w:szCs w:val="24"/>
        </w:rPr>
        <w:t>理财产品销售文件所载明的各项义务</w:t>
      </w:r>
      <w:r>
        <w:rPr>
          <w:rFonts w:ascii="宋体" w:eastAsia="宋体" w:hAnsi="宋体" w:cs="Times New Roman"/>
          <w:b/>
          <w:bCs/>
          <w:color w:val="000000" w:themeColor="text1"/>
          <w:sz w:val="24"/>
          <w:szCs w:val="24"/>
        </w:rPr>
        <w:t>、进行服务管理和风险管理、报送监管信息</w:t>
      </w:r>
      <w:r>
        <w:rPr>
          <w:rFonts w:ascii="宋体" w:eastAsia="宋体" w:hAnsi="宋体" w:cs="Times New Roman" w:hint="eastAsia"/>
          <w:b/>
          <w:bCs/>
          <w:color w:val="000000" w:themeColor="text1"/>
          <w:sz w:val="24"/>
          <w:szCs w:val="24"/>
        </w:rPr>
        <w:t>、</w:t>
      </w:r>
      <w:r>
        <w:rPr>
          <w:rFonts w:ascii="宋体" w:eastAsia="宋体" w:hAnsi="宋体" w:cs="Times New Roman"/>
          <w:b/>
          <w:bCs/>
          <w:color w:val="000000" w:themeColor="text1"/>
          <w:sz w:val="24"/>
          <w:szCs w:val="24"/>
        </w:rPr>
        <w:t>履行反洗钱、</w:t>
      </w:r>
      <w:r>
        <w:rPr>
          <w:rFonts w:ascii="宋体" w:eastAsia="宋体" w:hAnsi="宋体" w:cs="Times New Roman" w:hint="eastAsia"/>
          <w:b/>
          <w:bCs/>
          <w:color w:val="000000" w:themeColor="text1"/>
          <w:sz w:val="24"/>
          <w:szCs w:val="24"/>
        </w:rPr>
        <w:t>反恐怖融资、非居民金融账户涉税信息尽职调查、</w:t>
      </w:r>
      <w:r>
        <w:rPr>
          <w:rFonts w:ascii="宋体" w:eastAsia="宋体" w:hAnsi="宋体" w:cs="Times New Roman"/>
          <w:b/>
          <w:bCs/>
          <w:color w:val="000000" w:themeColor="text1"/>
          <w:sz w:val="24"/>
          <w:szCs w:val="24"/>
        </w:rPr>
        <w:t>投资者资质审核和销售适当性等法律法规和监管要求</w:t>
      </w:r>
      <w:r>
        <w:rPr>
          <w:rFonts w:ascii="宋体" w:eastAsia="宋体" w:hAnsi="宋体" w:cs="Times New Roman" w:hint="eastAsia"/>
          <w:b/>
          <w:bCs/>
          <w:color w:val="000000" w:themeColor="text1"/>
          <w:sz w:val="24"/>
          <w:szCs w:val="24"/>
        </w:rPr>
        <w:t>的</w:t>
      </w:r>
      <w:r>
        <w:rPr>
          <w:rFonts w:ascii="宋体" w:eastAsia="宋体" w:hAnsi="宋体" w:cs="Times New Roman"/>
          <w:b/>
          <w:bCs/>
          <w:color w:val="000000" w:themeColor="text1"/>
          <w:sz w:val="24"/>
          <w:szCs w:val="24"/>
        </w:rPr>
        <w:t>义务</w:t>
      </w:r>
      <w:r>
        <w:rPr>
          <w:rFonts w:ascii="宋体" w:eastAsia="宋体" w:hAnsi="宋体" w:cs="Times New Roman" w:hint="eastAsia"/>
          <w:b/>
          <w:bCs/>
          <w:color w:val="000000" w:themeColor="text1"/>
          <w:sz w:val="24"/>
          <w:szCs w:val="24"/>
        </w:rPr>
        <w:t>的</w:t>
      </w:r>
      <w:r>
        <w:rPr>
          <w:rFonts w:ascii="宋体" w:eastAsia="宋体" w:hAnsi="宋体" w:cs="Times New Roman"/>
          <w:b/>
          <w:bCs/>
          <w:color w:val="000000" w:themeColor="text1"/>
          <w:sz w:val="24"/>
          <w:szCs w:val="24"/>
        </w:rPr>
        <w:t>需要，</w:t>
      </w:r>
      <w:r>
        <w:rPr>
          <w:rFonts w:ascii="宋体" w:eastAsia="宋体" w:hAnsi="宋体" w:cs="Times New Roman" w:hint="eastAsia"/>
          <w:b/>
          <w:bCs/>
          <w:color w:val="000000" w:themeColor="text1"/>
          <w:sz w:val="24"/>
          <w:szCs w:val="24"/>
        </w:rPr>
        <w:t>甲方授权乙方</w:t>
      </w:r>
      <w:r>
        <w:rPr>
          <w:rFonts w:ascii="宋体" w:eastAsia="宋体" w:hAnsi="宋体" w:cs="Times New Roman"/>
          <w:b/>
          <w:bCs/>
          <w:color w:val="000000" w:themeColor="text1"/>
          <w:sz w:val="24"/>
          <w:szCs w:val="24"/>
        </w:rPr>
        <w:t>在业务办理或履行过程中</w:t>
      </w:r>
      <w:r>
        <w:rPr>
          <w:rFonts w:ascii="宋体" w:eastAsia="宋体" w:hAnsi="宋体" w:cs="Times New Roman" w:hint="eastAsia"/>
          <w:b/>
          <w:bCs/>
          <w:color w:val="000000" w:themeColor="text1"/>
          <w:sz w:val="24"/>
          <w:szCs w:val="24"/>
        </w:rPr>
        <w:t>直接或通过代理销售机构间接获取并报送、处理甲方</w:t>
      </w:r>
      <w:r w:rsidR="00912602">
        <w:rPr>
          <w:rFonts w:ascii="宋体" w:eastAsia="宋体" w:hAnsi="宋体" w:cs="Times New Roman" w:hint="eastAsia"/>
          <w:b/>
          <w:bCs/>
          <w:color w:val="000000" w:themeColor="text1"/>
          <w:sz w:val="24"/>
          <w:szCs w:val="24"/>
        </w:rPr>
        <w:t>或甲方相关人员的</w:t>
      </w:r>
      <w:r>
        <w:rPr>
          <w:rFonts w:ascii="宋体" w:eastAsia="宋体" w:hAnsi="宋体" w:cs="Times New Roman" w:hint="eastAsia"/>
          <w:b/>
          <w:bCs/>
          <w:color w:val="000000" w:themeColor="text1"/>
          <w:sz w:val="24"/>
          <w:szCs w:val="24"/>
        </w:rPr>
        <w:t>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w:t>
      </w:r>
      <w:bookmarkStart w:id="8" w:name="OLE_LINK4"/>
      <w:bookmarkStart w:id="9" w:name="OLE_LINK3"/>
      <w:r>
        <w:rPr>
          <w:rFonts w:ascii="宋体" w:eastAsia="宋体" w:hAnsi="宋体" w:cs="Times New Roman" w:hint="eastAsia"/>
          <w:b/>
          <w:bCs/>
          <w:color w:val="000000" w:themeColor="text1"/>
          <w:sz w:val="24"/>
          <w:szCs w:val="24"/>
        </w:rPr>
        <w:t>在乙方履行相关法律法规、监管规定的义务及有权机关要求的情况下，甲方授权乙方向银行业理财登记托管中心、监管机构及其他有权机关报送或提供上述信息；</w:t>
      </w:r>
      <w:bookmarkEnd w:id="8"/>
      <w:bookmarkEnd w:id="9"/>
      <w:r>
        <w:rPr>
          <w:rFonts w:ascii="宋体" w:eastAsia="宋体" w:hAnsi="宋体" w:cs="Times New Roman"/>
          <w:b/>
          <w:bCs/>
          <w:color w:val="000000" w:themeColor="text1"/>
          <w:sz w:val="24"/>
          <w:szCs w:val="24"/>
        </w:rPr>
        <w:t>在乙方办理本协议项下相关事项所必需的情形下，</w:t>
      </w:r>
      <w:r>
        <w:rPr>
          <w:rFonts w:ascii="宋体" w:eastAsia="宋体" w:hAnsi="宋体" w:cs="Times New Roman" w:hint="eastAsia"/>
          <w:b/>
          <w:bCs/>
          <w:color w:val="000000" w:themeColor="text1"/>
          <w:sz w:val="24"/>
          <w:szCs w:val="24"/>
        </w:rPr>
        <w:t>甲方授权乙方</w:t>
      </w:r>
      <w:r>
        <w:rPr>
          <w:rFonts w:ascii="宋体" w:eastAsia="宋体" w:hAnsi="宋体" w:cs="Times New Roman"/>
          <w:b/>
          <w:bCs/>
          <w:color w:val="000000" w:themeColor="text1"/>
          <w:sz w:val="24"/>
          <w:szCs w:val="24"/>
        </w:rPr>
        <w:t>向乙方集团成员、服务机构及其他乙方认为必要的业务合作机构（包括但不限于代理销售机构</w:t>
      </w:r>
      <w:r w:rsidR="002616BB">
        <w:rPr>
          <w:rFonts w:ascii="宋体" w:eastAsia="宋体" w:hAnsi="宋体" w:cs="Times New Roman" w:hint="eastAsia"/>
          <w:b/>
          <w:bCs/>
          <w:color w:val="000000" w:themeColor="text1"/>
          <w:sz w:val="24"/>
          <w:szCs w:val="24"/>
        </w:rPr>
        <w:t>、清算服务机构</w:t>
      </w:r>
      <w:r>
        <w:rPr>
          <w:rFonts w:ascii="宋体" w:eastAsia="宋体" w:hAnsi="宋体" w:cs="Times New Roman" w:hint="eastAsia"/>
          <w:b/>
          <w:bCs/>
          <w:color w:val="000000" w:themeColor="text1"/>
          <w:sz w:val="24"/>
          <w:szCs w:val="24"/>
        </w:rPr>
        <w:t>等</w:t>
      </w:r>
      <w:r>
        <w:rPr>
          <w:rFonts w:ascii="宋体" w:eastAsia="宋体" w:hAnsi="宋体" w:cs="Times New Roman"/>
          <w:b/>
          <w:bCs/>
          <w:color w:val="000000" w:themeColor="text1"/>
          <w:sz w:val="24"/>
          <w:szCs w:val="24"/>
        </w:rPr>
        <w:t>）提供乙方获取</w:t>
      </w:r>
      <w:r>
        <w:rPr>
          <w:rFonts w:ascii="宋体" w:eastAsia="宋体" w:hAnsi="宋体" w:cs="Times New Roman"/>
          <w:b/>
          <w:bCs/>
          <w:color w:val="000000" w:themeColor="text1"/>
          <w:sz w:val="24"/>
          <w:szCs w:val="24"/>
        </w:rPr>
        <w:t>的</w:t>
      </w:r>
      <w:r>
        <w:rPr>
          <w:rFonts w:ascii="宋体" w:eastAsia="宋体" w:hAnsi="宋体" w:cs="Times New Roman" w:hint="eastAsia"/>
          <w:b/>
          <w:bCs/>
          <w:color w:val="000000" w:themeColor="text1"/>
          <w:sz w:val="24"/>
          <w:szCs w:val="24"/>
        </w:rPr>
        <w:t>上述</w:t>
      </w:r>
      <w:r>
        <w:rPr>
          <w:rFonts w:ascii="宋体" w:eastAsia="宋体" w:hAnsi="宋体" w:cs="Times New Roman"/>
          <w:b/>
          <w:bCs/>
          <w:color w:val="000000" w:themeColor="text1"/>
          <w:sz w:val="24"/>
          <w:szCs w:val="24"/>
        </w:rPr>
        <w:t>甲方信息</w:t>
      </w:r>
      <w:r>
        <w:rPr>
          <w:rFonts w:ascii="宋体" w:eastAsia="宋体" w:hAnsi="宋体" w:cs="Times New Roman" w:hint="eastAsia"/>
          <w:b/>
          <w:bCs/>
          <w:color w:val="000000" w:themeColor="text1"/>
          <w:sz w:val="24"/>
          <w:szCs w:val="24"/>
        </w:rPr>
        <w:t>，授权使用时限与提供前述服务及履行相关法律法规和监管要求义务的必要时限一致</w:t>
      </w:r>
      <w:r>
        <w:rPr>
          <w:rFonts w:ascii="宋体" w:eastAsia="宋体" w:hAnsi="宋体" w:cs="Times New Roman"/>
          <w:b/>
          <w:bCs/>
          <w:color w:val="000000" w:themeColor="text1"/>
          <w:sz w:val="24"/>
          <w:szCs w:val="24"/>
        </w:rPr>
        <w:t>。接收信息的</w:t>
      </w:r>
      <w:r>
        <w:rPr>
          <w:rFonts w:ascii="宋体" w:eastAsia="宋体" w:hAnsi="宋体" w:cs="Times New Roman"/>
          <w:b/>
          <w:bCs/>
          <w:color w:val="000000" w:themeColor="text1"/>
          <w:sz w:val="24"/>
          <w:szCs w:val="24"/>
        </w:rPr>
        <w:t>上述第三</w:t>
      </w:r>
      <w:r>
        <w:rPr>
          <w:rFonts w:ascii="宋体" w:eastAsia="宋体" w:hAnsi="宋体" w:cs="Times New Roman"/>
          <w:b/>
          <w:bCs/>
          <w:color w:val="000000" w:themeColor="text1"/>
          <w:sz w:val="24"/>
          <w:szCs w:val="24"/>
        </w:rPr>
        <w:t>方将为处理本协议项下事务之目的接触并按照乙方的业务需要</w:t>
      </w:r>
      <w:r>
        <w:rPr>
          <w:rFonts w:ascii="宋体" w:eastAsia="宋体" w:hAnsi="宋体" w:cs="Times New Roman" w:hint="eastAsia"/>
          <w:b/>
          <w:bCs/>
          <w:color w:val="000000" w:themeColor="text1"/>
          <w:sz w:val="24"/>
          <w:szCs w:val="24"/>
        </w:rPr>
        <w:t>处理</w:t>
      </w:r>
      <w:r>
        <w:rPr>
          <w:rFonts w:ascii="宋体" w:eastAsia="宋体" w:hAnsi="宋体" w:cs="Times New Roman"/>
          <w:b/>
          <w:bCs/>
          <w:color w:val="000000" w:themeColor="text1"/>
          <w:sz w:val="24"/>
          <w:szCs w:val="24"/>
        </w:rPr>
        <w:t>甲方信息</w:t>
      </w:r>
      <w:r>
        <w:rPr>
          <w:rFonts w:ascii="宋体" w:eastAsia="宋体" w:hAnsi="宋体" w:cs="Times New Roman" w:hint="eastAsia"/>
          <w:b/>
          <w:bCs/>
          <w:color w:val="000000" w:themeColor="text1"/>
          <w:sz w:val="24"/>
          <w:szCs w:val="24"/>
        </w:rPr>
        <w:t>，处理方式包括但不限于存储、使用、加工、传输、提供等</w:t>
      </w:r>
      <w:r>
        <w:rPr>
          <w:rFonts w:ascii="宋体" w:eastAsia="宋体" w:hAnsi="宋体" w:cs="Times New Roman"/>
          <w:b/>
          <w:bCs/>
          <w:color w:val="000000" w:themeColor="text1"/>
          <w:sz w:val="24"/>
          <w:szCs w:val="24"/>
        </w:rPr>
        <w:t>。</w:t>
      </w:r>
      <w:r w:rsidR="0000412A">
        <w:rPr>
          <w:rFonts w:ascii="宋体" w:eastAsia="宋体" w:hAnsi="宋体" w:cs="Times New Roman" w:hint="eastAsia"/>
          <w:b/>
          <w:bCs/>
          <w:color w:val="000000" w:themeColor="text1"/>
          <w:sz w:val="24"/>
          <w:szCs w:val="24"/>
        </w:rPr>
        <w:t>上述约定的甲方</w:t>
      </w:r>
      <w:r w:rsidR="00912602">
        <w:rPr>
          <w:rFonts w:ascii="宋体" w:eastAsia="宋体" w:hAnsi="宋体" w:cs="Times New Roman" w:hint="eastAsia"/>
          <w:b/>
          <w:bCs/>
          <w:color w:val="000000" w:themeColor="text1"/>
          <w:sz w:val="24"/>
          <w:szCs w:val="24"/>
        </w:rPr>
        <w:t>或甲方相关人员的</w:t>
      </w:r>
      <w:r w:rsidR="0000412A">
        <w:rPr>
          <w:rFonts w:ascii="宋体" w:eastAsia="宋体" w:hAnsi="宋体" w:cs="Times New Roman" w:hint="eastAsia"/>
          <w:b/>
          <w:bCs/>
          <w:color w:val="000000" w:themeColor="text1"/>
          <w:sz w:val="24"/>
          <w:szCs w:val="24"/>
        </w:rPr>
        <w:t>个人信息包括敏感个人信息，敏感个人信息一旦泄露或非法使用，容易导致甲方</w:t>
      </w:r>
      <w:r w:rsidR="00912602">
        <w:rPr>
          <w:rFonts w:ascii="宋体" w:eastAsia="宋体" w:hAnsi="宋体" w:cs="Times New Roman" w:hint="eastAsia"/>
          <w:b/>
          <w:bCs/>
          <w:color w:val="000000" w:themeColor="text1"/>
          <w:sz w:val="24"/>
          <w:szCs w:val="24"/>
        </w:rPr>
        <w:t>或甲方相关人员</w:t>
      </w:r>
      <w:r w:rsidR="0000412A">
        <w:rPr>
          <w:rFonts w:ascii="宋体" w:eastAsia="宋体" w:hAnsi="宋体" w:cs="Times New Roman" w:hint="eastAsia"/>
          <w:b/>
          <w:bCs/>
          <w:color w:val="000000" w:themeColor="text1"/>
          <w:sz w:val="24"/>
          <w:szCs w:val="24"/>
        </w:rPr>
        <w:t>的人格尊严受到侵害或者人身、财产安全受到危害。</w:t>
      </w:r>
      <w:r>
        <w:rPr>
          <w:rFonts w:ascii="宋体" w:eastAsia="宋体" w:hAnsi="宋体" w:cs="Times New Roman"/>
          <w:b/>
          <w:bCs/>
          <w:color w:val="000000" w:themeColor="text1"/>
          <w:sz w:val="24"/>
          <w:szCs w:val="24"/>
        </w:rPr>
        <w:t>乙方承诺</w:t>
      </w:r>
      <w:r w:rsidR="0000412A">
        <w:rPr>
          <w:rFonts w:ascii="宋体" w:eastAsia="宋体" w:hAnsi="宋体" w:cs="Times New Roman" w:hint="eastAsia"/>
          <w:b/>
          <w:bCs/>
          <w:color w:val="000000" w:themeColor="text1"/>
          <w:sz w:val="24"/>
          <w:szCs w:val="24"/>
        </w:rPr>
        <w:t>，乙方</w:t>
      </w:r>
      <w:r w:rsidR="0000412A">
        <w:rPr>
          <w:rFonts w:ascii="宋体" w:eastAsia="宋体" w:hAnsi="宋体" w:cs="Times New Roman"/>
          <w:b/>
          <w:bCs/>
          <w:color w:val="000000" w:themeColor="text1"/>
          <w:sz w:val="24"/>
          <w:szCs w:val="24"/>
        </w:rPr>
        <w:t>及</w:t>
      </w:r>
      <w:r w:rsidR="0000412A">
        <w:rPr>
          <w:rFonts w:ascii="宋体" w:eastAsia="宋体" w:hAnsi="宋体" w:cs="Times New Roman" w:hint="eastAsia"/>
          <w:b/>
          <w:bCs/>
          <w:color w:val="000000" w:themeColor="text1"/>
          <w:sz w:val="24"/>
          <w:szCs w:val="24"/>
        </w:rPr>
        <w:t>第三</w:t>
      </w:r>
      <w:r w:rsidR="0000412A">
        <w:rPr>
          <w:rFonts w:ascii="宋体" w:eastAsia="宋体" w:hAnsi="宋体" w:cs="Times New Roman" w:hint="eastAsia"/>
          <w:b/>
          <w:bCs/>
          <w:color w:val="000000" w:themeColor="text1"/>
          <w:sz w:val="24"/>
          <w:szCs w:val="24"/>
        </w:rPr>
        <w:t>方</w:t>
      </w:r>
      <w:r w:rsidR="0000412A">
        <w:rPr>
          <w:rFonts w:ascii="宋体" w:eastAsia="宋体" w:hAnsi="宋体" w:cs="Times New Roman"/>
          <w:b/>
          <w:bCs/>
          <w:color w:val="000000" w:themeColor="text1"/>
          <w:sz w:val="24"/>
          <w:szCs w:val="24"/>
        </w:rPr>
        <w:t>业务</w:t>
      </w:r>
      <w:r w:rsidR="0000412A">
        <w:rPr>
          <w:rFonts w:ascii="宋体" w:eastAsia="宋体" w:hAnsi="宋体" w:cs="Times New Roman"/>
          <w:b/>
          <w:bCs/>
          <w:color w:val="000000" w:themeColor="text1"/>
          <w:sz w:val="24"/>
          <w:szCs w:val="24"/>
        </w:rPr>
        <w:t>合作机构</w:t>
      </w:r>
      <w:r w:rsidR="0000412A">
        <w:rPr>
          <w:rFonts w:ascii="宋体" w:eastAsia="宋体" w:hAnsi="宋体" w:cs="Times New Roman" w:hint="eastAsia"/>
          <w:b/>
          <w:bCs/>
          <w:color w:val="000000" w:themeColor="text1"/>
          <w:sz w:val="24"/>
          <w:szCs w:val="24"/>
        </w:rPr>
        <w:t>基于上述目的处理个人信息（包括</w:t>
      </w:r>
      <w:r w:rsidR="0000412A">
        <w:rPr>
          <w:rFonts w:ascii="宋体" w:eastAsia="宋体" w:hAnsi="宋体" w:cs="Times New Roman"/>
          <w:b/>
          <w:bCs/>
          <w:color w:val="000000" w:themeColor="text1"/>
          <w:sz w:val="24"/>
          <w:szCs w:val="24"/>
        </w:rPr>
        <w:t>敏感个人信息）</w:t>
      </w:r>
      <w:r w:rsidR="0000412A">
        <w:rPr>
          <w:rFonts w:ascii="宋体" w:eastAsia="宋体" w:hAnsi="宋体" w:cs="Times New Roman" w:hint="eastAsia"/>
          <w:b/>
          <w:bCs/>
          <w:color w:val="000000" w:themeColor="text1"/>
          <w:sz w:val="24"/>
          <w:szCs w:val="24"/>
        </w:rPr>
        <w:t>为提供服务或满足合</w:t>
      </w:r>
      <w:r w:rsidR="0000412A">
        <w:rPr>
          <w:rFonts w:ascii="宋体" w:eastAsia="宋体" w:hAnsi="宋体" w:cs="Times New Roman" w:hint="eastAsia"/>
          <w:b/>
          <w:bCs/>
          <w:color w:val="000000" w:themeColor="text1"/>
          <w:sz w:val="24"/>
          <w:szCs w:val="24"/>
        </w:rPr>
        <w:t>规</w:t>
      </w:r>
      <w:r w:rsidR="0000412A">
        <w:rPr>
          <w:rFonts w:ascii="宋体" w:eastAsia="宋体" w:hAnsi="宋体" w:cs="Times New Roman" w:hint="eastAsia"/>
          <w:b/>
          <w:bCs/>
          <w:color w:val="000000" w:themeColor="text1"/>
          <w:sz w:val="24"/>
          <w:szCs w:val="24"/>
        </w:rPr>
        <w:t>要求所必须，乙方</w:t>
      </w:r>
      <w:r>
        <w:rPr>
          <w:rFonts w:ascii="宋体" w:eastAsia="宋体" w:hAnsi="宋体" w:cs="Times New Roman"/>
          <w:b/>
          <w:bCs/>
          <w:color w:val="000000" w:themeColor="text1"/>
          <w:sz w:val="24"/>
          <w:szCs w:val="24"/>
        </w:rPr>
        <w:t>将向有关第三</w:t>
      </w:r>
      <w:r>
        <w:rPr>
          <w:rFonts w:ascii="宋体" w:eastAsia="宋体" w:hAnsi="宋体" w:cs="Times New Roman"/>
          <w:b/>
          <w:bCs/>
          <w:color w:val="000000" w:themeColor="text1"/>
          <w:sz w:val="24"/>
          <w:szCs w:val="24"/>
        </w:rPr>
        <w:t>方明确</w:t>
      </w:r>
      <w:r>
        <w:rPr>
          <w:rFonts w:ascii="宋体" w:eastAsia="宋体" w:hAnsi="宋体" w:cs="Times New Roman"/>
          <w:b/>
          <w:bCs/>
          <w:color w:val="000000" w:themeColor="text1"/>
          <w:sz w:val="24"/>
          <w:szCs w:val="24"/>
        </w:rPr>
        <w:t>其保护甲</w:t>
      </w:r>
      <w:r>
        <w:rPr>
          <w:rFonts w:ascii="宋体" w:eastAsia="宋体" w:hAnsi="宋体" w:cs="Times New Roman" w:hint="eastAsia"/>
          <w:b/>
          <w:bCs/>
          <w:color w:val="000000" w:themeColor="text1"/>
          <w:sz w:val="24"/>
          <w:szCs w:val="24"/>
        </w:rPr>
        <w:t>方信息的职责并要求第三方承担相应保密义务</w:t>
      </w:r>
      <w:r w:rsidR="00726D24">
        <w:rPr>
          <w:rFonts w:ascii="宋体" w:eastAsia="宋体" w:hAnsi="宋体" w:cs="Times New Roman" w:hint="eastAsia"/>
          <w:b/>
          <w:bCs/>
          <w:color w:val="000000" w:themeColor="text1"/>
          <w:sz w:val="24"/>
          <w:szCs w:val="24"/>
        </w:rPr>
        <w:t>，严格按照相关法律法规及上述约定开展信息处理行为并采取安全保护措施</w:t>
      </w:r>
      <w:r>
        <w:rPr>
          <w:rFonts w:ascii="宋体" w:eastAsia="宋体" w:hAnsi="宋体" w:cs="Times New Roman" w:hint="eastAsia"/>
          <w:b/>
          <w:bCs/>
          <w:color w:val="000000" w:themeColor="text1"/>
          <w:sz w:val="24"/>
          <w:szCs w:val="24"/>
        </w:rPr>
        <w:t>。</w:t>
      </w:r>
      <w:bookmarkStart w:id="10" w:name="OLE_LINK5"/>
      <w:bookmarkStart w:id="11" w:name="OLE_LINK2"/>
      <w:bookmarkStart w:id="12" w:name="OLE_LINK1"/>
      <w:r>
        <w:rPr>
          <w:rFonts w:ascii="宋体" w:eastAsia="宋体" w:hAnsi="宋体" w:cs="Times New Roman" w:hint="eastAsia"/>
          <w:b/>
          <w:bCs/>
          <w:color w:val="000000" w:themeColor="text1"/>
          <w:sz w:val="24"/>
          <w:szCs w:val="24"/>
        </w:rPr>
        <w:t>乙方将妥善保管投资者理财产品销售相关资料，保管年限不低于《中华人民共和国反洗钱法》、《理财公司理财产品销售管理暂行办法》等法律法规及监管规定的年限；超出必要保管期限后，乙方、销售机构及其他第三方合作机构（如有）将及时删除投资者的档案（包括以电子化形式以及纸质文本形式保管的投资者个人信息）。如甲方对第三方机构处理甲方的个人信息活动有疑问或要求，甲方可以通过《理财产品说明书》、第三方机构的官方网站（如有）、第三方机构的官方公众号（如有）等渠道获取相应的联系方式以行使甲方的个人信息权利，或者直接联系乙方</w:t>
      </w:r>
      <w:bookmarkEnd w:id="10"/>
      <w:bookmarkEnd w:id="11"/>
      <w:bookmarkEnd w:id="12"/>
      <w:r>
        <w:rPr>
          <w:rFonts w:ascii="宋体" w:eastAsia="宋体" w:hAnsi="宋体" w:cs="Times New Roman"/>
          <w:b/>
          <w:bCs/>
          <w:color w:val="000000" w:themeColor="text1"/>
          <w:sz w:val="24"/>
          <w:szCs w:val="24"/>
        </w:rPr>
        <w:t>。</w:t>
      </w:r>
    </w:p>
    <w:p w:rsidR="00156F5C" w14:paraId="63A5A78C" w14:textId="77777777">
      <w:pPr>
        <w:adjustRightInd w:val="0"/>
        <w:snapToGrid w:val="0"/>
        <w:spacing w:line="360" w:lineRule="auto"/>
        <w:ind w:firstLine="480" w:firstLineChars="200"/>
        <w:jc w:val="left"/>
        <w:rPr>
          <w:rFonts w:ascii="宋体" w:hAnsi="宋体" w:hint="eastAsia"/>
          <w:b/>
          <w:bCs/>
          <w:color w:val="000000" w:themeColor="text1"/>
          <w:sz w:val="24"/>
        </w:rPr>
      </w:pPr>
      <w:r>
        <w:rPr>
          <w:rFonts w:ascii="宋体" w:eastAsia="宋体" w:hAnsi="宋体" w:cs="Times New Roman"/>
          <w:color w:val="000000" w:themeColor="text1"/>
          <w:sz w:val="24"/>
          <w:szCs w:val="24"/>
        </w:rPr>
        <w:t>7</w:t>
      </w:r>
      <w:r>
        <w:rPr>
          <w:rFonts w:ascii="宋体" w:eastAsia="宋体" w:hAnsi="宋体" w:cs="Times New Roman" w:hint="eastAsia"/>
          <w:color w:val="000000" w:themeColor="text1"/>
          <w:sz w:val="24"/>
          <w:szCs w:val="24"/>
        </w:rPr>
        <w:t>、乙方有义务按照《理财产品说明书》的约定</w:t>
      </w:r>
      <w:r>
        <w:rPr>
          <w:rFonts w:ascii="宋体" w:eastAsia="宋体" w:hAnsi="宋体" w:cs="Times New Roman"/>
          <w:color w:val="000000" w:themeColor="text1"/>
          <w:sz w:val="24"/>
          <w:szCs w:val="24"/>
        </w:rPr>
        <w:t>在理财产品资金清算日</w:t>
      </w:r>
      <w:r>
        <w:rPr>
          <w:rFonts w:ascii="宋体" w:eastAsia="宋体" w:hAnsi="宋体" w:cs="Times New Roman" w:hint="eastAsia"/>
          <w:color w:val="000000" w:themeColor="text1"/>
          <w:sz w:val="24"/>
          <w:szCs w:val="24"/>
        </w:rPr>
        <w:t>将应支付甲方的理财产品投资本金（如有）及收益（如有）划入到甲方指定账户。</w:t>
      </w:r>
      <w:r>
        <w:rPr>
          <w:rFonts w:ascii="宋体" w:eastAsia="宋体" w:hAnsi="宋体" w:cs="Times New Roman" w:hint="eastAsia"/>
          <w:b/>
          <w:color w:val="000000" w:themeColor="text1"/>
          <w:sz w:val="24"/>
          <w:szCs w:val="24"/>
        </w:rPr>
        <w:t>如因甲方原因导致理财产品投资本金和</w:t>
      </w:r>
      <w:r>
        <w:rPr>
          <w:rFonts w:ascii="宋体" w:eastAsia="宋体" w:hAnsi="宋体" w:cs="Times New Roman"/>
          <w:b/>
          <w:color w:val="000000" w:themeColor="text1"/>
          <w:sz w:val="24"/>
          <w:szCs w:val="24"/>
        </w:rPr>
        <w:t>/或收益无法入账的，由此导致损失的，由甲方承担，乙方不承担责任。</w:t>
      </w:r>
      <w:r>
        <w:rPr>
          <w:rFonts w:ascii="宋体" w:eastAsia="宋体" w:hAnsi="宋体" w:cs="Times New Roman" w:hint="eastAsia"/>
          <w:color w:val="000000" w:themeColor="text1"/>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sz w:val="24"/>
          <w:szCs w:val="24"/>
        </w:rPr>
        <w:t>如因甲方或代理销售机构原因导致理财产品投资本金或收益无法划入甲方指定账户的，乙方不承担责任。从到期日至资金清算日的期间不计付利息。</w:t>
      </w:r>
    </w:p>
    <w:p w:rsidR="00156F5C" w14:paraId="651992BA" w14:textId="77777777">
      <w:pPr>
        <w:spacing w:line="360" w:lineRule="auto"/>
        <w:ind w:firstLine="480" w:firstLineChars="200"/>
        <w:rPr>
          <w:rFonts w:ascii="宋体" w:eastAsia="宋体" w:hAnsi="宋体" w:cs="Times New Roman" w:hint="eastAsia"/>
          <w:color w:val="000000" w:themeColor="text1"/>
          <w:sz w:val="24"/>
          <w:szCs w:val="24"/>
        </w:rPr>
      </w:pPr>
      <w:r>
        <w:rPr>
          <w:rFonts w:ascii="宋体" w:eastAsia="宋体" w:hAnsi="宋体" w:cs="Times New Roman"/>
          <w:color w:val="000000" w:themeColor="text1"/>
          <w:sz w:val="24"/>
          <w:szCs w:val="24"/>
        </w:rPr>
        <w:t>8</w:t>
      </w:r>
      <w:r>
        <w:rPr>
          <w:rFonts w:ascii="宋体" w:eastAsia="宋体" w:hAnsi="宋体" w:cs="Times New Roman" w:hint="eastAsia"/>
          <w:color w:val="000000" w:themeColor="text1"/>
          <w:sz w:val="24"/>
          <w:szCs w:val="24"/>
        </w:rPr>
        <w:t>、除法律、法规、监管规定另有规定或双方另有约定外，乙方不负责代扣代缴甲方应缴纳的税款。</w:t>
      </w:r>
    </w:p>
    <w:p w:rsidR="00156F5C" w14:paraId="211EE6DA" w14:textId="77777777">
      <w:pPr>
        <w:spacing w:line="360" w:lineRule="auto"/>
        <w:ind w:firstLine="480" w:firstLineChars="200"/>
        <w:rPr>
          <w:rFonts w:ascii="宋体" w:eastAsia="宋体" w:hAnsi="宋体" w:cs="Times New Roman" w:hint="eastAsia"/>
          <w:b/>
          <w:color w:val="000000" w:themeColor="text1"/>
          <w:sz w:val="24"/>
          <w:szCs w:val="24"/>
        </w:rPr>
      </w:pPr>
      <w:r>
        <w:rPr>
          <w:rFonts w:ascii="宋体" w:eastAsia="宋体" w:hAnsi="宋体" w:cs="Times New Roman"/>
          <w:color w:val="000000" w:themeColor="text1"/>
          <w:sz w:val="24"/>
          <w:szCs w:val="24"/>
        </w:rPr>
        <w:t>9</w:t>
      </w:r>
      <w:r>
        <w:rPr>
          <w:rFonts w:ascii="宋体" w:eastAsia="宋体" w:hAnsi="宋体" w:cs="Times New Roman" w:hint="eastAsia"/>
          <w:color w:val="000000" w:themeColor="text1"/>
          <w:sz w:val="24"/>
          <w:szCs w:val="24"/>
        </w:rPr>
        <w:t>、乙方接受甲方的委托和授权，按照法律、法规、监管规定以及</w:t>
      </w:r>
      <w:r>
        <w:rPr>
          <w:rFonts w:ascii="宋体" w:eastAsia="宋体" w:hAnsi="宋体" w:cs="Times New Roman"/>
          <w:color w:val="000000" w:themeColor="text1"/>
          <w:sz w:val="24"/>
          <w:szCs w:val="24"/>
        </w:rPr>
        <w:t>理财产品</w:t>
      </w:r>
      <w:r>
        <w:rPr>
          <w:rFonts w:ascii="宋体" w:eastAsia="宋体" w:hAnsi="宋体" w:cs="Times New Roman" w:hint="eastAsia"/>
          <w:color w:val="000000" w:themeColor="text1"/>
          <w:sz w:val="24"/>
          <w:szCs w:val="24"/>
        </w:rPr>
        <w:t>销售</w:t>
      </w:r>
      <w:r>
        <w:rPr>
          <w:rFonts w:ascii="宋体" w:eastAsia="宋体" w:hAnsi="宋体" w:cs="Times New Roman"/>
          <w:color w:val="000000" w:themeColor="text1"/>
          <w:sz w:val="24"/>
          <w:szCs w:val="24"/>
        </w:rPr>
        <w:t>文件的约定</w:t>
      </w:r>
      <w:r>
        <w:rPr>
          <w:rFonts w:ascii="宋体" w:eastAsia="宋体" w:hAnsi="宋体" w:cs="Times New Roman" w:hint="eastAsia"/>
          <w:color w:val="000000" w:themeColor="text1"/>
          <w:sz w:val="24"/>
          <w:szCs w:val="24"/>
        </w:rPr>
        <w:t>，遵循诚实信用、勤勉尽责的原则履行受托管理职责，维护甲方</w:t>
      </w:r>
      <w:r>
        <w:rPr>
          <w:rFonts w:ascii="宋体" w:eastAsia="宋体" w:hAnsi="宋体" w:cs="Times New Roman" w:hint="eastAsia"/>
          <w:color w:val="000000" w:themeColor="text1"/>
          <w:sz w:val="24"/>
          <w:szCs w:val="24"/>
        </w:rPr>
        <w:t>合法权益</w:t>
      </w:r>
      <w:r>
        <w:rPr>
          <w:rFonts w:ascii="宋体" w:eastAsia="宋体" w:hAnsi="宋体" w:cs="Times New Roman" w:hint="eastAsia"/>
          <w:b/>
          <w:color w:val="000000" w:themeColor="text1"/>
          <w:sz w:val="24"/>
          <w:szCs w:val="24"/>
        </w:rPr>
        <w:t>。</w:t>
      </w:r>
    </w:p>
    <w:p w:rsidR="00156F5C" w14:paraId="398B07A5" w14:textId="77777777">
      <w:pPr>
        <w:spacing w:line="360" w:lineRule="auto"/>
        <w:ind w:firstLine="480" w:firstLineChars="20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1</w:t>
      </w:r>
      <w:r>
        <w:rPr>
          <w:rFonts w:ascii="宋体" w:eastAsia="宋体" w:hAnsi="宋体" w:cs="Times New Roman"/>
          <w:color w:val="000000" w:themeColor="text1"/>
          <w:sz w:val="24"/>
          <w:szCs w:val="24"/>
        </w:rPr>
        <w:t>0</w:t>
      </w:r>
      <w:r>
        <w:rPr>
          <w:rFonts w:ascii="宋体" w:eastAsia="宋体" w:hAnsi="宋体" w:cs="Times New Roman" w:hint="eastAsia"/>
          <w:color w:val="000000" w:themeColor="text1"/>
          <w:sz w:val="24"/>
          <w:szCs w:val="24"/>
        </w:rPr>
        <w:t>、乙方对本协议及其条款负有保密义务，未经甲方许可，乙方不得向任何组织、个</w:t>
      </w:r>
      <w:r>
        <w:rPr>
          <w:rFonts w:ascii="宋体" w:eastAsia="宋体" w:hAnsi="宋体" w:cs="Times New Roman"/>
          <w:color w:val="000000" w:themeColor="text1"/>
          <w:sz w:val="24"/>
          <w:szCs w:val="24"/>
        </w:rPr>
        <w:t>人提供或泄露与甲方有关的业务资料及信息，但法律</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法规及金融监管机构另有规定、</w:t>
      </w:r>
      <w:r>
        <w:rPr>
          <w:rFonts w:ascii="宋体" w:eastAsia="宋体" w:hAnsi="宋体" w:cs="Times New Roman" w:hint="eastAsia"/>
          <w:color w:val="000000" w:themeColor="text1"/>
          <w:sz w:val="24"/>
          <w:szCs w:val="24"/>
        </w:rPr>
        <w:t>乙方</w:t>
      </w:r>
      <w:r>
        <w:rPr>
          <w:rFonts w:ascii="宋体" w:eastAsia="宋体" w:hAnsi="宋体" w:cs="Times New Roman"/>
          <w:color w:val="000000" w:themeColor="text1"/>
          <w:sz w:val="24"/>
          <w:szCs w:val="24"/>
        </w:rPr>
        <w:t>向专业咨询机构</w:t>
      </w:r>
      <w:r>
        <w:rPr>
          <w:rFonts w:ascii="宋体" w:eastAsia="宋体" w:hAnsi="宋体" w:cs="Times New Roman" w:hint="eastAsia"/>
          <w:color w:val="000000" w:themeColor="text1"/>
          <w:sz w:val="24"/>
          <w:szCs w:val="24"/>
        </w:rPr>
        <w:t>进行咨询涉及的披露</w:t>
      </w:r>
      <w:r>
        <w:rPr>
          <w:rFonts w:ascii="宋体" w:eastAsia="宋体" w:hAnsi="宋体" w:cs="Times New Roman"/>
          <w:color w:val="000000" w:themeColor="text1"/>
          <w:sz w:val="24"/>
          <w:szCs w:val="24"/>
        </w:rPr>
        <w:t>以及甲乙双方另有约定的其他情况除外。</w:t>
      </w:r>
    </w:p>
    <w:p w:rsidR="00156F5C" w14:paraId="25B1259A" w14:textId="77777777">
      <w:pPr>
        <w:spacing w:line="360" w:lineRule="auto"/>
        <w:ind w:firstLine="480" w:firstLineChars="20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1</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、法律、法规、监管规定和其他在本产品所对应理财产品销售文件中约定的乙方的权利与义务。</w:t>
      </w:r>
    </w:p>
    <w:p w:rsidR="00156F5C" w14:paraId="17FC4490" w14:textId="77777777">
      <w:pPr>
        <w:spacing w:line="360" w:lineRule="auto"/>
        <w:ind w:firstLine="480"/>
        <w:rPr>
          <w:rFonts w:ascii="宋体" w:eastAsia="宋体" w:hAnsi="宋体" w:cs="Times New Roman" w:hint="eastAsia"/>
          <w:b/>
          <w:sz w:val="24"/>
          <w:szCs w:val="24"/>
        </w:rPr>
      </w:pPr>
      <w:r>
        <w:rPr>
          <w:rFonts w:ascii="宋体" w:eastAsia="宋体" w:hAnsi="宋体" w:cs="Times New Roman" w:hint="eastAsia"/>
          <w:b/>
          <w:sz w:val="24"/>
          <w:szCs w:val="24"/>
        </w:rPr>
        <w:t>第四条 违约责任</w:t>
      </w:r>
    </w:p>
    <w:p w:rsidR="00156F5C" w14:paraId="43DF03F5"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由于本协议一方当事人的过错，造成本协议不能履行或不能完全履行的，由有过错的一方承担违约责任；如双方同时负有过错，则应由双方各自按照过错程度承担责任。</w:t>
      </w:r>
    </w:p>
    <w:p w:rsidR="00156F5C" w14:paraId="5DA797F5" w14:textId="77777777">
      <w:pPr>
        <w:spacing w:line="360" w:lineRule="auto"/>
        <w:ind w:firstLine="480"/>
        <w:rPr>
          <w:rFonts w:ascii="宋体" w:eastAsia="宋体" w:hAnsi="宋体" w:cs="Times New Roman" w:hint="eastAsia"/>
          <w:b/>
          <w:sz w:val="24"/>
          <w:szCs w:val="24"/>
        </w:rPr>
      </w:pPr>
      <w:r>
        <w:rPr>
          <w:rFonts w:ascii="宋体" w:eastAsia="宋体" w:hAnsi="宋体" w:cs="Times New Roman" w:hint="eastAsia"/>
          <w:b/>
          <w:sz w:val="24"/>
          <w:szCs w:val="24"/>
        </w:rPr>
        <w:t>第五条 免责条款</w:t>
      </w:r>
    </w:p>
    <w:p w:rsidR="00156F5C" w14:paraId="017D7690"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1、由于国家法律</w:t>
      </w:r>
      <w:r>
        <w:rPr>
          <w:rFonts w:ascii="宋体" w:eastAsia="宋体" w:hAnsi="宋体" w:cs="Times New Roman" w:hint="eastAsia"/>
          <w:b/>
          <w:sz w:val="24"/>
          <w:szCs w:val="24"/>
        </w:rPr>
        <w:t>、</w:t>
      </w:r>
      <w:r>
        <w:rPr>
          <w:rFonts w:ascii="宋体" w:eastAsia="宋体" w:hAnsi="宋体" w:cs="Times New Roman"/>
          <w:b/>
          <w:sz w:val="24"/>
          <w:szCs w:val="24"/>
        </w:rPr>
        <w:t>法规、监管规定、监管部门政策变化、紧急措施的出台而</w:t>
      </w:r>
      <w:r>
        <w:rPr>
          <w:rFonts w:ascii="宋体" w:eastAsia="宋体" w:hAnsi="宋体" w:cs="Times New Roman" w:hint="eastAsia"/>
          <w:b/>
          <w:sz w:val="24"/>
          <w:szCs w:val="24"/>
        </w:rPr>
        <w:t>导致甲方蒙受损失或协议终止的，乙方不承担责任。</w:t>
      </w:r>
    </w:p>
    <w:p w:rsidR="00156F5C" w14:paraId="453A1CA6"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2、由于自然灾害、意外事故、战争、系统故障、通讯故障等不可抗力或乙方无过错且无法</w:t>
      </w:r>
      <w:r>
        <w:rPr>
          <w:rFonts w:ascii="宋体" w:eastAsia="宋体" w:hAnsi="宋体" w:cs="Times New Roman" w:hint="eastAsia"/>
          <w:b/>
          <w:sz w:val="24"/>
          <w:szCs w:val="24"/>
        </w:rPr>
        <w:t>避免</w:t>
      </w:r>
      <w:r>
        <w:rPr>
          <w:rFonts w:ascii="宋体" w:eastAsia="宋体" w:hAnsi="宋体" w:cs="Times New Roman"/>
          <w:b/>
          <w:sz w:val="24"/>
          <w:szCs w:val="24"/>
        </w:rPr>
        <w:t>的外因而导致的交易中断、延误等风险及损失，乙方不承担责任。</w:t>
      </w:r>
    </w:p>
    <w:p w:rsidR="00156F5C" w14:paraId="6169D7D5"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3、非因乙方原因（包括但不限于甲方遗失本协议、甲方协议被盗用、甲方指定账户被司法机关等有权部门冻结、扣划等原因）造成的损失，乙方不承担责任。</w:t>
      </w:r>
    </w:p>
    <w:p w:rsidR="00156F5C" w14:paraId="3489EF48"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4、发生前述情形时，乙方将在条件允许</w:t>
      </w:r>
      <w:r>
        <w:rPr>
          <w:rFonts w:ascii="宋体" w:eastAsia="宋体" w:hAnsi="宋体" w:cs="Times New Roman" w:hint="eastAsia"/>
          <w:b/>
          <w:sz w:val="24"/>
          <w:szCs w:val="24"/>
        </w:rPr>
        <w:t>且</w:t>
      </w:r>
      <w:r>
        <w:rPr>
          <w:rFonts w:ascii="宋体" w:eastAsia="宋体" w:hAnsi="宋体" w:cs="Times New Roman"/>
          <w:b/>
          <w:sz w:val="24"/>
          <w:szCs w:val="24"/>
        </w:rPr>
        <w:t>不违反法律、法规及监管规定的情况下采取必要合理的补救措施，尽力保护甲方利益，以减少甲方损失。</w:t>
      </w:r>
    </w:p>
    <w:p w:rsidR="00156F5C" w14:paraId="2AAD5C06" w14:textId="77777777">
      <w:pPr>
        <w:spacing w:line="360" w:lineRule="auto"/>
        <w:ind w:firstLine="480"/>
        <w:rPr>
          <w:rFonts w:ascii="宋体" w:eastAsia="宋体" w:hAnsi="宋体" w:cs="Times New Roman" w:hint="eastAsia"/>
          <w:b/>
          <w:sz w:val="24"/>
          <w:szCs w:val="24"/>
        </w:rPr>
      </w:pPr>
      <w:r>
        <w:rPr>
          <w:rFonts w:ascii="宋体" w:eastAsia="宋体" w:hAnsi="宋体" w:cs="Times New Roman" w:hint="eastAsia"/>
          <w:b/>
          <w:sz w:val="24"/>
          <w:szCs w:val="24"/>
        </w:rPr>
        <w:t>第六条 争议解决</w:t>
      </w:r>
    </w:p>
    <w:p w:rsidR="00156F5C" w14:paraId="179F8548"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本协议适用中华人民共和国法律。本协议履行过程中所发生的一切争议，双方应本着诚实信用的原则友好协商解决。若协商不成，双方均同意选择</w:t>
      </w:r>
      <w:r>
        <w:rPr>
          <w:rFonts w:ascii="宋体" w:eastAsia="宋体" w:hAnsi="宋体" w:cs="Times New Roman" w:hint="eastAsia"/>
          <w:b/>
          <w:sz w:val="24"/>
          <w:szCs w:val="24"/>
        </w:rPr>
        <w:t>如下第</w:t>
      </w:r>
      <w:r>
        <w:rPr>
          <w:rFonts w:ascii="宋体" w:eastAsia="宋体" w:hAnsi="宋体" w:cs="Times New Roman" w:hint="eastAsia"/>
          <w:b/>
          <w:sz w:val="24"/>
          <w:szCs w:val="24"/>
          <w:u w:val="single"/>
        </w:rPr>
        <w:t xml:space="preserve"> 2 </w:t>
      </w:r>
      <w:r>
        <w:rPr>
          <w:rFonts w:ascii="宋体" w:eastAsia="宋体" w:hAnsi="宋体" w:cs="Times New Roman"/>
          <w:b/>
          <w:sz w:val="24"/>
          <w:szCs w:val="24"/>
        </w:rPr>
        <w:t>种方式解决</w:t>
      </w:r>
      <w:r>
        <w:rPr>
          <w:rFonts w:ascii="宋体" w:eastAsia="宋体" w:hAnsi="宋体" w:cs="Times New Roman" w:hint="eastAsia"/>
          <w:b/>
          <w:sz w:val="24"/>
          <w:szCs w:val="24"/>
        </w:rPr>
        <w:t>：</w:t>
      </w:r>
    </w:p>
    <w:p w:rsidR="00156F5C" w14:paraId="5DC8E243" w14:textId="13D1F1DE">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提交【/】仲裁委员会仲裁。仲裁应按照该仲裁机构现行有效的仲裁规则进行。仲裁裁决是终局的，对双方均有约束力。</w:t>
      </w:r>
    </w:p>
    <w:p w:rsidR="00156F5C" w14:paraId="7E9D0CA3" w14:textId="2CADFEE9">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任何一方均有权向被告方所在地、管理人所在地、合同履行地有管辖权</w:t>
      </w:r>
      <w:r>
        <w:rPr>
          <w:rFonts w:ascii="宋体" w:eastAsia="宋体" w:hAnsi="宋体" w:cs="Times New Roman" w:hint="eastAsia"/>
          <w:b/>
          <w:sz w:val="24"/>
          <w:szCs w:val="24"/>
        </w:rPr>
        <w:t>的人民法院提起诉讼。</w:t>
      </w:r>
    </w:p>
    <w:p w:rsidR="00156F5C" w14:paraId="57B014DD"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b/>
          <w:sz w:val="24"/>
          <w:szCs w:val="24"/>
        </w:rPr>
        <w:t>在争议解决期间，若该争议不影响本协议其他条款及其他理财产品</w:t>
      </w:r>
      <w:r>
        <w:rPr>
          <w:rFonts w:ascii="宋体" w:eastAsia="宋体" w:hAnsi="宋体" w:cs="Times New Roman"/>
          <w:b/>
          <w:sz w:val="24"/>
          <w:szCs w:val="24"/>
        </w:rPr>
        <w:t>销售文件</w:t>
      </w:r>
      <w:r>
        <w:rPr>
          <w:rFonts w:ascii="宋体" w:eastAsia="宋体" w:hAnsi="宋体" w:cs="Times New Roman" w:hint="eastAsia"/>
          <w:b/>
          <w:sz w:val="24"/>
          <w:szCs w:val="24"/>
        </w:rPr>
        <w:t>各条款的履行，前述条款应继续履行。因处理争议产生的费用（包括但不限于律师费、诉讼费等），除法院判决</w:t>
      </w:r>
      <w:r>
        <w:rPr>
          <w:rFonts w:ascii="宋体" w:eastAsia="宋体" w:hAnsi="宋体" w:cs="Times New Roman"/>
          <w:b/>
          <w:sz w:val="24"/>
          <w:szCs w:val="24"/>
        </w:rPr>
        <w:t>/裁定另有规定，</w:t>
      </w:r>
      <w:r>
        <w:rPr>
          <w:rFonts w:ascii="宋体" w:eastAsia="宋体" w:hAnsi="宋体" w:cs="Times New Roman" w:hint="eastAsia"/>
          <w:b/>
          <w:sz w:val="24"/>
          <w:szCs w:val="24"/>
        </w:rPr>
        <w:t>由败诉方承担。</w:t>
      </w:r>
    </w:p>
    <w:p w:rsidR="00156F5C" w14:paraId="191D5574" w14:textId="77777777">
      <w:pPr>
        <w:pStyle w:val="ListParagraph"/>
        <w:spacing w:line="360" w:lineRule="auto"/>
        <w:ind w:firstLine="482"/>
        <w:rPr>
          <w:rFonts w:ascii="宋体" w:eastAsia="宋体" w:hAnsi="宋体" w:cs="Times New Roman" w:hint="eastAsia"/>
          <w:sz w:val="24"/>
          <w:szCs w:val="24"/>
        </w:rPr>
      </w:pPr>
      <w:r>
        <w:rPr>
          <w:rFonts w:ascii="宋体" w:eastAsia="宋体" w:hAnsi="宋体" w:cs="Times New Roman" w:hint="eastAsia"/>
          <w:b/>
          <w:sz w:val="24"/>
          <w:szCs w:val="24"/>
        </w:rPr>
        <w:t>第七条</w:t>
      </w:r>
      <w:r>
        <w:rPr>
          <w:rFonts w:ascii="宋体" w:eastAsia="宋体" w:hAnsi="宋体" w:cs="Times New Roman"/>
          <w:b/>
          <w:sz w:val="24"/>
          <w:szCs w:val="24"/>
        </w:rPr>
        <w:t xml:space="preserve"> 协议的生效</w:t>
      </w:r>
      <w:r>
        <w:rPr>
          <w:rFonts w:ascii="宋体" w:eastAsia="宋体" w:hAnsi="宋体" w:cs="Times New Roman" w:hint="eastAsia"/>
          <w:b/>
          <w:sz w:val="24"/>
          <w:szCs w:val="24"/>
        </w:rPr>
        <w:t>和终止</w:t>
      </w:r>
    </w:p>
    <w:p w:rsidR="00156F5C" w14:paraId="1563FD96"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（一）协议生效</w:t>
      </w:r>
    </w:p>
    <w:p w:rsidR="00156F5C" w14:paraId="3804310B" w14:textId="56B9644B">
      <w:pPr>
        <w:widowControl/>
        <w:spacing w:line="360" w:lineRule="auto"/>
        <w:ind w:firstLine="480" w:firstLineChars="200"/>
        <w:jc w:val="left"/>
        <w:rPr>
          <w:rFonts w:ascii="宋体" w:eastAsia="宋体" w:hAnsi="宋体" w:cs="Times New Roman" w:hint="eastAsia"/>
          <w:sz w:val="24"/>
          <w:szCs w:val="24"/>
        </w:rPr>
      </w:pPr>
      <w:r>
        <w:rPr>
          <w:rFonts w:ascii="宋体" w:eastAsia="宋体" w:hAnsi="宋体" w:cs="Times New Roman"/>
          <w:sz w:val="24"/>
          <w:szCs w:val="24"/>
        </w:rPr>
        <w:t>1、</w:t>
      </w:r>
      <w:r>
        <w:rPr>
          <w:rFonts w:ascii="宋体" w:eastAsia="宋体" w:hAnsi="宋体" w:cs="Times New Roman" w:hint="eastAsia"/>
          <w:sz w:val="24"/>
          <w:szCs w:val="24"/>
        </w:rPr>
        <w:t>甲方通过乙方或代理销售机构营业网点购买本理财产品的</w:t>
      </w:r>
      <w:r>
        <w:rPr>
          <w:rFonts w:ascii="宋体" w:eastAsia="宋体" w:hAnsi="宋体" w:cs="Times New Roman"/>
          <w:sz w:val="24"/>
          <w:szCs w:val="24"/>
        </w:rPr>
        <w:t>，本协议于甲方签署（</w:t>
      </w:r>
      <w:r>
        <w:rPr>
          <w:rFonts w:ascii="宋体" w:eastAsia="宋体" w:hAnsi="宋体" w:cs="Times New Roman" w:hint="eastAsia"/>
          <w:sz w:val="24"/>
          <w:szCs w:val="24"/>
        </w:rPr>
        <w:t>甲方为自然人的，应签字；甲方为机构的，应</w:t>
      </w:r>
      <w:r>
        <w:rPr>
          <w:rFonts w:ascii="宋体" w:eastAsia="宋体" w:hAnsi="宋体" w:cs="Times New Roman"/>
          <w:sz w:val="24"/>
          <w:szCs w:val="24"/>
        </w:rPr>
        <w:t>加盖</w:t>
      </w:r>
      <w:r>
        <w:rPr>
          <w:rFonts w:ascii="宋体" w:eastAsia="宋体" w:hAnsi="宋体" w:cs="Times New Roman" w:hint="eastAsia"/>
          <w:sz w:val="24"/>
          <w:szCs w:val="24"/>
        </w:rPr>
        <w:t>公章（或经公章授权的其他有效印鉴），</w:t>
      </w:r>
      <w:r>
        <w:rPr>
          <w:rFonts w:ascii="宋体" w:eastAsia="宋体" w:hAnsi="宋体" w:cs="Times New Roman"/>
          <w:sz w:val="24"/>
          <w:szCs w:val="24"/>
        </w:rPr>
        <w:t>并</w:t>
      </w:r>
      <w:r>
        <w:rPr>
          <w:rFonts w:ascii="宋体" w:eastAsia="宋体" w:hAnsi="宋体" w:cs="Times New Roman" w:hint="eastAsia"/>
          <w:sz w:val="24"/>
          <w:szCs w:val="24"/>
        </w:rPr>
        <w:t>由其法定代表人（负责人）或授权代理人签字</w:t>
      </w:r>
      <w:r>
        <w:rPr>
          <w:rFonts w:ascii="宋体" w:eastAsia="宋体" w:hAnsi="宋体" w:cs="Times New Roman"/>
          <w:sz w:val="24"/>
          <w:szCs w:val="24"/>
        </w:rPr>
        <w:t>/签章；甲方为资产管理产品的，应</w:t>
      </w:r>
      <w:r>
        <w:rPr>
          <w:rFonts w:ascii="宋体" w:eastAsia="宋体" w:hAnsi="宋体" w:cs="Times New Roman" w:hint="eastAsia"/>
          <w:sz w:val="24"/>
          <w:szCs w:val="24"/>
        </w:rPr>
        <w:t>加盖甲方产品</w:t>
      </w:r>
      <w:r>
        <w:rPr>
          <w:rFonts w:ascii="宋体" w:eastAsia="宋体" w:hAnsi="宋体" w:cs="Times New Roman"/>
          <w:sz w:val="24"/>
          <w:szCs w:val="24"/>
        </w:rPr>
        <w:t>管理人</w:t>
      </w:r>
      <w:r>
        <w:rPr>
          <w:rFonts w:ascii="宋体" w:eastAsia="宋体" w:hAnsi="宋体" w:cs="Times New Roman" w:hint="eastAsia"/>
          <w:sz w:val="24"/>
          <w:szCs w:val="24"/>
        </w:rPr>
        <w:t>公</w:t>
      </w:r>
      <w:r>
        <w:rPr>
          <w:rFonts w:ascii="宋体" w:eastAsia="宋体" w:hAnsi="宋体" w:cs="Times New Roman"/>
          <w:sz w:val="24"/>
          <w:szCs w:val="24"/>
        </w:rPr>
        <w:t>章</w:t>
      </w:r>
      <w:r>
        <w:rPr>
          <w:rFonts w:ascii="宋体" w:eastAsia="宋体" w:hAnsi="宋体" w:cs="Times New Roman" w:hint="eastAsia"/>
          <w:sz w:val="24"/>
          <w:szCs w:val="24"/>
        </w:rPr>
        <w:t>（或经公章授权的其他有效印鉴），并由甲方产品管理人的法定代表人（负责人）或授权代理人签字/签章）</w:t>
      </w:r>
      <w:r>
        <w:rPr>
          <w:rFonts w:ascii="宋体" w:eastAsia="宋体" w:hAnsi="宋体" w:cs="Times New Roman"/>
          <w:sz w:val="24"/>
          <w:szCs w:val="24"/>
        </w:rPr>
        <w:t>且乙方确认甲方成功认（申）购并收到甲方缴付的全部投资</w:t>
      </w:r>
      <w:r>
        <w:rPr>
          <w:rFonts w:ascii="宋体" w:eastAsia="宋体" w:hAnsi="宋体" w:cs="Times New Roman" w:hint="eastAsia"/>
          <w:sz w:val="24"/>
          <w:szCs w:val="24"/>
        </w:rPr>
        <w:t>款项</w:t>
      </w:r>
      <w:r>
        <w:rPr>
          <w:rFonts w:ascii="宋体" w:eastAsia="宋体" w:hAnsi="宋体" w:cs="Times New Roman"/>
          <w:sz w:val="24"/>
          <w:szCs w:val="24"/>
        </w:rPr>
        <w:t>本金之日起生效。本协议</w:t>
      </w:r>
      <w:r>
        <w:rPr>
          <w:rFonts w:ascii="宋体" w:eastAsia="宋体" w:hAnsi="宋体" w:cs="Times New Roman" w:hint="eastAsia"/>
          <w:sz w:val="24"/>
          <w:szCs w:val="24"/>
        </w:rPr>
        <w:t>一式</w:t>
      </w:r>
      <w:r w:rsidR="00764B71">
        <w:rPr>
          <w:rFonts w:ascii="宋体" w:eastAsia="宋体" w:hAnsi="宋体" w:cs="Times New Roman" w:hint="eastAsia"/>
          <w:sz w:val="24"/>
          <w:szCs w:val="24"/>
          <w:u w:val="single"/>
        </w:rPr>
        <w:t>2</w:t>
      </w:r>
      <w:r>
        <w:rPr>
          <w:rFonts w:ascii="宋体" w:eastAsia="宋体" w:hAnsi="宋体" w:cs="Times New Roman" w:hint="eastAsia"/>
          <w:sz w:val="24"/>
          <w:szCs w:val="24"/>
        </w:rPr>
        <w:t>份，其中甲方执有</w:t>
      </w:r>
      <w:r w:rsidR="00764B71">
        <w:rPr>
          <w:rFonts w:ascii="宋体" w:eastAsia="宋体" w:hAnsi="宋体" w:cs="Times New Roman" w:hint="eastAsia"/>
          <w:sz w:val="24"/>
          <w:szCs w:val="24"/>
          <w:u w:val="single"/>
        </w:rPr>
        <w:t>1</w:t>
      </w:r>
      <w:r>
        <w:rPr>
          <w:rFonts w:ascii="宋体" w:eastAsia="宋体" w:hAnsi="宋体" w:cs="Times New Roman" w:hint="eastAsia"/>
          <w:sz w:val="24"/>
          <w:szCs w:val="24"/>
        </w:rPr>
        <w:t>份。</w:t>
      </w:r>
    </w:p>
    <w:p w:rsidR="00156F5C" w14:paraId="13DA4CC3" w14:textId="77777777">
      <w:pPr>
        <w:pStyle w:val="ListParagraph"/>
        <w:spacing w:line="360" w:lineRule="auto"/>
        <w:ind w:firstLine="480"/>
        <w:rPr>
          <w:rFonts w:ascii="宋体" w:eastAsia="宋体" w:hAnsi="宋体" w:cs="Times New Roman" w:hint="eastAsia"/>
          <w:sz w:val="24"/>
          <w:szCs w:val="24"/>
        </w:rPr>
      </w:pPr>
      <w:r>
        <w:rPr>
          <w:rFonts w:ascii="宋体" w:eastAsia="宋体" w:hAnsi="宋体" w:cs="Times New Roman"/>
          <w:sz w:val="24"/>
          <w:szCs w:val="24"/>
        </w:rPr>
        <w:t>2、</w:t>
      </w:r>
      <w:r>
        <w:rPr>
          <w:rFonts w:ascii="宋体" w:eastAsia="宋体" w:hAnsi="宋体" w:cs="Times New Roman" w:hint="eastAsia"/>
          <w:sz w:val="24"/>
          <w:szCs w:val="24"/>
        </w:rPr>
        <w:t>甲方通过乙方或代理销售机构的网上银行、手机银行等线</w:t>
      </w:r>
      <w:r>
        <w:rPr>
          <w:rFonts w:ascii="宋体" w:eastAsia="宋体" w:hAnsi="宋体" w:cs="Times New Roman" w:hint="eastAsia"/>
          <w:sz w:val="24"/>
          <w:szCs w:val="24"/>
        </w:rPr>
        <w:t>上渠道</w:t>
      </w:r>
      <w:r>
        <w:rPr>
          <w:rFonts w:ascii="宋体" w:eastAsia="宋体" w:hAnsi="宋体" w:cs="Times New Roman" w:hint="eastAsia"/>
          <w:sz w:val="24"/>
          <w:szCs w:val="24"/>
        </w:rPr>
        <w:t>方式购买本理财产品的</w:t>
      </w:r>
      <w:r>
        <w:rPr>
          <w:rFonts w:ascii="宋体" w:eastAsia="宋体" w:hAnsi="宋体" w:cs="Times New Roman"/>
          <w:sz w:val="24"/>
          <w:szCs w:val="24"/>
        </w:rPr>
        <w:t>，本协议经甲方点击同意本协议且乙方确认甲方成功认（申）购并收到甲方缴付的全部投资</w:t>
      </w:r>
      <w:r>
        <w:rPr>
          <w:rFonts w:ascii="宋体" w:eastAsia="宋体" w:hAnsi="宋体" w:cs="Times New Roman" w:hint="eastAsia"/>
          <w:sz w:val="24"/>
          <w:szCs w:val="24"/>
        </w:rPr>
        <w:t>本金款项</w:t>
      </w:r>
      <w:r>
        <w:rPr>
          <w:rFonts w:ascii="宋体" w:eastAsia="宋体" w:hAnsi="宋体" w:cs="Times New Roman"/>
          <w:sz w:val="24"/>
          <w:szCs w:val="24"/>
        </w:rPr>
        <w:t>之日起生效。</w:t>
      </w:r>
      <w:r>
        <w:rPr>
          <w:rFonts w:ascii="宋体" w:eastAsia="宋体" w:hAnsi="宋体" w:cs="Times New Roman" w:hint="eastAsia"/>
          <w:sz w:val="24"/>
          <w:szCs w:val="24"/>
        </w:rPr>
        <w:t>双</w:t>
      </w:r>
      <w:r>
        <w:rPr>
          <w:rFonts w:ascii="宋体" w:eastAsia="宋体" w:hAnsi="宋体" w:cs="Times New Roman"/>
          <w:sz w:val="24"/>
          <w:szCs w:val="24"/>
        </w:rPr>
        <w:t>方认可线上点击同意具有与书面签署同等的法律效力</w:t>
      </w:r>
      <w:r>
        <w:rPr>
          <w:rFonts w:ascii="宋体" w:eastAsia="宋体" w:hAnsi="宋体" w:cs="Times New Roman" w:hint="eastAsia"/>
          <w:sz w:val="24"/>
          <w:szCs w:val="24"/>
        </w:rPr>
        <w:t>。</w:t>
      </w:r>
    </w:p>
    <w:p w:rsidR="00156F5C" w14:paraId="38BF9F8B" w14:textId="77777777">
      <w:pPr>
        <w:pStyle w:val="ListParagraph"/>
        <w:spacing w:line="360" w:lineRule="auto"/>
        <w:ind w:firstLine="482"/>
        <w:rPr>
          <w:rFonts w:hint="eastAsia"/>
        </w:rPr>
      </w:pPr>
      <w:r>
        <w:rPr>
          <w:rFonts w:ascii="宋体" w:eastAsia="宋体" w:hAnsi="宋体" w:cs="Times New Roman" w:hint="eastAsia"/>
          <w:b/>
          <w:sz w:val="24"/>
          <w:szCs w:val="24"/>
        </w:rPr>
        <w:t>通过线</w:t>
      </w:r>
      <w:r>
        <w:rPr>
          <w:rFonts w:ascii="宋体" w:eastAsia="宋体" w:hAnsi="宋体" w:cs="Times New Roman" w:hint="eastAsia"/>
          <w:b/>
          <w:sz w:val="24"/>
          <w:szCs w:val="24"/>
        </w:rPr>
        <w:t>上渠道认</w:t>
      </w:r>
      <w:r>
        <w:rPr>
          <w:rFonts w:ascii="宋体" w:eastAsia="宋体" w:hAnsi="宋体" w:cs="Times New Roman" w:hint="eastAsia"/>
          <w:b/>
          <w:sz w:val="24"/>
          <w:szCs w:val="24"/>
        </w:rPr>
        <w:t>（申）购</w:t>
      </w:r>
      <w:r>
        <w:rPr>
          <w:rFonts w:ascii="宋体" w:eastAsia="宋体" w:hAnsi="宋体" w:cs="Times New Roman"/>
          <w:b/>
          <w:sz w:val="24"/>
          <w:szCs w:val="24"/>
        </w:rPr>
        <w:t>时，甲方使用的身份认证要素（包括但不限</w:t>
      </w:r>
      <w:r>
        <w:rPr>
          <w:rFonts w:ascii="宋体" w:eastAsia="宋体" w:hAnsi="宋体" w:cs="Times New Roman" w:hint="eastAsia"/>
          <w:b/>
          <w:sz w:val="24"/>
          <w:szCs w:val="24"/>
        </w:rPr>
        <w:t>于账号、</w:t>
      </w:r>
      <w:r>
        <w:rPr>
          <w:rFonts w:ascii="宋体" w:eastAsia="宋体" w:hAnsi="宋体" w:cs="Times New Roman" w:hint="eastAsia"/>
          <w:b/>
          <w:sz w:val="24"/>
          <w:szCs w:val="24"/>
        </w:rPr>
        <w:t>网银登录</w:t>
      </w:r>
      <w:r>
        <w:rPr>
          <w:rFonts w:ascii="宋体" w:eastAsia="宋体" w:hAnsi="宋体" w:cs="Times New Roman" w:hint="eastAsia"/>
          <w:b/>
          <w:sz w:val="24"/>
          <w:szCs w:val="24"/>
        </w:rPr>
        <w:t>名、证件号码、手机号码、密码、数字证书、</w:t>
      </w:r>
      <w:r>
        <w:rPr>
          <w:rFonts w:ascii="宋体" w:eastAsia="宋体" w:hAnsi="宋体" w:cs="Times New Roman"/>
          <w:b/>
          <w:sz w:val="24"/>
          <w:szCs w:val="24"/>
        </w:rPr>
        <w:t>USBKey</w:t>
      </w:r>
      <w:r>
        <w:rPr>
          <w:rFonts w:ascii="宋体" w:eastAsia="宋体" w:hAnsi="宋体" w:cs="Times New Roman"/>
          <w:b/>
          <w:sz w:val="24"/>
          <w:szCs w:val="24"/>
        </w:rPr>
        <w:t>、动态密码等）或其他交</w:t>
      </w:r>
      <w:r>
        <w:rPr>
          <w:rFonts w:ascii="宋体" w:eastAsia="宋体" w:hAnsi="宋体" w:cs="Times New Roman" w:hint="eastAsia"/>
          <w:b/>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156F5C" w14:paraId="2A587502" w14:textId="77777777">
      <w:pPr>
        <w:widowControl/>
        <w:spacing w:line="360" w:lineRule="auto"/>
        <w:ind w:firstLine="480" w:firstLineChars="200"/>
        <w:jc w:val="left"/>
        <w:rPr>
          <w:rFonts w:ascii="宋体" w:eastAsia="宋体" w:hAnsi="宋体" w:cs="宋体" w:hint="eastAsia"/>
          <w:bCs/>
          <w:color w:val="000000"/>
          <w:kern w:val="0"/>
          <w:sz w:val="24"/>
          <w:szCs w:val="24"/>
        </w:rPr>
      </w:pPr>
      <w:r>
        <w:rPr>
          <w:rFonts w:ascii="宋体" w:eastAsia="宋体" w:hAnsi="宋体" w:cs="宋体" w:hint="eastAsia"/>
          <w:bCs/>
          <w:color w:val="000000"/>
          <w:kern w:val="0"/>
          <w:sz w:val="24"/>
          <w:szCs w:val="24"/>
        </w:rPr>
        <w:t>3、甲方知悉并确认，乙方对于理财产品项下甲方认（申）购</w:t>
      </w:r>
      <w:r>
        <w:rPr>
          <w:rFonts w:ascii="宋体" w:eastAsia="宋体" w:hAnsi="宋体" w:cs="宋体"/>
          <w:bCs/>
          <w:color w:val="000000"/>
          <w:kern w:val="0"/>
          <w:sz w:val="24"/>
          <w:szCs w:val="24"/>
        </w:rPr>
        <w:t>份额的确认即视为乙方对于本协议的签署和认可，受本协议约束，甲方不得以乙方不在本协议中</w:t>
      </w:r>
      <w:r>
        <w:rPr>
          <w:rFonts w:ascii="宋体" w:eastAsia="宋体" w:hAnsi="宋体" w:cs="宋体" w:hint="eastAsia"/>
          <w:bCs/>
          <w:color w:val="000000"/>
          <w:kern w:val="0"/>
          <w:sz w:val="24"/>
          <w:szCs w:val="24"/>
        </w:rPr>
        <w:t>签名或</w:t>
      </w:r>
      <w:r>
        <w:rPr>
          <w:rFonts w:ascii="宋体" w:eastAsia="宋体" w:hAnsi="宋体" w:cs="宋体"/>
          <w:bCs/>
          <w:color w:val="000000"/>
          <w:kern w:val="0"/>
          <w:sz w:val="24"/>
          <w:szCs w:val="24"/>
        </w:rPr>
        <w:t>签章为由主张本协议不成立或不生效</w:t>
      </w:r>
      <w:r>
        <w:rPr>
          <w:rFonts w:ascii="宋体" w:eastAsia="宋体" w:hAnsi="宋体" w:cs="宋体" w:hint="eastAsia"/>
          <w:bCs/>
          <w:color w:val="000000"/>
          <w:kern w:val="0"/>
          <w:sz w:val="24"/>
          <w:szCs w:val="24"/>
        </w:rPr>
        <w:t>。</w:t>
      </w:r>
    </w:p>
    <w:p w:rsidR="00156F5C" w14:paraId="1E8D9B94" w14:textId="77777777">
      <w:pPr>
        <w:widowControl/>
        <w:spacing w:line="360" w:lineRule="auto"/>
        <w:ind w:firstLine="480" w:firstLineChars="200"/>
        <w:jc w:val="left"/>
        <w:rPr>
          <w:rFonts w:ascii="宋体" w:eastAsia="宋体" w:hAnsi="宋体" w:cs="Times New Roman" w:hint="eastAsia"/>
          <w:b/>
          <w:sz w:val="24"/>
          <w:szCs w:val="24"/>
        </w:rPr>
      </w:pPr>
      <w:r>
        <w:rPr>
          <w:rFonts w:ascii="宋体" w:eastAsia="宋体" w:hAnsi="宋体" w:cs="宋体"/>
          <w:color w:val="000000"/>
          <w:kern w:val="0"/>
          <w:sz w:val="24"/>
          <w:szCs w:val="24"/>
        </w:rPr>
        <w:t>4、</w:t>
      </w:r>
      <w:r>
        <w:rPr>
          <w:rFonts w:ascii="宋体" w:eastAsia="宋体" w:hAnsi="宋体" w:cs="宋体" w:hint="eastAsia"/>
          <w:b/>
          <w:color w:val="000000"/>
          <w:kern w:val="0"/>
          <w:sz w:val="24"/>
          <w:szCs w:val="24"/>
        </w:rPr>
        <w:t>甲方通过乙方</w:t>
      </w:r>
      <w:r>
        <w:rPr>
          <w:rFonts w:ascii="宋体" w:eastAsia="宋体" w:hAnsi="宋体" w:cs="Times New Roman" w:hint="eastAsia"/>
          <w:b/>
          <w:sz w:val="24"/>
          <w:szCs w:val="24"/>
        </w:rPr>
        <w:t>或</w:t>
      </w:r>
      <w:r>
        <w:rPr>
          <w:rFonts w:ascii="宋体" w:eastAsia="宋体" w:hAnsi="宋体" w:cs="宋体" w:hint="eastAsia"/>
          <w:b/>
          <w:color w:val="000000"/>
          <w:kern w:val="0"/>
          <w:sz w:val="24"/>
          <w:szCs w:val="24"/>
        </w:rPr>
        <w:t>代理销售机构提交的有效理财产品认（申）购</w:t>
      </w:r>
      <w:r>
        <w:rPr>
          <w:rFonts w:ascii="宋体" w:eastAsia="宋体" w:hAnsi="宋体" w:cs="宋体"/>
          <w:b/>
          <w:color w:val="000000"/>
          <w:kern w:val="0"/>
          <w:sz w:val="24"/>
          <w:szCs w:val="24"/>
        </w:rPr>
        <w:t>/撤单申请，</w:t>
      </w:r>
      <w:r>
        <w:rPr>
          <w:rFonts w:ascii="宋体" w:eastAsia="宋体" w:hAnsi="宋体" w:cs="宋体" w:hint="eastAsia"/>
          <w:b/>
          <w:color w:val="000000"/>
          <w:kern w:val="0"/>
          <w:sz w:val="24"/>
          <w:szCs w:val="24"/>
        </w:rPr>
        <w:t>并不意味着理财产品认（申）购</w:t>
      </w:r>
      <w:r>
        <w:rPr>
          <w:rFonts w:ascii="宋体" w:eastAsia="宋体" w:hAnsi="宋体" w:cs="宋体"/>
          <w:b/>
          <w:color w:val="000000"/>
          <w:kern w:val="0"/>
          <w:sz w:val="24"/>
          <w:szCs w:val="24"/>
        </w:rPr>
        <w:t>/撤单一定成功，具体</w:t>
      </w:r>
      <w:r>
        <w:rPr>
          <w:rFonts w:ascii="宋体" w:eastAsia="宋体" w:hAnsi="宋体" w:cs="宋体" w:hint="eastAsia"/>
          <w:b/>
          <w:kern w:val="0"/>
          <w:sz w:val="24"/>
          <w:szCs w:val="24"/>
        </w:rPr>
        <w:t>认（申）购</w:t>
      </w:r>
      <w:r>
        <w:rPr>
          <w:rFonts w:ascii="宋体" w:eastAsia="宋体" w:hAnsi="宋体" w:cs="宋体"/>
          <w:b/>
          <w:color w:val="000000"/>
          <w:kern w:val="0"/>
          <w:sz w:val="24"/>
          <w:szCs w:val="24"/>
        </w:rPr>
        <w:t>/撤单的受理结果根据《</w:t>
      </w:r>
      <w:r>
        <w:rPr>
          <w:rFonts w:ascii="宋体" w:eastAsia="宋体" w:hAnsi="宋体" w:cs="宋体" w:hint="eastAsia"/>
          <w:b/>
          <w:color w:val="000000"/>
          <w:kern w:val="0"/>
          <w:sz w:val="24"/>
          <w:szCs w:val="24"/>
        </w:rPr>
        <w:t>理财产品说明书》约定执行。</w:t>
      </w:r>
    </w:p>
    <w:p w:rsidR="00156F5C" w14:paraId="39964C0A" w14:textId="77777777">
      <w:pPr>
        <w:widowControl/>
        <w:spacing w:line="360" w:lineRule="auto"/>
        <w:ind w:firstLine="480" w:firstLineChars="200"/>
        <w:jc w:val="left"/>
        <w:rPr>
          <w:rFonts w:ascii="宋体" w:eastAsia="宋体" w:hAnsi="宋体" w:cs="宋体" w:hint="eastAsia"/>
          <w:bCs/>
          <w:color w:val="000000"/>
          <w:kern w:val="0"/>
          <w:sz w:val="24"/>
          <w:szCs w:val="24"/>
        </w:rPr>
      </w:pPr>
      <w:r>
        <w:rPr>
          <w:rFonts w:ascii="宋体" w:eastAsia="宋体" w:hAnsi="宋体" w:cs="Times New Roman" w:hint="eastAsia"/>
          <w:sz w:val="24"/>
          <w:szCs w:val="24"/>
        </w:rPr>
        <w:t>5、</w:t>
      </w:r>
      <w:r>
        <w:rPr>
          <w:rFonts w:ascii="宋体" w:eastAsia="宋体" w:hAnsi="宋体" w:cs="宋体" w:hint="eastAsia"/>
          <w:b/>
          <w:bCs/>
          <w:color w:val="000000"/>
          <w:kern w:val="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156F5C" w14:paraId="55EFFC37" w14:textId="77777777">
      <w:pPr>
        <w:widowControl/>
        <w:spacing w:line="360" w:lineRule="auto"/>
        <w:ind w:firstLine="480" w:firstLineChars="200"/>
        <w:jc w:val="left"/>
        <w:rPr>
          <w:rFonts w:ascii="宋体" w:eastAsia="宋体" w:hAnsi="宋体" w:cs="Times New Roman" w:hint="eastAsia"/>
          <w:sz w:val="24"/>
          <w:szCs w:val="24"/>
        </w:rPr>
      </w:pPr>
      <w:r>
        <w:rPr>
          <w:rFonts w:ascii="宋体" w:eastAsia="宋体" w:hAnsi="宋体" w:cs="Times New Roman"/>
          <w:sz w:val="24"/>
          <w:szCs w:val="24"/>
        </w:rPr>
        <w:t>6、</w:t>
      </w:r>
      <w:r>
        <w:rPr>
          <w:rFonts w:ascii="宋体" w:eastAsia="宋体" w:hAnsi="宋体" w:cs="Times New Roman" w:hint="eastAsia"/>
          <w:sz w:val="24"/>
          <w:szCs w:val="24"/>
        </w:rPr>
        <w:t>本协议生效后</w:t>
      </w:r>
      <w:r>
        <w:rPr>
          <w:rFonts w:ascii="宋体" w:eastAsia="宋体" w:hAnsi="宋体" w:cs="Times New Roman"/>
          <w:sz w:val="24"/>
          <w:szCs w:val="24"/>
        </w:rPr>
        <w:t>,甲方在乙方认</w:t>
      </w:r>
      <w:r>
        <w:rPr>
          <w:rFonts w:ascii="宋体" w:eastAsia="宋体" w:hAnsi="宋体" w:cs="Times New Roman" w:hint="eastAsia"/>
          <w:sz w:val="24"/>
          <w:szCs w:val="24"/>
        </w:rPr>
        <w:t>（申）</w:t>
      </w:r>
      <w:r>
        <w:rPr>
          <w:rFonts w:ascii="宋体" w:eastAsia="宋体" w:hAnsi="宋体" w:cs="Times New Roman"/>
          <w:sz w:val="24"/>
          <w:szCs w:val="24"/>
        </w:rPr>
        <w:t>购</w:t>
      </w:r>
      <w:r>
        <w:rPr>
          <w:rFonts w:ascii="宋体" w:eastAsia="宋体" w:hAnsi="宋体" w:cs="Times New Roman" w:hint="eastAsia"/>
          <w:sz w:val="24"/>
          <w:szCs w:val="24"/>
        </w:rPr>
        <w:t>或赎回本</w:t>
      </w:r>
      <w:r>
        <w:rPr>
          <w:rFonts w:ascii="宋体" w:eastAsia="宋体" w:hAnsi="宋体" w:cs="Times New Roman"/>
          <w:sz w:val="24"/>
          <w:szCs w:val="24"/>
        </w:rPr>
        <w:t>产品</w:t>
      </w:r>
      <w:r>
        <w:rPr>
          <w:rFonts w:ascii="宋体" w:eastAsia="宋体" w:hAnsi="宋体" w:cs="Times New Roman" w:hint="eastAsia"/>
          <w:sz w:val="24"/>
          <w:szCs w:val="24"/>
        </w:rPr>
        <w:t>的任何行为</w:t>
      </w:r>
      <w:r>
        <w:rPr>
          <w:rFonts w:ascii="宋体" w:eastAsia="宋体" w:hAnsi="宋体" w:cs="Times New Roman"/>
          <w:sz w:val="24"/>
          <w:szCs w:val="24"/>
        </w:rPr>
        <w:t>均适用本协议，但本协议不作为甲方认</w:t>
      </w:r>
      <w:r>
        <w:rPr>
          <w:rFonts w:ascii="宋体" w:eastAsia="宋体" w:hAnsi="宋体" w:cs="Times New Roman" w:hint="eastAsia"/>
          <w:sz w:val="24"/>
          <w:szCs w:val="24"/>
        </w:rPr>
        <w:t>（申）</w:t>
      </w:r>
      <w:r>
        <w:rPr>
          <w:rFonts w:ascii="宋体" w:eastAsia="宋体" w:hAnsi="宋体" w:cs="Times New Roman"/>
          <w:sz w:val="24"/>
          <w:szCs w:val="24"/>
        </w:rPr>
        <w:t xml:space="preserve">购或持有乙方管理的特定理财产品的凭证。 </w:t>
      </w:r>
    </w:p>
    <w:p w:rsidR="00156F5C" w14:paraId="72ABA8FD" w14:textId="5463C9C7">
      <w:pPr>
        <w:widowControl/>
        <w:spacing w:line="360" w:lineRule="auto"/>
        <w:ind w:firstLine="480" w:firstLineChars="200"/>
        <w:jc w:val="left"/>
        <w:rPr>
          <w:rFonts w:ascii="宋体" w:eastAsia="宋体" w:hAnsi="宋体" w:cs="Times New Roman" w:hint="eastAsia"/>
          <w:b/>
          <w:bCs/>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乙方有权不定期对本协议进行更新，</w:t>
      </w:r>
      <w:r>
        <w:rPr>
          <w:rFonts w:ascii="宋体" w:eastAsia="宋体" w:hAnsi="宋体" w:cs="Times New Roman" w:hint="eastAsia"/>
          <w:sz w:val="24"/>
          <w:szCs w:val="24"/>
        </w:rPr>
        <w:t>通过乙方官</w:t>
      </w:r>
      <w:r>
        <w:rPr>
          <w:rFonts w:ascii="宋体" w:eastAsia="宋体" w:hAnsi="宋体" w:cs="Times New Roman"/>
          <w:sz w:val="24"/>
          <w:szCs w:val="24"/>
        </w:rPr>
        <w:t>网（</w:t>
      </w:r>
      <w:r w:rsidRPr="00452140" w:rsidR="00764B71">
        <w:rPr>
          <w:rFonts w:ascii="宋体" w:eastAsia="宋体" w:hAnsi="宋体" w:cs="Times New Roman"/>
          <w:sz w:val="24"/>
          <w:szCs w:val="24"/>
        </w:rPr>
        <w:t>www.wmbnb.com</w:t>
      </w:r>
      <w:r>
        <w:rPr>
          <w:rFonts w:ascii="宋体" w:eastAsia="宋体" w:hAnsi="宋体" w:cs="Times New Roman"/>
          <w:sz w:val="24"/>
          <w:szCs w:val="24"/>
        </w:rPr>
        <w:t>）、相关理财代理销售机构官方渠道或其他</w:t>
      </w:r>
      <w:r>
        <w:rPr>
          <w:rFonts w:ascii="宋体" w:eastAsia="宋体" w:hAnsi="宋体" w:cs="Times New Roman" w:hint="eastAsia"/>
          <w:sz w:val="24"/>
          <w:szCs w:val="24"/>
        </w:rPr>
        <w:t>适当的</w:t>
      </w:r>
      <w:r>
        <w:rPr>
          <w:rFonts w:ascii="宋体" w:eastAsia="宋体" w:hAnsi="宋体" w:cs="Times New Roman"/>
          <w:sz w:val="24"/>
          <w:szCs w:val="24"/>
        </w:rPr>
        <w:t>方式进行信息披露（具体产品的信息披露方式、频率等</w:t>
      </w:r>
      <w:r>
        <w:rPr>
          <w:rFonts w:ascii="宋体" w:eastAsia="宋体" w:hAnsi="宋体" w:cs="Times New Roman"/>
          <w:sz w:val="24"/>
          <w:szCs w:val="24"/>
        </w:rPr>
        <w:t>规则见</w:t>
      </w:r>
      <w:r>
        <w:rPr>
          <w:rFonts w:ascii="宋体" w:eastAsia="宋体" w:hAnsi="宋体" w:cs="Times New Roman"/>
          <w:sz w:val="24"/>
          <w:szCs w:val="24"/>
        </w:rPr>
        <w:t>《理财产品说明书》）。</w:t>
      </w:r>
      <w:r>
        <w:rPr>
          <w:rFonts w:ascii="宋体" w:eastAsia="宋体" w:hAnsi="宋体" w:cs="Times New Roman"/>
          <w:b/>
          <w:bCs/>
          <w:sz w:val="24"/>
          <w:szCs w:val="24"/>
        </w:rPr>
        <w:t>乙方更新本协议并进行披露后，如甲方购买</w:t>
      </w:r>
      <w:r>
        <w:rPr>
          <w:rFonts w:ascii="宋体" w:eastAsia="宋体" w:hAnsi="宋体" w:cs="Times New Roman" w:hint="eastAsia"/>
          <w:b/>
          <w:bCs/>
          <w:sz w:val="24"/>
          <w:szCs w:val="24"/>
        </w:rPr>
        <w:t>、</w:t>
      </w:r>
      <w:r>
        <w:rPr>
          <w:rFonts w:ascii="宋体" w:eastAsia="宋体" w:hAnsi="宋体" w:cs="Times New Roman"/>
          <w:b/>
          <w:bCs/>
          <w:sz w:val="24"/>
          <w:szCs w:val="24"/>
        </w:rPr>
        <w:t>或继续持有</w:t>
      </w:r>
      <w:r>
        <w:rPr>
          <w:rFonts w:ascii="宋体" w:eastAsia="宋体" w:hAnsi="宋体" w:cs="Times New Roman" w:hint="eastAsia"/>
          <w:b/>
          <w:bCs/>
          <w:sz w:val="24"/>
          <w:szCs w:val="24"/>
        </w:rPr>
        <w:t>本</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，则视为甲方完全接受</w:t>
      </w:r>
      <w:r>
        <w:rPr>
          <w:rFonts w:ascii="宋体" w:eastAsia="宋体" w:hAnsi="宋体" w:cs="Times New Roman" w:hint="eastAsia"/>
          <w:b/>
          <w:bCs/>
          <w:sz w:val="24"/>
          <w:szCs w:val="24"/>
        </w:rPr>
        <w:t>最新版本协议</w:t>
      </w:r>
      <w:r>
        <w:rPr>
          <w:rFonts w:ascii="宋体" w:eastAsia="宋体" w:hAnsi="宋体" w:cs="Times New Roman"/>
          <w:b/>
          <w:bCs/>
          <w:sz w:val="24"/>
          <w:szCs w:val="24"/>
        </w:rPr>
        <w:t>的所有内容。</w:t>
      </w:r>
    </w:p>
    <w:p w:rsidR="00156F5C" w14:paraId="52EE1D96" w14:textId="1924FD3A">
      <w:pPr>
        <w:widowControl/>
        <w:spacing w:line="360" w:lineRule="auto"/>
        <w:ind w:firstLine="480" w:firstLineChars="200"/>
        <w:jc w:val="left"/>
        <w:rPr>
          <w:rFonts w:ascii="宋体" w:eastAsia="宋体" w:hAnsi="宋体" w:cs="Times New Roman" w:hint="eastAsia"/>
          <w:b/>
          <w:sz w:val="24"/>
          <w:szCs w:val="24"/>
        </w:rPr>
      </w:pPr>
      <w:r>
        <w:rPr>
          <w:rFonts w:ascii="宋体" w:eastAsia="宋体" w:hAnsi="宋体" w:cs="Times New Roman" w:hint="eastAsia"/>
          <w:b/>
          <w:bCs/>
          <w:sz w:val="24"/>
          <w:szCs w:val="24"/>
        </w:rPr>
        <w:t>8、</w:t>
      </w:r>
      <w:r>
        <w:rPr>
          <w:rFonts w:ascii="宋体" w:eastAsia="宋体" w:hAnsi="宋体" w:cs="Times New Roman" w:hint="eastAsia"/>
          <w:b/>
          <w:sz w:val="24"/>
          <w:szCs w:val="24"/>
        </w:rPr>
        <w:t>双方一致同意本协议履行地为浙江省宁波市</w:t>
      </w:r>
      <w:r>
        <w:rPr>
          <w:rFonts w:ascii="宋体" w:eastAsia="宋体" w:hAnsi="宋体" w:cs="Times New Roman" w:hint="eastAsia"/>
          <w:b/>
          <w:sz w:val="24"/>
          <w:szCs w:val="24"/>
        </w:rPr>
        <w:t>鄞</w:t>
      </w:r>
      <w:r>
        <w:rPr>
          <w:rFonts w:ascii="宋体" w:eastAsia="宋体" w:hAnsi="宋体" w:cs="Times New Roman" w:hint="eastAsia"/>
          <w:b/>
          <w:sz w:val="24"/>
          <w:szCs w:val="24"/>
        </w:rPr>
        <w:t>州区。</w:t>
      </w:r>
    </w:p>
    <w:p w:rsidR="00156F5C" w14:paraId="3E7ED80A" w14:textId="77777777">
      <w:pPr>
        <w:pStyle w:val="ListParagraph"/>
        <w:spacing w:line="360"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（二）协议终止</w:t>
      </w:r>
    </w:p>
    <w:p w:rsidR="00156F5C" w14:paraId="2332C14A"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1、除《理财产品说明书》约定的提前终止情形外，甲方</w:t>
      </w:r>
      <w:r>
        <w:rPr>
          <w:rFonts w:ascii="宋体" w:eastAsia="宋体" w:hAnsi="宋体" w:cs="Times New Roman" w:hint="eastAsia"/>
          <w:b/>
          <w:sz w:val="24"/>
          <w:szCs w:val="24"/>
        </w:rPr>
        <w:t>发生违反理财产品销售文件的违约行为或交易资金被国家有权机关采取冻结、扣划等保全措施时，乙方有权提前终止本协议，造成甲方损失的，乙方不承担责任。</w:t>
      </w:r>
    </w:p>
    <w:p w:rsidR="00156F5C" w14:paraId="6D2DFC90"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2、如甲方拒绝配合乙方开展尽职调查，或</w:t>
      </w:r>
      <w:r>
        <w:rPr>
          <w:rFonts w:ascii="宋体" w:eastAsia="宋体" w:hAnsi="宋体" w:cs="Times New Roman" w:hint="eastAsia"/>
          <w:b/>
          <w:sz w:val="24"/>
          <w:szCs w:val="24"/>
        </w:rPr>
        <w:t>者乙方发现有关甲方交易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156F5C" w14:paraId="183F017F"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3、乙方宣布本理财产品设立失败、乙方或投资者提前终止理财产品（包括但</w:t>
      </w:r>
      <w:r>
        <w:rPr>
          <w:rFonts w:ascii="宋体" w:eastAsia="宋体" w:hAnsi="宋体" w:cs="Times New Roman"/>
          <w:sz w:val="24"/>
          <w:szCs w:val="24"/>
        </w:rPr>
        <w:t>不限于</w:t>
      </w:r>
      <w:r>
        <w:rPr>
          <w:rFonts w:ascii="宋体" w:eastAsia="宋体" w:hAnsi="宋体" w:cs="Times New Roman" w:hint="eastAsia"/>
          <w:sz w:val="24"/>
          <w:szCs w:val="24"/>
        </w:rPr>
        <w:t>投资者全部赎回理财产品份额）或者理财产品到期并完成清算分配后，本协议自动终止。</w:t>
      </w:r>
    </w:p>
    <w:p w:rsidR="00156F5C" w14:paraId="44292F3E"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sz w:val="24"/>
          <w:szCs w:val="24"/>
        </w:rPr>
        <w:t>4、</w:t>
      </w:r>
      <w:r>
        <w:rPr>
          <w:rFonts w:ascii="宋体" w:eastAsia="宋体" w:hAnsi="宋体" w:cs="Times New Roman" w:hint="eastAsia"/>
          <w:b/>
          <w:sz w:val="24"/>
          <w:szCs w:val="24"/>
        </w:rPr>
        <w:t>甲方通过乙方或代理销售机构提交的有效理财产品赎回</w:t>
      </w:r>
      <w:r>
        <w:rPr>
          <w:rFonts w:ascii="宋体" w:eastAsia="宋体" w:hAnsi="宋体" w:cs="Times New Roman"/>
          <w:b/>
          <w:sz w:val="24"/>
          <w:szCs w:val="24"/>
        </w:rPr>
        <w:t>/撤单申请，并不意味着理</w:t>
      </w:r>
      <w:r>
        <w:rPr>
          <w:rFonts w:ascii="宋体" w:eastAsia="宋体" w:hAnsi="宋体" w:cs="Times New Roman" w:hint="eastAsia"/>
          <w:b/>
          <w:sz w:val="24"/>
          <w:szCs w:val="24"/>
        </w:rPr>
        <w:t>财产品赎回</w:t>
      </w:r>
      <w:r>
        <w:rPr>
          <w:rFonts w:ascii="宋体" w:eastAsia="宋体" w:hAnsi="宋体" w:cs="Times New Roman"/>
          <w:b/>
          <w:sz w:val="24"/>
          <w:szCs w:val="24"/>
        </w:rPr>
        <w:t>/撤单一定成功，具体赎回/撤单的受理结果根据《</w:t>
      </w:r>
      <w:r>
        <w:rPr>
          <w:rFonts w:ascii="宋体" w:eastAsia="宋体" w:hAnsi="宋体" w:cs="Times New Roman" w:hint="eastAsia"/>
          <w:b/>
          <w:sz w:val="24"/>
          <w:szCs w:val="24"/>
        </w:rPr>
        <w:t>理财</w:t>
      </w:r>
      <w:r>
        <w:rPr>
          <w:rFonts w:ascii="宋体" w:eastAsia="宋体" w:hAnsi="宋体" w:cs="Times New Roman"/>
          <w:b/>
          <w:sz w:val="24"/>
          <w:szCs w:val="24"/>
        </w:rPr>
        <w:t>产品说明书》约定</w:t>
      </w:r>
      <w:r>
        <w:rPr>
          <w:rFonts w:ascii="宋体" w:eastAsia="宋体" w:hAnsi="宋体" w:cs="Times New Roman" w:hint="eastAsia"/>
          <w:b/>
          <w:sz w:val="24"/>
          <w:szCs w:val="24"/>
        </w:rPr>
        <w:t>执行。</w:t>
      </w:r>
    </w:p>
    <w:p w:rsidR="00156F5C" w14:paraId="7B0629A6"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本协议及《</w:t>
      </w:r>
      <w:r>
        <w:rPr>
          <w:rFonts w:ascii="宋体" w:eastAsia="宋体" w:hAnsi="宋体" w:cs="Times New Roman" w:hint="eastAsia"/>
          <w:sz w:val="24"/>
          <w:szCs w:val="24"/>
        </w:rPr>
        <w:t>理财</w:t>
      </w:r>
      <w:r>
        <w:rPr>
          <w:rFonts w:ascii="宋体" w:eastAsia="宋体" w:hAnsi="宋体" w:cs="Times New Roman"/>
          <w:sz w:val="24"/>
          <w:szCs w:val="24"/>
        </w:rPr>
        <w:t>产品说明书》项</w:t>
      </w:r>
      <w:r>
        <w:rPr>
          <w:rFonts w:ascii="宋体" w:eastAsia="宋体" w:hAnsi="宋体" w:cs="Times New Roman"/>
          <w:sz w:val="24"/>
          <w:szCs w:val="24"/>
        </w:rPr>
        <w:t>下各方</w:t>
      </w:r>
      <w:r>
        <w:rPr>
          <w:rFonts w:ascii="宋体" w:eastAsia="宋体" w:hAnsi="宋体" w:cs="Times New Roman"/>
          <w:sz w:val="24"/>
          <w:szCs w:val="24"/>
        </w:rPr>
        <w:t>权利义务履行完毕之日，本协议自动终</w:t>
      </w:r>
      <w:r>
        <w:rPr>
          <w:rFonts w:ascii="宋体" w:eastAsia="宋体" w:hAnsi="宋体" w:cs="Times New Roman" w:hint="eastAsia"/>
          <w:sz w:val="24"/>
          <w:szCs w:val="24"/>
        </w:rPr>
        <w:t>止。</w:t>
      </w:r>
    </w:p>
    <w:p w:rsidR="00156F5C" w14:paraId="3678B420" w14:textId="77777777">
      <w:pPr>
        <w:pStyle w:val="ListParagraph"/>
        <w:spacing w:line="360"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第八条</w:t>
      </w:r>
      <w:r>
        <w:rPr>
          <w:rFonts w:ascii="宋体" w:eastAsia="宋体" w:hAnsi="宋体" w:cs="Times New Roman"/>
          <w:sz w:val="24"/>
          <w:szCs w:val="24"/>
        </w:rPr>
        <w:t xml:space="preserve"> </w:t>
      </w:r>
      <w:r>
        <w:rPr>
          <w:rFonts w:ascii="宋体" w:eastAsia="宋体" w:hAnsi="宋体" w:cs="Times New Roman" w:hint="eastAsia"/>
          <w:b/>
          <w:sz w:val="24"/>
          <w:szCs w:val="24"/>
        </w:rPr>
        <w:t>本协议与本理财产品的《理财产品说明书》、《风险揭示书》、《销售（代理销售）协议书》、《投资者权益须知》等理财产品销售文件共同构成一份完整且不可分割的、关于甲方所投资乙方发行</w:t>
      </w:r>
      <w:r>
        <w:rPr>
          <w:rFonts w:ascii="宋体" w:eastAsia="宋体" w:hAnsi="宋体" w:cs="Times New Roman"/>
          <w:b/>
          <w:sz w:val="24"/>
          <w:szCs w:val="24"/>
        </w:rPr>
        <w:t>管理的本</w:t>
      </w:r>
      <w:r>
        <w:rPr>
          <w:rFonts w:ascii="宋体" w:eastAsia="宋体" w:hAnsi="宋体" w:cs="Times New Roman" w:hint="eastAsia"/>
          <w:b/>
          <w:sz w:val="24"/>
          <w:szCs w:val="24"/>
        </w:rPr>
        <w:t>理财产品的全部协议。本协议与《理财产品说明书》不一致的，以《理财产品说明书》为准。如果因任何原因使本协议项下的任何条款或内容无效或被依法撤销，本协议其他条款或内容的合法性、有效性和</w:t>
      </w:r>
      <w:r>
        <w:rPr>
          <w:rFonts w:ascii="宋体" w:eastAsia="宋体" w:hAnsi="宋体" w:cs="Times New Roman" w:hint="eastAsia"/>
          <w:b/>
          <w:sz w:val="24"/>
          <w:szCs w:val="24"/>
        </w:rPr>
        <w:t>可</w:t>
      </w:r>
      <w:r>
        <w:rPr>
          <w:rFonts w:ascii="宋体" w:eastAsia="宋体" w:hAnsi="宋体" w:cs="Times New Roman" w:hint="eastAsia"/>
          <w:b/>
          <w:sz w:val="24"/>
          <w:szCs w:val="24"/>
        </w:rPr>
        <w:t>执行性不受影响。</w:t>
      </w:r>
    </w:p>
    <w:p w:rsidR="00156F5C" w14:paraId="4FA2FBFA" w14:textId="77777777">
      <w:pPr>
        <w:pStyle w:val="ListParagraph"/>
        <w:spacing w:line="360" w:lineRule="auto"/>
        <w:ind w:firstLine="480"/>
        <w:rPr>
          <w:rFonts w:ascii="宋体" w:eastAsia="宋体" w:hAnsi="宋体" w:cs="Times New Roman" w:hint="eastAsia"/>
          <w:sz w:val="24"/>
          <w:szCs w:val="24"/>
        </w:rPr>
      </w:pPr>
    </w:p>
    <w:p w:rsidR="00156F5C" w14:paraId="3AA9832E" w14:textId="77777777">
      <w:pPr>
        <w:pStyle w:val="ListParagraph"/>
        <w:spacing w:line="360"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声明：甲方是具有完全民事行为能力的自然人/法人/其他</w:t>
      </w:r>
      <w:r>
        <w:rPr>
          <w:rFonts w:ascii="宋体" w:eastAsia="宋体" w:hAnsi="宋体" w:cs="Times New Roman"/>
          <w:b/>
          <w:sz w:val="24"/>
          <w:szCs w:val="24"/>
        </w:rPr>
        <w:t>组织</w:t>
      </w:r>
      <w:r>
        <w:rPr>
          <w:rFonts w:ascii="宋体" w:eastAsia="宋体" w:hAnsi="宋体" w:cs="Times New Roman" w:hint="eastAsia"/>
          <w:b/>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sz w:val="24"/>
          <w:szCs w:val="24"/>
        </w:rPr>
        <w:t>本</w:t>
      </w:r>
      <w:r>
        <w:rPr>
          <w:rFonts w:ascii="宋体" w:eastAsia="宋体" w:hAnsi="宋体" w:cs="Times New Roman" w:hint="eastAsia"/>
          <w:b/>
          <w:sz w:val="24"/>
          <w:szCs w:val="24"/>
        </w:rPr>
        <w:t>协议，并知晓清楚全部条款，签署</w:t>
      </w:r>
      <w:r>
        <w:rPr>
          <w:rFonts w:ascii="宋体" w:eastAsia="宋体" w:hAnsi="宋体" w:cs="Times New Roman"/>
          <w:b/>
          <w:sz w:val="24"/>
          <w:szCs w:val="24"/>
        </w:rPr>
        <w:t>本协议视为对前述</w:t>
      </w:r>
      <w:r>
        <w:rPr>
          <w:rFonts w:ascii="宋体" w:eastAsia="宋体" w:hAnsi="宋体" w:cs="Times New Roman" w:hint="eastAsia"/>
          <w:b/>
          <w:sz w:val="24"/>
          <w:szCs w:val="24"/>
        </w:rPr>
        <w:t>理财产品</w:t>
      </w:r>
      <w:r>
        <w:rPr>
          <w:rFonts w:ascii="宋体" w:eastAsia="宋体" w:hAnsi="宋体" w:cs="Times New Roman"/>
          <w:b/>
          <w:sz w:val="24"/>
          <w:szCs w:val="24"/>
        </w:rPr>
        <w:t>销售文件的</w:t>
      </w:r>
      <w:r>
        <w:rPr>
          <w:rFonts w:ascii="宋体" w:eastAsia="宋体" w:hAnsi="宋体" w:cs="Times New Roman" w:hint="eastAsia"/>
          <w:b/>
          <w:sz w:val="24"/>
          <w:szCs w:val="24"/>
        </w:rPr>
        <w:t>签署</w:t>
      </w:r>
      <w:r>
        <w:rPr>
          <w:rFonts w:ascii="宋体" w:eastAsia="宋体" w:hAnsi="宋体" w:cs="Times New Roman"/>
          <w:b/>
          <w:sz w:val="24"/>
          <w:szCs w:val="24"/>
        </w:rPr>
        <w:t>与确认，</w:t>
      </w:r>
      <w:r>
        <w:rPr>
          <w:rFonts w:ascii="宋体" w:eastAsia="宋体" w:hAnsi="宋体" w:cs="Times New Roman" w:hint="eastAsia"/>
          <w:b/>
          <w:sz w:val="24"/>
          <w:szCs w:val="24"/>
        </w:rPr>
        <w:t>甲方对本协议相关条款不存在任何疑问或异议。</w:t>
      </w:r>
    </w:p>
    <w:p w:rsidR="00156F5C" w14:paraId="141A61FE" w14:textId="77777777">
      <w:pPr>
        <w:pStyle w:val="ListParagraph"/>
        <w:spacing w:line="360" w:lineRule="auto"/>
        <w:ind w:firstLine="482"/>
        <w:rPr>
          <w:rFonts w:ascii="宋体" w:eastAsia="宋体" w:hAnsi="宋体" w:cs="Times New Roman" w:hint="eastAsia"/>
          <w:b/>
          <w:sz w:val="24"/>
          <w:szCs w:val="24"/>
        </w:rPr>
      </w:pPr>
    </w:p>
    <w:p w:rsidR="00156F5C" w14:paraId="72B27C0B" w14:textId="77777777">
      <w:pPr>
        <w:tabs>
          <w:tab w:val="left" w:pos="3460"/>
        </w:tabs>
        <w:spacing w:line="312" w:lineRule="auto"/>
        <w:ind w:left="63" w:leftChars="30"/>
        <w:rPr>
          <w:rFonts w:ascii="宋体" w:hAnsi="宋体" w:cs="宋体" w:hint="eastAsia"/>
          <w:b/>
          <w:bCs/>
          <w:kern w:val="0"/>
          <w:sz w:val="24"/>
        </w:rPr>
      </w:pPr>
      <w:r>
        <w:rPr>
          <w:rFonts w:ascii="宋体" w:hAnsi="宋体" w:cs="宋体" w:hint="eastAsia"/>
          <w:b/>
          <w:bCs/>
          <w:kern w:val="0"/>
          <w:sz w:val="24"/>
        </w:rPr>
        <w:t>（自然人签署适用）</w:t>
      </w:r>
    </w:p>
    <w:p w:rsidR="00156F5C" w14:paraId="532DFE6D" w14:textId="77777777">
      <w:pPr>
        <w:tabs>
          <w:tab w:val="left" w:pos="3460"/>
        </w:tabs>
        <w:spacing w:line="312" w:lineRule="auto"/>
        <w:ind w:left="63" w:leftChars="30"/>
        <w:rPr>
          <w:rFonts w:ascii="宋体" w:hAnsi="宋体" w:cs="宋体" w:hint="eastAsia"/>
          <w:b/>
          <w:bCs/>
          <w:kern w:val="0"/>
          <w:sz w:val="24"/>
        </w:rPr>
      </w:pPr>
      <w:r>
        <w:rPr>
          <w:rFonts w:ascii="宋体" w:hAnsi="宋体" w:cs="宋体" w:hint="eastAsia"/>
          <w:b/>
          <w:bCs/>
          <w:kern w:val="0"/>
          <w:sz w:val="24"/>
        </w:rPr>
        <w:t>甲方签字</w:t>
      </w:r>
      <w:r>
        <w:rPr>
          <w:rFonts w:ascii="宋体" w:hAnsi="宋体" w:cs="宋体" w:hint="eastAsia"/>
          <w:b/>
          <w:bCs/>
          <w:kern w:val="0"/>
          <w:sz w:val="24"/>
        </w:rPr>
        <w:t xml:space="preserve">   ____________</w:t>
      </w:r>
      <w:r>
        <w:rPr>
          <w:rFonts w:ascii="宋体" w:hAnsi="宋体" w:cs="宋体"/>
          <w:b/>
          <w:bCs/>
          <w:kern w:val="0"/>
          <w:sz w:val="24"/>
        </w:rPr>
        <w:tab/>
      </w:r>
    </w:p>
    <w:p w:rsidR="00156F5C" w14:paraId="26867B6F" w14:textId="77777777">
      <w:pPr>
        <w:tabs>
          <w:tab w:val="left" w:pos="3460"/>
        </w:tabs>
        <w:spacing w:line="312" w:lineRule="auto"/>
        <w:ind w:left="63" w:leftChars="30"/>
        <w:rPr>
          <w:rFonts w:ascii="宋体" w:hAnsi="宋体" w:cs="宋体" w:hint="eastAsia"/>
          <w:b/>
          <w:bCs/>
          <w:kern w:val="0"/>
          <w:sz w:val="24"/>
        </w:rPr>
      </w:pPr>
    </w:p>
    <w:p w:rsidR="00156F5C" w14:paraId="121B0779" w14:textId="77777777">
      <w:pPr>
        <w:spacing w:line="312" w:lineRule="auto"/>
        <w:rPr>
          <w:rFonts w:ascii="宋体" w:hAnsi="宋体" w:cs="宋体" w:hint="eastAsia"/>
          <w:b/>
          <w:bCs/>
          <w:kern w:val="0"/>
          <w:sz w:val="24"/>
        </w:rPr>
      </w:pPr>
      <w:r>
        <w:rPr>
          <w:rFonts w:ascii="宋体" w:hAnsi="宋体" w:cs="宋体" w:hint="eastAsia"/>
          <w:b/>
          <w:bCs/>
          <w:kern w:val="0"/>
          <w:sz w:val="24"/>
        </w:rPr>
        <w:t>（</w:t>
      </w:r>
      <w:r>
        <w:rPr>
          <w:rFonts w:ascii="宋体" w:hAnsi="宋体" w:cs="宋体"/>
          <w:b/>
          <w:bCs/>
          <w:kern w:val="0"/>
          <w:sz w:val="24"/>
        </w:rPr>
        <w:t>机构投资者</w:t>
      </w:r>
      <w:r>
        <w:rPr>
          <w:rFonts w:ascii="宋体" w:hAnsi="宋体" w:cs="宋体" w:hint="eastAsia"/>
          <w:b/>
          <w:bCs/>
          <w:kern w:val="0"/>
          <w:sz w:val="24"/>
        </w:rPr>
        <w:t>签署适用）</w:t>
      </w:r>
    </w:p>
    <w:p w:rsidR="00156F5C" w14:paraId="3F94ED12" w14:textId="77777777">
      <w:pPr>
        <w:spacing w:line="312" w:lineRule="auto"/>
        <w:rPr>
          <w:rFonts w:ascii="宋体" w:hAnsi="宋体" w:cs="宋体" w:hint="eastAsia"/>
          <w:b/>
          <w:bCs/>
          <w:kern w:val="0"/>
          <w:sz w:val="24"/>
        </w:rPr>
      </w:pPr>
      <w:r>
        <w:rPr>
          <w:rFonts w:ascii="宋体" w:hAnsi="宋体" w:cs="宋体" w:hint="eastAsia"/>
          <w:b/>
          <w:bCs/>
          <w:kern w:val="0"/>
          <w:sz w:val="24"/>
        </w:rPr>
        <w:t>公章（或经公章授权的其他有效印鉴）：</w:t>
      </w:r>
    </w:p>
    <w:p w:rsidR="00156F5C" w14:paraId="103A1104" w14:textId="77777777">
      <w:pPr>
        <w:spacing w:line="312" w:lineRule="auto"/>
        <w:rPr>
          <w:rFonts w:ascii="宋体" w:hAnsi="宋体" w:cs="宋体" w:hint="eastAsia"/>
          <w:b/>
          <w:bCs/>
          <w:kern w:val="0"/>
          <w:sz w:val="24"/>
        </w:rPr>
      </w:pPr>
      <w:r>
        <w:rPr>
          <w:rFonts w:ascii="宋体" w:hAnsi="宋体" w:cs="宋体" w:hint="eastAsia"/>
          <w:b/>
          <w:bCs/>
          <w:kern w:val="0"/>
          <w:sz w:val="24"/>
        </w:rPr>
        <w:t>法定代表人（负责人）或授权代理人签字</w:t>
      </w:r>
      <w:r>
        <w:rPr>
          <w:rFonts w:ascii="宋体" w:hAnsi="宋体" w:cs="宋体" w:hint="eastAsia"/>
          <w:b/>
          <w:bCs/>
          <w:kern w:val="0"/>
          <w:sz w:val="24"/>
        </w:rPr>
        <w:t>/</w:t>
      </w:r>
      <w:r>
        <w:rPr>
          <w:rFonts w:ascii="宋体" w:hAnsi="宋体" w:cs="宋体" w:hint="eastAsia"/>
          <w:b/>
          <w:bCs/>
          <w:kern w:val="0"/>
          <w:sz w:val="24"/>
        </w:rPr>
        <w:t>签章：</w:t>
      </w:r>
    </w:p>
    <w:p w:rsidR="00156F5C" w14:paraId="496F54F6" w14:textId="77777777">
      <w:pPr>
        <w:spacing w:line="312" w:lineRule="auto"/>
        <w:rPr>
          <w:rFonts w:ascii="宋体" w:hAnsi="宋体" w:cs="宋体" w:hint="eastAsia"/>
          <w:b/>
          <w:bCs/>
          <w:kern w:val="0"/>
          <w:sz w:val="24"/>
        </w:rPr>
      </w:pPr>
    </w:p>
    <w:p w:rsidR="00156F5C" w14:paraId="1EAB8911" w14:textId="77777777">
      <w:pPr>
        <w:spacing w:line="312" w:lineRule="auto"/>
        <w:rPr>
          <w:rFonts w:ascii="宋体" w:hAnsi="宋体" w:cs="宋体" w:hint="eastAsia"/>
          <w:b/>
          <w:bCs/>
          <w:kern w:val="0"/>
          <w:sz w:val="24"/>
        </w:rPr>
      </w:pPr>
    </w:p>
    <w:p w:rsidR="00156F5C" w14:paraId="35B61703" w14:textId="77777777">
      <w:pPr>
        <w:spacing w:line="312" w:lineRule="auto"/>
        <w:rPr>
          <w:rFonts w:ascii="宋体" w:hAnsi="宋体" w:hint="eastAsia"/>
          <w:sz w:val="24"/>
        </w:rPr>
        <w:sectPr>
          <w:footerReference w:type="default" r:id="rId6"/>
          <w:pgSz w:w="11906" w:h="16838"/>
          <w:pgMar w:top="1440" w:right="1800" w:bottom="1440" w:left="1800" w:header="851" w:footer="992" w:gutter="0"/>
          <w:pgNumType w:fmt="numberInDash"/>
          <w:cols w:space="425"/>
          <w:docGrid w:type="lines" w:linePitch="312"/>
        </w:sectPr>
      </w:pPr>
      <w:r>
        <w:rPr>
          <w:rFonts w:ascii="宋体" w:hAnsi="宋体" w:cs="宋体" w:hint="eastAsia"/>
          <w:b/>
          <w:bCs/>
          <w:kern w:val="0"/>
          <w:sz w:val="24"/>
        </w:rPr>
        <w:t>日期</w:t>
      </w:r>
      <w:r>
        <w:rPr>
          <w:rFonts w:ascii="宋体" w:hAnsi="宋体" w:cs="宋体" w:hint="eastAsia"/>
          <w:b/>
          <w:bCs/>
          <w:kern w:val="0"/>
          <w:sz w:val="24"/>
        </w:rPr>
        <w:t xml:space="preserve">         ____________</w:t>
      </w:r>
    </w:p>
    <w:p w:rsidR="003E0304" w:rsidRPr="00D34F59" w14:paraId="6FC7ECE9" w14:textId="187B0A6C">
      <w:pPr>
        <w:spacing w:line="312" w:lineRule="auto"/>
        <w:jc w:val="center"/>
        <w:rPr>
          <w:rFonts w:ascii="黑体" w:eastAsia="黑体" w:hAnsi="宋体" w:cs="Times New Roman" w:hint="eastAsia"/>
          <w:b/>
          <w:sz w:val="44"/>
          <w:szCs w:val="44"/>
        </w:rPr>
      </w:pPr>
      <w:r>
        <w:rPr>
          <w:rFonts w:ascii="黑体" w:eastAsia="黑体" w:hAnsi="宋体" w:cs="Times New Roman" w:hint="eastAsia"/>
          <w:b/>
          <w:sz w:val="44"/>
          <w:szCs w:val="44"/>
        </w:rPr>
        <w:t>宁银理财宁欣天天鎏金现金管理类理财产品S款1号</w:t>
      </w:r>
      <w:r w:rsidRPr="00D34F59" w:rsidR="00193C46">
        <w:rPr>
          <w:rFonts w:ascii="黑体" w:eastAsia="黑体" w:hAnsi="宋体" w:cs="Times New Roman" w:hint="eastAsia"/>
          <w:b/>
          <w:sz w:val="44"/>
          <w:szCs w:val="44"/>
        </w:rPr>
        <w:t>产品风险揭示书</w:t>
      </w:r>
    </w:p>
    <w:p w:rsidR="003E0304" w:rsidRPr="00D34F59" w14:paraId="63D8AC51" w14:textId="5D522145">
      <w:pPr>
        <w:spacing w:line="312" w:lineRule="auto"/>
        <w:jc w:val="center"/>
        <w:rPr>
          <w:rFonts w:ascii="黑体" w:eastAsia="黑体" w:hAnsi="宋体" w:cs="Times New Roman" w:hint="eastAsia"/>
          <w:b/>
          <w:sz w:val="44"/>
          <w:szCs w:val="44"/>
        </w:rPr>
      </w:pPr>
      <w:r w:rsidRPr="00D34F59">
        <w:rPr>
          <w:rFonts w:ascii="宋体" w:eastAsia="宋体" w:hAnsi="宋体" w:cs="Times New Roman" w:hint="eastAsia"/>
          <w:b/>
          <w:sz w:val="24"/>
          <w:szCs w:val="24"/>
        </w:rPr>
        <w:t>（</w:t>
      </w:r>
      <w:r w:rsidRPr="00D34F59" w:rsidR="002D1074">
        <w:rPr>
          <w:rFonts w:ascii="宋体" w:eastAsia="宋体" w:hAnsi="宋体" w:cs="Times New Roman"/>
          <w:b/>
          <w:sz w:val="24"/>
          <w:szCs w:val="24"/>
        </w:rPr>
        <w:t>202</w:t>
      </w:r>
      <w:r w:rsidR="00C8483C">
        <w:rPr>
          <w:rFonts w:ascii="宋体" w:eastAsia="宋体" w:hAnsi="宋体" w:cs="Times New Roman" w:hint="eastAsia"/>
          <w:b/>
          <w:sz w:val="24"/>
          <w:szCs w:val="24"/>
        </w:rPr>
        <w:t>601</w:t>
      </w:r>
      <w:r w:rsidRPr="00D34F59" w:rsidR="00256C1A">
        <w:rPr>
          <w:rFonts w:ascii="宋体" w:eastAsia="宋体" w:hAnsi="宋体" w:cs="Times New Roman" w:hint="eastAsia"/>
          <w:b/>
          <w:sz w:val="24"/>
          <w:szCs w:val="24"/>
        </w:rPr>
        <w:t>版</w:t>
      </w:r>
      <w:r w:rsidRPr="00D34F59">
        <w:rPr>
          <w:rFonts w:ascii="宋体" w:eastAsia="宋体" w:hAnsi="宋体" w:cs="Times New Roman" w:hint="eastAsia"/>
          <w:b/>
          <w:sz w:val="24"/>
          <w:szCs w:val="24"/>
        </w:rPr>
        <w:t>）</w:t>
      </w:r>
    </w:p>
    <w:p w:rsidR="003E0304" w:rsidRPr="00D34F59" w14:paraId="0A579225" w14:textId="77777777">
      <w:pPr>
        <w:spacing w:line="312" w:lineRule="auto"/>
        <w:rPr>
          <w:rFonts w:ascii="宋体" w:eastAsia="宋体" w:hAnsi="宋体" w:cs="Times New Roman" w:hint="eastAsia"/>
          <w:sz w:val="24"/>
          <w:szCs w:val="24"/>
        </w:rPr>
      </w:pPr>
      <w:r w:rsidRPr="00D34F59">
        <w:rPr>
          <w:rFonts w:ascii="宋体" w:eastAsia="宋体" w:hAnsi="宋体" w:cs="Times New Roman" w:hint="eastAsia"/>
          <w:sz w:val="24"/>
          <w:szCs w:val="24"/>
        </w:rPr>
        <w:t>尊敬的投资者：</w:t>
      </w:r>
    </w:p>
    <w:p w:rsidR="003E0304" w14:paraId="5C8E4C70" w14:textId="199E46DB">
      <w:pPr>
        <w:spacing w:line="312" w:lineRule="auto"/>
        <w:jc w:val="center"/>
        <w:rPr>
          <w:rFonts w:ascii="宋体" w:eastAsia="宋体" w:hAnsi="宋体" w:cs="Times New Roman" w:hint="eastAsia"/>
          <w:b/>
          <w:sz w:val="24"/>
          <w:szCs w:val="24"/>
          <w:u w:val="single"/>
        </w:rPr>
      </w:pPr>
      <w:r w:rsidRPr="00D34F59">
        <w:rPr>
          <w:rFonts w:ascii="宋体" w:eastAsia="宋体" w:hAnsi="宋体" w:cs="Times New Roman" w:hint="eastAsia"/>
          <w:b/>
          <w:sz w:val="24"/>
          <w:szCs w:val="24"/>
          <w:u w:val="single"/>
        </w:rPr>
        <w:t>理财非存款、产品有风险、投资须谨慎。</w:t>
      </w:r>
    </w:p>
    <w:p w:rsidR="002D1074" w:rsidRPr="00D34F59" w:rsidP="002D1074" w14:paraId="6810FDD2" w14:textId="0EA92570">
      <w:pPr>
        <w:spacing w:line="312" w:lineRule="auto"/>
        <w:jc w:val="center"/>
        <w:rPr>
          <w:rFonts w:ascii="宋体" w:eastAsia="宋体" w:hAnsi="宋体" w:cs="Times New Roman" w:hint="eastAsia"/>
          <w:b/>
          <w:sz w:val="24"/>
          <w:szCs w:val="24"/>
          <w:u w:val="single"/>
        </w:rPr>
      </w:pPr>
      <w:r w:rsidRPr="003F7AAB">
        <w:rPr>
          <w:rFonts w:ascii="宋体" w:eastAsia="宋体" w:hAnsi="宋体" w:cs="Times New Roman" w:hint="eastAsia"/>
          <w:b/>
          <w:sz w:val="24"/>
          <w:szCs w:val="24"/>
          <w:u w:val="single"/>
        </w:rPr>
        <w:t>理财产品过往业绩不代表其未来表现，不等于理财产品实际收益，投资须谨慎</w:t>
      </w:r>
      <w:r>
        <w:rPr>
          <w:rFonts w:ascii="宋体" w:eastAsia="宋体" w:hAnsi="宋体" w:cs="Times New Roman" w:hint="eastAsia"/>
          <w:b/>
          <w:sz w:val="24"/>
          <w:szCs w:val="24"/>
          <w:u w:val="single"/>
        </w:rPr>
        <w:t>。</w:t>
      </w:r>
    </w:p>
    <w:p w:rsidR="003E0304" w:rsidRPr="00D34F59" w14:paraId="5A174AF7" w14:textId="0665F49D">
      <w:pPr>
        <w:spacing w:line="312" w:lineRule="auto"/>
        <w:ind w:firstLine="555"/>
        <w:rPr>
          <w:rFonts w:ascii="宋体" w:eastAsia="宋体" w:hAnsi="宋体" w:cs="Times New Roman" w:hint="eastAsia"/>
          <w:sz w:val="24"/>
          <w:szCs w:val="24"/>
        </w:rPr>
      </w:pPr>
      <w:r w:rsidRPr="00D34F59">
        <w:rPr>
          <w:rFonts w:ascii="宋体" w:eastAsia="宋体" w:hAnsi="宋体" w:cs="Times New Roman" w:hint="eastAsia"/>
          <w:sz w:val="24"/>
          <w:szCs w:val="24"/>
        </w:rPr>
        <w:t>本产品</w:t>
      </w:r>
      <w:r w:rsidRPr="00D34F59">
        <w:rPr>
          <w:rFonts w:ascii="宋体" w:eastAsia="宋体" w:hAnsi="宋体" w:cs="Times New Roman"/>
          <w:sz w:val="24"/>
          <w:szCs w:val="24"/>
        </w:rPr>
        <w:t>系</w:t>
      </w:r>
      <w:r w:rsidRPr="00D34F59">
        <w:rPr>
          <w:rFonts w:ascii="宋体" w:eastAsia="宋体" w:hAnsi="宋体" w:cs="Times New Roman"/>
          <w:sz w:val="24"/>
          <w:szCs w:val="24"/>
        </w:rPr>
        <w:t>宁银理财有限</w:t>
      </w:r>
      <w:r w:rsidRPr="00D34F59">
        <w:rPr>
          <w:rFonts w:ascii="宋体" w:eastAsia="宋体" w:hAnsi="宋体" w:cs="Times New Roman" w:hint="eastAsia"/>
          <w:sz w:val="24"/>
          <w:szCs w:val="24"/>
        </w:rPr>
        <w:t>责任</w:t>
      </w:r>
      <w:r w:rsidRPr="00D34F59">
        <w:rPr>
          <w:rFonts w:ascii="宋体" w:eastAsia="宋体" w:hAnsi="宋体" w:cs="Times New Roman"/>
          <w:sz w:val="24"/>
          <w:szCs w:val="24"/>
        </w:rPr>
        <w:t>公司</w:t>
      </w:r>
      <w:r w:rsidRPr="00D34F59">
        <w:rPr>
          <w:rFonts w:ascii="宋体" w:eastAsia="宋体" w:hAnsi="宋体" w:cs="Times New Roman" w:hint="eastAsia"/>
          <w:sz w:val="24"/>
          <w:szCs w:val="24"/>
        </w:rPr>
        <w:t>（下称“宁银理财”或“本公司”）</w:t>
      </w:r>
      <w:r w:rsidRPr="00D34F59">
        <w:rPr>
          <w:rFonts w:ascii="宋体" w:eastAsia="宋体" w:hAnsi="宋体" w:cs="Times New Roman"/>
          <w:sz w:val="24"/>
          <w:szCs w:val="24"/>
        </w:rPr>
        <w:t>发行</w:t>
      </w:r>
      <w:r w:rsidRPr="00D34F59">
        <w:rPr>
          <w:rFonts w:ascii="宋体" w:eastAsia="宋体" w:hAnsi="宋体" w:cs="Times New Roman" w:hint="eastAsia"/>
          <w:sz w:val="24"/>
          <w:szCs w:val="24"/>
        </w:rPr>
        <w:t>运作</w:t>
      </w:r>
      <w:r w:rsidRPr="00D34F59">
        <w:rPr>
          <w:rFonts w:ascii="宋体" w:eastAsia="宋体" w:hAnsi="宋体" w:cs="Times New Roman"/>
          <w:sz w:val="24"/>
          <w:szCs w:val="24"/>
        </w:rPr>
        <w:t>的</w:t>
      </w:r>
      <w:r w:rsidRPr="00D34F59">
        <w:rPr>
          <w:rFonts w:ascii="宋体" w:eastAsia="宋体" w:hAnsi="宋体" w:cs="Times New Roman"/>
          <w:b/>
          <w:sz w:val="24"/>
          <w:szCs w:val="24"/>
        </w:rPr>
        <w:t>非保本</w:t>
      </w:r>
      <w:r w:rsidRPr="00D34F59">
        <w:rPr>
          <w:rFonts w:ascii="宋体" w:eastAsia="宋体" w:hAnsi="宋体" w:cs="Times New Roman"/>
          <w:sz w:val="24"/>
          <w:szCs w:val="24"/>
        </w:rPr>
        <w:t>理财产品，</w:t>
      </w:r>
      <w:r w:rsidRPr="00D34F59">
        <w:rPr>
          <w:rFonts w:ascii="宋体" w:eastAsia="宋体" w:hAnsi="宋体" w:cs="Times New Roman" w:hint="eastAsia"/>
          <w:sz w:val="24"/>
          <w:szCs w:val="24"/>
        </w:rPr>
        <w:t>在本产品下</w:t>
      </w:r>
      <w:r w:rsidRPr="00D34F59">
        <w:rPr>
          <w:rFonts w:ascii="宋体" w:eastAsia="宋体" w:hAnsi="宋体" w:cs="Times New Roman"/>
          <w:sz w:val="24"/>
          <w:szCs w:val="24"/>
        </w:rPr>
        <w:t>，</w:t>
      </w:r>
      <w:r w:rsidRPr="00D34F59">
        <w:rPr>
          <w:rFonts w:ascii="宋体" w:eastAsia="宋体" w:hAnsi="宋体" w:cs="Times New Roman" w:hint="eastAsia"/>
          <w:sz w:val="24"/>
          <w:szCs w:val="24"/>
        </w:rPr>
        <w:t>您</w:t>
      </w:r>
      <w:r w:rsidRPr="00D34F59">
        <w:rPr>
          <w:rFonts w:ascii="宋体" w:eastAsia="宋体" w:hAnsi="宋体" w:cs="Times New Roman"/>
          <w:sz w:val="24"/>
          <w:szCs w:val="24"/>
        </w:rPr>
        <w:t>委托</w:t>
      </w:r>
      <w:r w:rsidRPr="00D34F59">
        <w:rPr>
          <w:rFonts w:ascii="宋体" w:eastAsia="宋体" w:hAnsi="宋体" w:cs="Times New Roman" w:hint="eastAsia"/>
          <w:sz w:val="24"/>
          <w:szCs w:val="24"/>
        </w:rPr>
        <w:t>本</w:t>
      </w:r>
      <w:r w:rsidRPr="00D34F59">
        <w:rPr>
          <w:rFonts w:ascii="宋体" w:eastAsia="宋体" w:hAnsi="宋体" w:cs="Times New Roman"/>
          <w:sz w:val="24"/>
          <w:szCs w:val="24"/>
        </w:rPr>
        <w:t>公司</w:t>
      </w:r>
      <w:r w:rsidRPr="00D34F59">
        <w:rPr>
          <w:rFonts w:ascii="宋体" w:eastAsia="宋体" w:hAnsi="宋体" w:cs="Times New Roman" w:hint="eastAsia"/>
          <w:sz w:val="24"/>
          <w:szCs w:val="24"/>
        </w:rPr>
        <w:t>对理财产品资金进行投资管理</w:t>
      </w:r>
      <w:r w:rsidRPr="00D34F59">
        <w:rPr>
          <w:rFonts w:ascii="宋体" w:eastAsia="宋体" w:hAnsi="宋体" w:cs="Times New Roman"/>
          <w:sz w:val="24"/>
          <w:szCs w:val="24"/>
        </w:rPr>
        <w:t>，</w:t>
      </w:r>
      <w:r w:rsidRPr="00D34F59">
        <w:rPr>
          <w:rFonts w:ascii="宋体" w:eastAsia="宋体" w:hAnsi="宋体" w:cs="Times New Roman" w:hint="eastAsia"/>
          <w:sz w:val="24"/>
          <w:szCs w:val="24"/>
        </w:rPr>
        <w:t>本公司</w:t>
      </w:r>
      <w:r w:rsidRPr="00D34F59">
        <w:rPr>
          <w:rFonts w:ascii="宋体" w:eastAsia="宋体" w:hAnsi="宋体" w:cs="Times New Roman"/>
          <w:sz w:val="24"/>
          <w:szCs w:val="24"/>
        </w:rPr>
        <w:t>将</w:t>
      </w:r>
      <w:r w:rsidRPr="00D34F59">
        <w:rPr>
          <w:rFonts w:ascii="宋体" w:eastAsia="宋体" w:hAnsi="宋体" w:cs="Times New Roman" w:hint="eastAsia"/>
          <w:sz w:val="24"/>
          <w:szCs w:val="24"/>
        </w:rPr>
        <w:t>按照约定条件和实际投资收益情况向</w:t>
      </w:r>
      <w:r w:rsidRPr="00D34F59">
        <w:rPr>
          <w:rFonts w:ascii="宋体" w:eastAsia="宋体" w:hAnsi="宋体" w:cs="Times New Roman" w:hint="eastAsia"/>
          <w:sz w:val="24"/>
          <w:szCs w:val="24"/>
        </w:rPr>
        <w:t>您支付</w:t>
      </w:r>
      <w:r w:rsidRPr="00D34F59">
        <w:rPr>
          <w:rFonts w:ascii="宋体" w:eastAsia="宋体" w:hAnsi="宋体" w:cs="Times New Roman" w:hint="eastAsia"/>
          <w:sz w:val="24"/>
          <w:szCs w:val="24"/>
        </w:rPr>
        <w:t>收益，不保证本金支付和收益水平</w:t>
      </w:r>
      <w:r w:rsidRPr="00D34F59">
        <w:rPr>
          <w:rFonts w:ascii="宋体" w:eastAsia="宋体" w:hAnsi="宋体" w:cs="Times New Roman"/>
          <w:sz w:val="24"/>
          <w:szCs w:val="24"/>
        </w:rPr>
        <w:t>。</w:t>
      </w:r>
    </w:p>
    <w:p w:rsidR="003E0304" w:rsidRPr="00D34F59" w14:paraId="423BEDE5" w14:textId="0A35253D">
      <w:pPr>
        <w:spacing w:line="312" w:lineRule="auto"/>
        <w:ind w:firstLine="555"/>
        <w:rPr>
          <w:rFonts w:ascii="宋体" w:eastAsia="宋体" w:hAnsi="宋体" w:cs="Times New Roman" w:hint="eastAsia"/>
          <w:sz w:val="24"/>
          <w:szCs w:val="24"/>
        </w:rPr>
      </w:pPr>
      <w:r w:rsidRPr="00D34F59">
        <w:rPr>
          <w:rFonts w:ascii="宋体" w:eastAsia="宋体" w:hAnsi="宋体" w:cs="Times New Roman" w:hint="eastAsia"/>
          <w:b/>
          <w:sz w:val="24"/>
          <w:szCs w:val="24"/>
        </w:rPr>
        <w:t>请仔细阅读理财产品销售文件（包括但不限于《理财产品说明书》、《风险揭示书》、《销售</w:t>
      </w:r>
      <w:r w:rsidRPr="00D34F59" w:rsidR="00604BEC">
        <w:rPr>
          <w:rFonts w:ascii="宋体" w:eastAsia="宋体" w:hAnsi="宋体" w:cs="Times New Roman" w:hint="eastAsia"/>
          <w:b/>
          <w:sz w:val="24"/>
          <w:szCs w:val="24"/>
        </w:rPr>
        <w:t>（代理销售）</w:t>
      </w:r>
      <w:r w:rsidRPr="00D34F59">
        <w:rPr>
          <w:rFonts w:ascii="宋体" w:eastAsia="宋体" w:hAnsi="宋体" w:cs="Times New Roman" w:hint="eastAsia"/>
          <w:b/>
          <w:sz w:val="24"/>
          <w:szCs w:val="24"/>
        </w:rPr>
        <w:t>协议书》</w:t>
      </w:r>
      <w:r w:rsidRPr="00D31EC0" w:rsidR="002D1074">
        <w:rPr>
          <w:rFonts w:ascii="宋体" w:eastAsia="宋体" w:hAnsi="宋体" w:cs="Times New Roman" w:hint="eastAsia"/>
          <w:b/>
          <w:sz w:val="24"/>
          <w:szCs w:val="24"/>
        </w:rPr>
        <w:t>（通过代理销售机构销售的，文件具体名称以代理销售机构为准，下同）</w:t>
      </w:r>
      <w:r w:rsidRPr="00D34F59">
        <w:rPr>
          <w:rFonts w:ascii="宋体" w:eastAsia="宋体" w:hAnsi="宋体" w:cs="Times New Roman" w:hint="eastAsia"/>
          <w:b/>
          <w:sz w:val="24"/>
          <w:szCs w:val="24"/>
        </w:rPr>
        <w:t>、《投资协议书》、《投资者权益须知》），确保</w:t>
      </w:r>
      <w:r w:rsidRPr="00D34F59">
        <w:rPr>
          <w:rFonts w:ascii="宋体" w:eastAsia="宋体" w:hAnsi="宋体" w:cs="Times New Roman"/>
          <w:b/>
          <w:sz w:val="24"/>
          <w:szCs w:val="24"/>
        </w:rPr>
        <w:t>您已</w:t>
      </w:r>
      <w:r w:rsidRPr="00D34F59">
        <w:rPr>
          <w:rFonts w:ascii="宋体" w:eastAsia="宋体" w:hAnsi="宋体" w:cs="Times New Roman" w:hint="eastAsia"/>
          <w:b/>
          <w:sz w:val="24"/>
          <w:szCs w:val="24"/>
        </w:rPr>
        <w:t>了解自己的风险承受能力、</w:t>
      </w:r>
      <w:r w:rsidRPr="00D34F59">
        <w:rPr>
          <w:rFonts w:ascii="宋体" w:eastAsia="宋体" w:hAnsi="宋体" w:cs="Times New Roman"/>
          <w:b/>
          <w:sz w:val="24"/>
          <w:szCs w:val="24"/>
        </w:rPr>
        <w:t>理财</w:t>
      </w:r>
      <w:r w:rsidRPr="00D34F59">
        <w:rPr>
          <w:rFonts w:ascii="宋体" w:eastAsia="宋体" w:hAnsi="宋体" w:cs="Times New Roman" w:hint="eastAsia"/>
          <w:b/>
          <w:sz w:val="24"/>
          <w:szCs w:val="24"/>
        </w:rPr>
        <w:t>产品具体信息及风险后，谨慎投资。如影响</w:t>
      </w:r>
      <w:r w:rsidRPr="00D34F59">
        <w:rPr>
          <w:rFonts w:ascii="宋体" w:eastAsia="宋体" w:hAnsi="宋体" w:cs="Times New Roman" w:hint="eastAsia"/>
          <w:b/>
          <w:sz w:val="24"/>
          <w:szCs w:val="24"/>
        </w:rPr>
        <w:t>您风险</w:t>
      </w:r>
      <w:r w:rsidRPr="00D34F59">
        <w:rPr>
          <w:rFonts w:ascii="宋体" w:eastAsia="宋体" w:hAnsi="宋体" w:cs="Times New Roman" w:hint="eastAsia"/>
          <w:b/>
          <w:sz w:val="24"/>
          <w:szCs w:val="24"/>
        </w:rPr>
        <w:t>承受能力的因素发生变化，请及时更新风险承受能力评估。</w:t>
      </w:r>
    </w:p>
    <w:p w:rsidR="003E0304" w:rsidRPr="00D34F59" w14:paraId="1022532B" w14:textId="022D30CD">
      <w:pPr>
        <w:spacing w:line="312" w:lineRule="auto"/>
        <w:ind w:left="63" w:firstLine="480" w:leftChars="30" w:firstLineChars="200"/>
        <w:rPr>
          <w:rFonts w:ascii="宋体" w:eastAsia="宋体" w:hAnsi="宋体" w:cs="Courier New" w:hint="eastAsia"/>
          <w:b/>
          <w:bCs/>
          <w:sz w:val="24"/>
          <w:szCs w:val="24"/>
        </w:rPr>
      </w:pPr>
      <w:r w:rsidRPr="00D34F59">
        <w:rPr>
          <w:rFonts w:ascii="宋体" w:eastAsia="宋体" w:hAnsi="宋体" w:cs="Times New Roman" w:hint="eastAsia"/>
          <w:sz w:val="24"/>
          <w:szCs w:val="24"/>
        </w:rPr>
        <w:t>购买本</w:t>
      </w:r>
      <w:r w:rsidRPr="00D34F59">
        <w:rPr>
          <w:rFonts w:ascii="宋体" w:eastAsia="宋体" w:hAnsi="宋体" w:cs="Times New Roman"/>
          <w:sz w:val="24"/>
          <w:szCs w:val="24"/>
        </w:rPr>
        <w:t>理财产品</w:t>
      </w:r>
      <w:r w:rsidRPr="00D34F59">
        <w:rPr>
          <w:rFonts w:ascii="宋体" w:eastAsia="宋体" w:hAnsi="宋体" w:cs="Times New Roman" w:hint="eastAsia"/>
          <w:sz w:val="24"/>
          <w:szCs w:val="24"/>
        </w:rPr>
        <w:t>，您将</w:t>
      </w:r>
      <w:r w:rsidRPr="00D34F59" w:rsidR="00CC2311">
        <w:rPr>
          <w:rFonts w:ascii="宋体" w:eastAsia="宋体" w:hAnsi="宋体" w:cs="Times New Roman" w:hint="eastAsia"/>
          <w:sz w:val="24"/>
          <w:szCs w:val="24"/>
        </w:rPr>
        <w:t>可能</w:t>
      </w:r>
      <w:r w:rsidRPr="00D34F59">
        <w:rPr>
          <w:rFonts w:ascii="宋体" w:eastAsia="宋体" w:hAnsi="宋体" w:cs="Times New Roman" w:hint="eastAsia"/>
          <w:sz w:val="24"/>
          <w:szCs w:val="24"/>
        </w:rPr>
        <w:t>面临包括但不限于</w:t>
      </w:r>
      <w:r w:rsidRPr="00D34F59" w:rsidR="00CC2311">
        <w:rPr>
          <w:rFonts w:ascii="宋体" w:eastAsia="宋体" w:hAnsi="宋体" w:cs="Times New Roman" w:hint="eastAsia"/>
          <w:sz w:val="24"/>
          <w:szCs w:val="24"/>
        </w:rPr>
        <w:t>以下风险</w:t>
      </w:r>
      <w:r w:rsidRPr="00D34F59">
        <w:rPr>
          <w:rFonts w:ascii="宋体" w:eastAsia="宋体" w:hAnsi="宋体" w:cs="Times New Roman" w:hint="eastAsia"/>
          <w:sz w:val="24"/>
          <w:szCs w:val="24"/>
        </w:rPr>
        <w:t>：</w:t>
      </w:r>
    </w:p>
    <w:p w:rsidR="003E0304" w:rsidRPr="007F5B63" w:rsidP="00533982" w14:paraId="0FDD5E75" w14:textId="636EE20F">
      <w:pPr>
        <w:spacing w:line="276" w:lineRule="auto"/>
        <w:ind w:left="63" w:firstLine="480" w:leftChars="30" w:firstLineChars="200"/>
        <w:rPr>
          <w:rFonts w:ascii="宋体" w:eastAsia="宋体" w:hAnsi="宋体" w:cs="Times New Roman" w:hint="eastAsia"/>
          <w:b/>
          <w:sz w:val="24"/>
          <w:szCs w:val="24"/>
        </w:rPr>
      </w:pPr>
      <w:r w:rsidRPr="00F566B6">
        <w:rPr>
          <w:rFonts w:ascii="宋体" w:eastAsia="宋体" w:hAnsi="宋体" w:cs="Times New Roman"/>
          <w:b/>
          <w:sz w:val="24"/>
          <w:szCs w:val="24"/>
        </w:rPr>
        <w:t>1</w:t>
      </w:r>
      <w:r w:rsidRPr="00F566B6">
        <w:rPr>
          <w:rFonts w:ascii="宋体" w:eastAsia="宋体" w:hAnsi="宋体" w:cs="Times New Roman" w:hint="eastAsia"/>
          <w:b/>
          <w:sz w:val="24"/>
          <w:szCs w:val="24"/>
        </w:rPr>
        <w:t>、市场风险：</w:t>
      </w:r>
      <w:r w:rsidRPr="007F5B63">
        <w:rPr>
          <w:rFonts w:ascii="宋体" w:eastAsia="宋体" w:hAnsi="宋体" w:cs="Times New Roman" w:hint="eastAsia"/>
          <w:b/>
          <w:sz w:val="24"/>
          <w:szCs w:val="24"/>
        </w:rPr>
        <w:t>理财产品在运作过程中，由于市场变化造成产品所投资</w:t>
      </w:r>
      <w:r w:rsidRPr="007F5B63">
        <w:rPr>
          <w:rFonts w:ascii="宋体" w:eastAsia="宋体" w:hAnsi="宋体" w:cs="Times New Roman" w:hint="eastAsia"/>
          <w:b/>
          <w:sz w:val="24"/>
          <w:szCs w:val="24"/>
        </w:rPr>
        <w:t>产价格</w:t>
      </w:r>
      <w:r w:rsidRPr="007F5B63">
        <w:rPr>
          <w:rFonts w:ascii="宋体" w:eastAsia="宋体" w:hAnsi="宋体" w:cs="Times New Roman" w:hint="eastAsia"/>
          <w:b/>
          <w:sz w:val="24"/>
          <w:szCs w:val="24"/>
        </w:rPr>
        <w:t>波动、从而影响理财产品收益的风险。市场风险包括但不限于投资债券面临的利率变化及债券价格波动带来的风险，投资股票面临的股票价格波动带来的风险，投资商品及金融衍生</w:t>
      </w:r>
      <w:r w:rsidRPr="007F5B63">
        <w:rPr>
          <w:rFonts w:ascii="宋体" w:eastAsia="宋体" w:hAnsi="宋体" w:cs="Times New Roman" w:hint="eastAsia"/>
          <w:b/>
          <w:sz w:val="24"/>
          <w:szCs w:val="24"/>
        </w:rPr>
        <w:t>品面临</w:t>
      </w:r>
      <w:r w:rsidRPr="007F5B63">
        <w:rPr>
          <w:rFonts w:ascii="宋体" w:eastAsia="宋体" w:hAnsi="宋体" w:cs="Times New Roman" w:hint="eastAsia"/>
          <w:b/>
          <w:sz w:val="24"/>
          <w:szCs w:val="24"/>
        </w:rPr>
        <w:t>的商品及衍生品价格波动带来的风险等。</w:t>
      </w:r>
    </w:p>
    <w:p w:rsidR="003E0304" w:rsidRPr="007F5B63" w:rsidP="00533982" w14:paraId="3A7D6D12" w14:textId="4B110903">
      <w:pPr>
        <w:spacing w:line="312" w:lineRule="auto"/>
        <w:ind w:left="63" w:firstLine="480" w:leftChars="30" w:firstLineChars="200"/>
        <w:rPr>
          <w:rFonts w:ascii="宋体" w:eastAsia="宋体" w:hAnsi="宋体" w:cs="Times New Roman" w:hint="eastAsia"/>
          <w:b/>
          <w:sz w:val="24"/>
          <w:szCs w:val="24"/>
        </w:rPr>
      </w:pPr>
      <w:r w:rsidRPr="00F566B6">
        <w:rPr>
          <w:rFonts w:ascii="宋体" w:eastAsia="宋体" w:hAnsi="宋体" w:cs="Times New Roman"/>
          <w:b/>
          <w:sz w:val="24"/>
          <w:szCs w:val="24"/>
        </w:rPr>
        <w:t>2</w:t>
      </w:r>
      <w:r w:rsidRPr="00F566B6">
        <w:rPr>
          <w:rFonts w:ascii="宋体" w:eastAsia="宋体" w:hAnsi="宋体" w:cs="Times New Roman" w:hint="eastAsia"/>
          <w:b/>
          <w:sz w:val="24"/>
          <w:szCs w:val="24"/>
        </w:rPr>
        <w:t>、信用风险：</w:t>
      </w:r>
      <w:r w:rsidRPr="007F5B63">
        <w:rPr>
          <w:rFonts w:ascii="宋体" w:eastAsia="宋体" w:hAnsi="宋体" w:cs="Times New Roman" w:hint="eastAsia"/>
          <w:b/>
          <w:sz w:val="24"/>
          <w:szCs w:val="24"/>
        </w:rPr>
        <w:t>理财产品所投资产的相关债务人或关联责任人（包括但不限于担保人）等信用状况恶化、不能如期履约的风险。</w:t>
      </w:r>
    </w:p>
    <w:p w:rsidR="003E0304" w:rsidRPr="00F566B6" w14:paraId="78CE18B6" w14:textId="1A98F9E5">
      <w:pPr>
        <w:spacing w:line="312" w:lineRule="auto"/>
        <w:ind w:left="63" w:firstLine="480" w:leftChars="30" w:firstLineChars="200"/>
        <w:rPr>
          <w:rFonts w:ascii="宋体" w:eastAsia="宋体" w:hAnsi="宋体" w:cs="Times New Roman" w:hint="eastAsia"/>
          <w:b/>
          <w:sz w:val="24"/>
          <w:szCs w:val="24"/>
        </w:rPr>
      </w:pPr>
      <w:r w:rsidRPr="00F566B6">
        <w:rPr>
          <w:rFonts w:ascii="宋体" w:eastAsia="宋体" w:hAnsi="宋体" w:cs="Courier New"/>
          <w:b/>
          <w:sz w:val="24"/>
          <w:szCs w:val="24"/>
        </w:rPr>
        <w:t>3</w:t>
      </w:r>
      <w:r w:rsidRPr="00F566B6">
        <w:rPr>
          <w:rFonts w:ascii="宋体" w:eastAsia="宋体" w:hAnsi="宋体" w:cs="Courier New" w:hint="eastAsia"/>
          <w:b/>
          <w:sz w:val="24"/>
          <w:szCs w:val="24"/>
        </w:rPr>
        <w:t>、</w:t>
      </w:r>
      <w:r w:rsidRPr="00F566B6">
        <w:rPr>
          <w:rFonts w:ascii="宋体" w:eastAsia="宋体" w:hAnsi="宋体" w:cs="Times New Roman" w:hint="eastAsia"/>
          <w:b/>
          <w:sz w:val="24"/>
          <w:szCs w:val="24"/>
        </w:rPr>
        <w:t>理财产品不成立风险：</w:t>
      </w:r>
      <w:r w:rsidRPr="007F5B63">
        <w:rPr>
          <w:rFonts w:ascii="宋体" w:eastAsia="宋体" w:hAnsi="宋体" w:cs="Times New Roman" w:hint="eastAsia"/>
          <w:b/>
          <w:sz w:val="24"/>
          <w:szCs w:val="24"/>
        </w:rPr>
        <w:t>如理财产品募集期届满，发生本理财产品难以成立的情况，宁银理财有权宣布本理财产品不成立。</w:t>
      </w:r>
    </w:p>
    <w:p w:rsidR="003E0304" w:rsidRPr="007F5B63" w:rsidP="003D56A8" w14:paraId="159701C5" w14:textId="5690FF0B">
      <w:pPr>
        <w:spacing w:line="312" w:lineRule="auto"/>
        <w:ind w:left="63" w:firstLine="480" w:leftChars="30" w:firstLineChars="200"/>
        <w:rPr>
          <w:rFonts w:ascii="宋体" w:eastAsia="宋体" w:hAnsi="宋体" w:cs="Courier New" w:hint="eastAsia"/>
          <w:b/>
          <w:sz w:val="24"/>
          <w:szCs w:val="24"/>
        </w:rPr>
      </w:pPr>
      <w:r w:rsidRPr="00F566B6">
        <w:rPr>
          <w:rFonts w:ascii="宋体" w:eastAsia="宋体" w:hAnsi="宋体" w:cs="Courier New"/>
          <w:b/>
          <w:sz w:val="24"/>
          <w:szCs w:val="24"/>
        </w:rPr>
        <w:t>4</w:t>
      </w:r>
      <w:r w:rsidRPr="00F566B6">
        <w:rPr>
          <w:rFonts w:ascii="宋体" w:eastAsia="宋体" w:hAnsi="宋体" w:cs="Courier New" w:hint="eastAsia"/>
          <w:b/>
          <w:sz w:val="24"/>
          <w:szCs w:val="24"/>
        </w:rPr>
        <w:t>、流动性风险：</w:t>
      </w:r>
      <w:r w:rsidRPr="007F5B63" w:rsidR="006379ED">
        <w:rPr>
          <w:rFonts w:ascii="宋体" w:eastAsia="宋体" w:hAnsi="宋体" w:cs="Courier New" w:hint="eastAsia"/>
          <w:b/>
          <w:sz w:val="24"/>
          <w:szCs w:val="24"/>
        </w:rPr>
        <w:t>在特定市场环境下</w:t>
      </w:r>
      <w:r w:rsidRPr="007F5B63" w:rsidR="00725ED3">
        <w:rPr>
          <w:rFonts w:ascii="宋体" w:eastAsia="宋体" w:hAnsi="宋体" w:cs="Courier New" w:hint="eastAsia"/>
          <w:b/>
          <w:sz w:val="24"/>
          <w:szCs w:val="24"/>
        </w:rPr>
        <w:t>，理财产品所投资的上述部分市场或资产可能出现流动性较差的情况，</w:t>
      </w:r>
      <w:r w:rsidRPr="007F5B63" w:rsidR="006379ED">
        <w:rPr>
          <w:rFonts w:ascii="宋体" w:eastAsia="宋体" w:hAnsi="宋体" w:cs="Courier New" w:hint="eastAsia"/>
          <w:b/>
          <w:sz w:val="24"/>
          <w:szCs w:val="24"/>
        </w:rPr>
        <w:t>导致理财产品存在无法通过变现资产等途径以合理成本及时获得充足资金，用于满足投资者赎回需求、履行其他支付义务的风险。</w:t>
      </w:r>
      <w:r w:rsidRPr="007F5B63">
        <w:rPr>
          <w:rFonts w:ascii="宋体" w:eastAsia="宋体" w:hAnsi="宋体" w:cs="Courier New" w:hint="eastAsia"/>
          <w:b/>
          <w:sz w:val="24"/>
          <w:szCs w:val="24"/>
        </w:rPr>
        <w:t>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203F64" w:rsidRPr="007F5B63" w:rsidP="00970E05" w14:paraId="261CE279" w14:textId="1A594512">
      <w:pPr>
        <w:spacing w:line="312" w:lineRule="auto"/>
        <w:ind w:left="63" w:firstLine="480" w:leftChars="30" w:firstLineChars="200"/>
        <w:rPr>
          <w:rFonts w:ascii="宋体" w:eastAsia="宋体" w:hAnsi="宋体" w:cs="Courier New" w:hint="eastAsia"/>
          <w:b/>
          <w:sz w:val="24"/>
          <w:szCs w:val="24"/>
        </w:rPr>
      </w:pPr>
      <w:r w:rsidRPr="007F5B63">
        <w:rPr>
          <w:rFonts w:ascii="宋体" w:eastAsia="宋体" w:hAnsi="宋体" w:cs="Courier New" w:hint="eastAsia"/>
          <w:b/>
          <w:sz w:val="24"/>
          <w:szCs w:val="24"/>
        </w:rPr>
        <w:t>宁银理财可以依照法律法规及</w:t>
      </w:r>
      <w:r w:rsidRPr="007F5B63" w:rsidR="00220EC7">
        <w:rPr>
          <w:rFonts w:ascii="宋体" w:eastAsia="宋体" w:hAnsi="宋体" w:cs="Courier New" w:hint="eastAsia"/>
          <w:b/>
          <w:sz w:val="24"/>
          <w:szCs w:val="24"/>
        </w:rPr>
        <w:t>产品说明书</w:t>
      </w:r>
      <w:r w:rsidRPr="007F5B63">
        <w:rPr>
          <w:rFonts w:ascii="宋体" w:eastAsia="宋体" w:hAnsi="宋体" w:cs="Courier New" w:hint="eastAsia"/>
          <w:b/>
          <w:sz w:val="24"/>
          <w:szCs w:val="24"/>
        </w:rPr>
        <w:t>的约定，综合运用各项</w:t>
      </w:r>
      <w:r w:rsidRPr="007F5B63">
        <w:rPr>
          <w:rFonts w:ascii="宋体" w:eastAsia="宋体" w:hAnsi="宋体" w:cs="Courier New" w:hint="eastAsia"/>
          <w:b/>
          <w:sz w:val="24"/>
          <w:szCs w:val="24"/>
        </w:rPr>
        <w:t>理财产品</w:t>
      </w:r>
      <w:r w:rsidRPr="007F5B63">
        <w:rPr>
          <w:rFonts w:ascii="宋体" w:eastAsia="宋体" w:hAnsi="宋体" w:cs="Courier New" w:hint="eastAsia"/>
          <w:b/>
          <w:sz w:val="24"/>
          <w:szCs w:val="24"/>
        </w:rPr>
        <w:t>流动性风险应对措施：</w:t>
      </w:r>
    </w:p>
    <w:p w:rsidR="00203F64" w:rsidRPr="007F5B63" w:rsidP="00203F64" w14:paraId="56F87192" w14:textId="2241ABF8">
      <w:pPr>
        <w:spacing w:line="312" w:lineRule="auto"/>
        <w:ind w:left="63" w:firstLine="480" w:leftChars="30" w:firstLineChars="200"/>
        <w:rPr>
          <w:rFonts w:ascii="宋体" w:eastAsia="宋体" w:hAnsi="宋体" w:cs="Courier New" w:hint="eastAsia"/>
          <w:b/>
          <w:sz w:val="24"/>
          <w:szCs w:val="24"/>
        </w:rPr>
      </w:pPr>
      <w:r w:rsidRPr="007F5B63">
        <w:rPr>
          <w:rFonts w:ascii="宋体" w:eastAsia="宋体" w:hAnsi="宋体" w:cs="Courier New" w:hint="eastAsia"/>
          <w:b/>
          <w:sz w:val="24"/>
          <w:szCs w:val="24"/>
        </w:rPr>
        <w:t>（一）认购风险应对措施，包括：设定单一投资者认购金额上限、设定理财产品单日净认购比例上限、拒绝大额认购、暂停认购，以及</w:t>
      </w:r>
      <w:r w:rsidRPr="007F5B63" w:rsidR="002D1074">
        <w:rPr>
          <w:rFonts w:ascii="宋体" w:eastAsia="宋体" w:hAnsi="宋体" w:cs="Courier New" w:hint="eastAsia"/>
          <w:b/>
          <w:sz w:val="24"/>
          <w:szCs w:val="24"/>
        </w:rPr>
        <w:t>国家金融监督管理总局</w:t>
      </w:r>
      <w:r w:rsidRPr="007F5B63">
        <w:rPr>
          <w:rFonts w:ascii="宋体" w:eastAsia="宋体" w:hAnsi="宋体" w:cs="Courier New" w:hint="eastAsia"/>
          <w:b/>
          <w:sz w:val="24"/>
          <w:szCs w:val="24"/>
        </w:rPr>
        <w:t>规定的其他措施</w:t>
      </w:r>
      <w:r w:rsidRPr="007F5B63" w:rsidR="00166B41">
        <w:rPr>
          <w:rFonts w:ascii="宋体" w:eastAsia="宋体" w:hAnsi="宋体" w:cs="Courier New" w:hint="eastAsia"/>
          <w:b/>
          <w:sz w:val="24"/>
          <w:szCs w:val="24"/>
        </w:rPr>
        <w:t>；</w:t>
      </w:r>
    </w:p>
    <w:p w:rsidR="00166B41" w:rsidRPr="007F5B63" w:rsidP="00203F64" w14:paraId="0DF7A6EF" w14:textId="4C6F1F09">
      <w:pPr>
        <w:spacing w:line="312" w:lineRule="auto"/>
        <w:ind w:left="63" w:firstLine="480" w:leftChars="30" w:firstLineChars="200"/>
        <w:rPr>
          <w:rFonts w:ascii="宋体" w:eastAsia="宋体" w:hAnsi="宋体" w:cs="Courier New" w:hint="eastAsia"/>
          <w:b/>
          <w:sz w:val="24"/>
          <w:szCs w:val="24"/>
        </w:rPr>
      </w:pPr>
      <w:r w:rsidRPr="007F5B63">
        <w:rPr>
          <w:rFonts w:ascii="宋体" w:eastAsia="宋体" w:hAnsi="宋体" w:cs="Courier New" w:hint="eastAsia"/>
          <w:b/>
          <w:sz w:val="24"/>
          <w:szCs w:val="24"/>
        </w:rPr>
        <w:t>（二）赎回风险应对措施，包括：设置赎回上限、延期办理巨额赎回申请、暂停接受赎回申请、延缓支付赎回款项、收取短期赎回费、暂停理财产品估值、摆动定价，以及</w:t>
      </w:r>
      <w:r w:rsidRPr="007F5B63" w:rsidR="002D1074">
        <w:rPr>
          <w:rFonts w:ascii="宋体" w:eastAsia="宋体" w:hAnsi="宋体" w:cs="Courier New" w:hint="eastAsia"/>
          <w:b/>
          <w:sz w:val="24"/>
          <w:szCs w:val="24"/>
        </w:rPr>
        <w:t>国家金融监督管理总局</w:t>
      </w:r>
      <w:r w:rsidRPr="007F5B63">
        <w:rPr>
          <w:rFonts w:ascii="宋体" w:eastAsia="宋体" w:hAnsi="宋体" w:cs="Courier New" w:hint="eastAsia"/>
          <w:b/>
          <w:sz w:val="24"/>
          <w:szCs w:val="24"/>
        </w:rPr>
        <w:t>规定的其他措施。</w:t>
      </w:r>
    </w:p>
    <w:p w:rsidR="00203F64" w:rsidRPr="007F5B63" w:rsidP="00631F6E" w14:paraId="271841FD" w14:textId="5A8E43E0">
      <w:pPr>
        <w:spacing w:line="312" w:lineRule="auto"/>
        <w:ind w:left="63" w:firstLine="480" w:leftChars="30" w:firstLineChars="200"/>
        <w:rPr>
          <w:rFonts w:ascii="宋体" w:eastAsia="宋体" w:hAnsi="宋体" w:cs="Courier New" w:hint="eastAsia"/>
          <w:b/>
          <w:sz w:val="24"/>
          <w:szCs w:val="24"/>
        </w:rPr>
      </w:pPr>
      <w:r w:rsidRPr="007F5B63">
        <w:rPr>
          <w:rFonts w:ascii="宋体" w:eastAsia="宋体" w:hAnsi="宋体" w:cs="Courier New" w:hint="eastAsia"/>
          <w:b/>
          <w:sz w:val="24"/>
          <w:szCs w:val="24"/>
        </w:rPr>
        <w:t>上述理财产品流动性风险应对措施可能</w:t>
      </w:r>
      <w:r w:rsidRPr="007F5B63" w:rsidR="00631F6E">
        <w:rPr>
          <w:rFonts w:ascii="宋体" w:eastAsia="宋体" w:hAnsi="宋体" w:cs="Courier New" w:hint="eastAsia"/>
          <w:b/>
          <w:sz w:val="24"/>
          <w:szCs w:val="24"/>
        </w:rPr>
        <w:t>导致无法满足投资者对产品的部分或全部</w:t>
      </w:r>
      <w:r w:rsidRPr="007F5B63" w:rsidR="00051282">
        <w:rPr>
          <w:rFonts w:ascii="宋体" w:eastAsia="宋体" w:hAnsi="宋体" w:cs="Courier New" w:hint="eastAsia"/>
          <w:b/>
          <w:sz w:val="24"/>
          <w:szCs w:val="24"/>
        </w:rPr>
        <w:t>认（申）购或</w:t>
      </w:r>
      <w:r w:rsidRPr="007F5B63" w:rsidR="00631F6E">
        <w:rPr>
          <w:rFonts w:ascii="宋体" w:eastAsia="宋体" w:hAnsi="宋体" w:cs="Courier New" w:hint="eastAsia"/>
          <w:b/>
          <w:sz w:val="24"/>
          <w:szCs w:val="24"/>
        </w:rPr>
        <w:t>赎回需求，进而</w:t>
      </w:r>
      <w:r w:rsidRPr="007F5B63">
        <w:rPr>
          <w:rFonts w:ascii="宋体" w:eastAsia="宋体" w:hAnsi="宋体" w:cs="Courier New" w:hint="eastAsia"/>
          <w:b/>
          <w:sz w:val="24"/>
          <w:szCs w:val="24"/>
        </w:rPr>
        <w:t>影响投资者的资金流动性安排。</w:t>
      </w:r>
      <w:r w:rsidRPr="007F5B63" w:rsidR="00855A27">
        <w:rPr>
          <w:rFonts w:ascii="宋体" w:eastAsia="宋体" w:hAnsi="宋体" w:cs="Courier New" w:hint="eastAsia"/>
          <w:b/>
          <w:sz w:val="24"/>
          <w:szCs w:val="24"/>
        </w:rPr>
        <w:t>当产品管理人根据产品说明书中与投资者事先约定的相关措施的处理方法和程序接受投资者的认（申）</w:t>
      </w:r>
      <w:r w:rsidRPr="007F5B63" w:rsidR="00855A27">
        <w:rPr>
          <w:rFonts w:ascii="宋体" w:eastAsia="宋体" w:hAnsi="宋体" w:cs="Courier New" w:hint="eastAsia"/>
          <w:b/>
          <w:sz w:val="24"/>
          <w:szCs w:val="24"/>
        </w:rPr>
        <w:t>购申请</w:t>
      </w:r>
      <w:r w:rsidRPr="007F5B63" w:rsidR="00855A27">
        <w:rPr>
          <w:rFonts w:ascii="宋体" w:eastAsia="宋体" w:hAnsi="宋体" w:cs="Courier New" w:hint="eastAsia"/>
          <w:b/>
          <w:sz w:val="24"/>
          <w:szCs w:val="24"/>
        </w:rPr>
        <w:t>时，可能会</w:t>
      </w:r>
      <w:r w:rsidRPr="007F5B63" w:rsidR="0048798E">
        <w:rPr>
          <w:rFonts w:ascii="宋体" w:eastAsia="宋体" w:hAnsi="宋体" w:cs="Courier New" w:hint="eastAsia"/>
          <w:b/>
          <w:sz w:val="24"/>
          <w:szCs w:val="24"/>
        </w:rPr>
        <w:t>造成</w:t>
      </w:r>
      <w:r w:rsidRPr="007F5B63" w:rsidR="00421F02">
        <w:rPr>
          <w:rFonts w:ascii="宋体" w:eastAsia="宋体" w:hAnsi="宋体" w:cs="Courier New" w:hint="eastAsia"/>
          <w:b/>
          <w:sz w:val="24"/>
          <w:szCs w:val="24"/>
        </w:rPr>
        <w:t>理财产品投资收益</w:t>
      </w:r>
      <w:r w:rsidRPr="007F5B63" w:rsidR="00A54AC3">
        <w:rPr>
          <w:rFonts w:ascii="宋体" w:eastAsia="宋体" w:hAnsi="宋体" w:cs="Courier New" w:hint="eastAsia"/>
          <w:b/>
          <w:sz w:val="24"/>
          <w:szCs w:val="24"/>
        </w:rPr>
        <w:t>摊薄、后续</w:t>
      </w:r>
      <w:r w:rsidRPr="007F5B63" w:rsidR="009D754B">
        <w:rPr>
          <w:rFonts w:ascii="宋体" w:eastAsia="宋体" w:hAnsi="宋体" w:cs="Courier New" w:hint="eastAsia"/>
          <w:b/>
          <w:sz w:val="24"/>
          <w:szCs w:val="24"/>
        </w:rPr>
        <w:t>发生巨额</w:t>
      </w:r>
      <w:r w:rsidRPr="007F5B63" w:rsidR="00A54AC3">
        <w:rPr>
          <w:rFonts w:ascii="宋体" w:eastAsia="宋体" w:hAnsi="宋体" w:cs="Courier New" w:hint="eastAsia"/>
          <w:b/>
          <w:sz w:val="24"/>
          <w:szCs w:val="24"/>
        </w:rPr>
        <w:t>赎回可能性增加</w:t>
      </w:r>
      <w:r w:rsidRPr="007F5B63" w:rsidR="00421F02">
        <w:rPr>
          <w:rFonts w:ascii="宋体" w:eastAsia="宋体" w:hAnsi="宋体" w:cs="Courier New" w:hint="eastAsia"/>
          <w:b/>
          <w:sz w:val="24"/>
          <w:szCs w:val="24"/>
        </w:rPr>
        <w:t>等潜在影响</w:t>
      </w:r>
      <w:r w:rsidRPr="007F5B63" w:rsidR="006501B1">
        <w:rPr>
          <w:rFonts w:ascii="宋体" w:eastAsia="宋体" w:hAnsi="宋体" w:cs="Courier New" w:hint="eastAsia"/>
          <w:b/>
          <w:sz w:val="24"/>
          <w:szCs w:val="24"/>
        </w:rPr>
        <w:t>。</w:t>
      </w:r>
    </w:p>
    <w:p w:rsidR="003E0304" w:rsidRPr="00F566B6" w:rsidP="00882F0F" w14:paraId="34A25FB9" w14:textId="04E4BB52">
      <w:pPr>
        <w:spacing w:line="312" w:lineRule="auto"/>
        <w:ind w:left="63" w:firstLine="480" w:leftChars="30" w:firstLineChars="200"/>
        <w:rPr>
          <w:rFonts w:ascii="宋体" w:eastAsia="宋体" w:hAnsi="宋体" w:cs="Times New Roman" w:hint="eastAsia"/>
          <w:b/>
          <w:sz w:val="24"/>
          <w:szCs w:val="24"/>
        </w:rPr>
      </w:pPr>
      <w:r w:rsidRPr="00F566B6">
        <w:rPr>
          <w:rFonts w:ascii="宋体" w:eastAsia="宋体" w:hAnsi="宋体" w:cs="Times New Roman" w:hint="eastAsia"/>
          <w:b/>
          <w:sz w:val="24"/>
          <w:szCs w:val="24"/>
        </w:rPr>
        <w:t>5、提前终止风险：</w:t>
      </w:r>
      <w:r w:rsidRPr="007F5B63" w:rsidR="00EB0BC5">
        <w:rPr>
          <w:rFonts w:ascii="Times New Roman" w:eastAsia="宋体" w:hAnsi="Times New Roman" w:cs="Times New Roman" w:hint="eastAsia"/>
          <w:b/>
          <w:sz w:val="24"/>
          <w:szCs w:val="24"/>
        </w:rPr>
        <w:t>在理财产品存续期内，宁银理财有权在特定情况下提前终止理财产品，一旦产品被提前终止，您可能面临不能继续持有产品的风险。</w:t>
      </w:r>
    </w:p>
    <w:p w:rsidR="003E0304" w:rsidRPr="007F5B63" w14:paraId="3463166C" w14:textId="7B7E39FE">
      <w:pPr>
        <w:spacing w:line="312" w:lineRule="auto"/>
        <w:ind w:left="63" w:firstLine="480" w:leftChars="30" w:firstLineChars="200"/>
        <w:rPr>
          <w:rFonts w:ascii="宋体" w:eastAsia="宋体" w:hAnsi="宋体" w:cs="Times New Roman" w:hint="eastAsia"/>
          <w:b/>
          <w:sz w:val="24"/>
          <w:szCs w:val="24"/>
        </w:rPr>
      </w:pPr>
      <w:r w:rsidRPr="00F566B6">
        <w:rPr>
          <w:rFonts w:ascii="宋体" w:eastAsia="宋体" w:hAnsi="宋体" w:cs="Times New Roman"/>
          <w:b/>
          <w:sz w:val="24"/>
          <w:szCs w:val="24"/>
        </w:rPr>
        <w:t>6</w:t>
      </w:r>
      <w:r w:rsidRPr="00F566B6" w:rsidR="00193C46">
        <w:rPr>
          <w:rFonts w:ascii="宋体" w:eastAsia="宋体" w:hAnsi="宋体" w:cs="Times New Roman" w:hint="eastAsia"/>
          <w:b/>
          <w:sz w:val="24"/>
          <w:szCs w:val="24"/>
        </w:rPr>
        <w:t>、延期风险：</w:t>
      </w:r>
      <w:r w:rsidRPr="007F5B63" w:rsidR="00193C46">
        <w:rPr>
          <w:rFonts w:ascii="宋体" w:eastAsia="宋体" w:hAnsi="宋体" w:cs="Times New Roman" w:hint="eastAsia"/>
          <w:b/>
          <w:sz w:val="24"/>
          <w:szCs w:val="24"/>
        </w:rPr>
        <w:t>理财产品到期或您决定赎回本产品时，若出现所投资</w:t>
      </w:r>
      <w:r w:rsidRPr="007F5B63" w:rsidR="00193C46">
        <w:rPr>
          <w:rFonts w:ascii="宋体" w:eastAsia="宋体" w:hAnsi="宋体" w:cs="Times New Roman" w:hint="eastAsia"/>
          <w:b/>
          <w:sz w:val="24"/>
          <w:szCs w:val="24"/>
        </w:rPr>
        <w:t>产无法</w:t>
      </w:r>
      <w:r w:rsidRPr="007F5B63" w:rsidR="00193C46">
        <w:rPr>
          <w:rFonts w:ascii="宋体" w:eastAsia="宋体" w:hAnsi="宋体" w:cs="Times New Roman" w:hint="eastAsia"/>
          <w:b/>
          <w:sz w:val="24"/>
          <w:szCs w:val="24"/>
        </w:rPr>
        <w:t>顺利变现、市场发生重大变动或其他宁银理财认为需要延期支付的情形时，本产品将面临无法按时支付相关款项的风险。</w:t>
      </w:r>
    </w:p>
    <w:p w:rsidR="003E0304" w:rsidRPr="00F566B6" w14:paraId="585FF0E5" w14:textId="55F2E452">
      <w:pPr>
        <w:spacing w:line="312" w:lineRule="auto"/>
        <w:ind w:left="63" w:firstLine="480" w:leftChars="30" w:firstLineChars="200"/>
        <w:rPr>
          <w:rFonts w:ascii="宋体" w:eastAsia="宋体" w:hAnsi="宋体" w:cs="Times New Roman" w:hint="eastAsia"/>
          <w:b/>
          <w:sz w:val="24"/>
          <w:szCs w:val="24"/>
        </w:rPr>
      </w:pPr>
      <w:r w:rsidRPr="00F566B6">
        <w:rPr>
          <w:rFonts w:ascii="宋体" w:eastAsia="宋体" w:hAnsi="宋体" w:cs="Times New Roman"/>
          <w:b/>
          <w:sz w:val="24"/>
          <w:szCs w:val="24"/>
        </w:rPr>
        <w:t>7</w:t>
      </w:r>
      <w:r w:rsidRPr="00F566B6" w:rsidR="00193C46">
        <w:rPr>
          <w:rFonts w:ascii="宋体" w:eastAsia="宋体" w:hAnsi="宋体" w:cs="Times New Roman" w:hint="eastAsia"/>
          <w:b/>
          <w:sz w:val="24"/>
          <w:szCs w:val="24"/>
        </w:rPr>
        <w:t>、政策风险：</w:t>
      </w:r>
      <w:r w:rsidRPr="007F5B63" w:rsidR="00193C46">
        <w:rPr>
          <w:rFonts w:ascii="宋体" w:eastAsia="宋体" w:hAnsi="宋体" w:cs="Times New Roman" w:hint="eastAsia"/>
          <w:b/>
          <w:sz w:val="24"/>
          <w:szCs w:val="24"/>
        </w:rPr>
        <w:t>理财产品在运作过程中，由于国家宏观政策以及市场相关法律法规、监管规定发生变化，导致产品的发行、投资、兑付等流程受到影响，进而影响产品的投资运作和收益的风险。</w:t>
      </w:r>
    </w:p>
    <w:p w:rsidR="003E0304" w:rsidRPr="007F5B63" w:rsidP="003D56A8" w14:paraId="73A95BDA" w14:textId="34A2EBE0">
      <w:pPr>
        <w:spacing w:line="312" w:lineRule="auto"/>
        <w:ind w:left="63" w:firstLine="480" w:leftChars="30" w:firstLineChars="200"/>
        <w:rPr>
          <w:rFonts w:ascii="宋体" w:eastAsia="宋体" w:hAnsi="宋体" w:cs="Times New Roman" w:hint="eastAsia"/>
          <w:b/>
          <w:sz w:val="24"/>
          <w:szCs w:val="24"/>
        </w:rPr>
      </w:pPr>
      <w:r w:rsidRPr="00F566B6">
        <w:rPr>
          <w:rFonts w:ascii="宋体" w:eastAsia="宋体" w:hAnsi="宋体" w:cs="Times New Roman"/>
          <w:b/>
          <w:sz w:val="24"/>
          <w:szCs w:val="24"/>
        </w:rPr>
        <w:t>8</w:t>
      </w:r>
      <w:r w:rsidRPr="00F566B6" w:rsidR="00193C46">
        <w:rPr>
          <w:rFonts w:ascii="宋体" w:eastAsia="宋体" w:hAnsi="宋体" w:cs="Times New Roman" w:hint="eastAsia"/>
          <w:b/>
          <w:sz w:val="24"/>
          <w:szCs w:val="24"/>
        </w:rPr>
        <w:t>、信息传递风险：</w:t>
      </w:r>
      <w:r w:rsidRPr="007F5B63" w:rsidR="00193C46">
        <w:rPr>
          <w:rFonts w:ascii="宋体" w:eastAsia="宋体" w:hAnsi="宋体" w:cs="Times New Roman" w:hint="eastAsia"/>
          <w:b/>
          <w:sz w:val="24"/>
          <w:szCs w:val="24"/>
        </w:rPr>
        <w:t>宁银理财将于理财产品募集期间、存续期间和终止时，通过本公司</w:t>
      </w:r>
      <w:r w:rsidRPr="007F5B63" w:rsidR="00EE180D">
        <w:rPr>
          <w:rFonts w:ascii="宋体" w:eastAsia="宋体" w:hAnsi="宋体" w:cs="Times New Roman" w:hint="eastAsia"/>
          <w:b/>
          <w:sz w:val="24"/>
          <w:szCs w:val="24"/>
        </w:rPr>
        <w:t>官网</w:t>
      </w:r>
      <w:r w:rsidRPr="007F5B63" w:rsidR="00193C46">
        <w:rPr>
          <w:rFonts w:ascii="宋体" w:eastAsia="宋体" w:hAnsi="宋体" w:cs="Times New Roman" w:hint="eastAsia"/>
          <w:b/>
          <w:sz w:val="24"/>
          <w:szCs w:val="24"/>
        </w:rPr>
        <w:t>（</w:t>
      </w:r>
      <w:r w:rsidRPr="007F5B63" w:rsidR="00A470E1">
        <w:rPr>
          <w:rFonts w:ascii="宋体" w:eastAsia="宋体" w:hAnsi="宋体" w:cs="Times New Roman" w:hint="eastAsia"/>
          <w:b/>
          <w:sz w:val="24"/>
          <w:szCs w:val="24"/>
        </w:rPr>
        <w:t>www.wmbnb.com</w:t>
      </w:r>
      <w:r w:rsidRPr="007F5B63" w:rsidR="00193C46">
        <w:rPr>
          <w:rFonts w:ascii="宋体" w:eastAsia="宋体" w:hAnsi="宋体" w:cs="Times New Roman" w:hint="eastAsia"/>
          <w:b/>
          <w:sz w:val="24"/>
          <w:szCs w:val="24"/>
        </w:rPr>
        <w:t>）、相关理财代理销售机构官方渠道或其他</w:t>
      </w:r>
      <w:r w:rsidRPr="007F5B63" w:rsidR="00EE180D">
        <w:rPr>
          <w:rFonts w:ascii="宋体" w:eastAsia="宋体" w:hAnsi="宋体" w:cs="Times New Roman" w:hint="eastAsia"/>
          <w:b/>
          <w:sz w:val="24"/>
          <w:szCs w:val="24"/>
        </w:rPr>
        <w:t>适当的</w:t>
      </w:r>
      <w:r w:rsidRPr="007F5B63" w:rsidR="00193C46">
        <w:rPr>
          <w:rFonts w:ascii="宋体" w:eastAsia="宋体" w:hAnsi="宋体" w:cs="Times New Roman" w:hint="eastAsia"/>
          <w:b/>
          <w:sz w:val="24"/>
          <w:szCs w:val="24"/>
        </w:rPr>
        <w:t>方式进行信息披露（具体产品的信息披露方式、频率等</w:t>
      </w:r>
      <w:r w:rsidRPr="007F5B63" w:rsidR="00193C46">
        <w:rPr>
          <w:rFonts w:ascii="宋体" w:eastAsia="宋体" w:hAnsi="宋体" w:cs="Times New Roman" w:hint="eastAsia"/>
          <w:b/>
          <w:sz w:val="24"/>
          <w:szCs w:val="24"/>
        </w:rPr>
        <w:t>规则见</w:t>
      </w:r>
      <w:r w:rsidRPr="007F5B63" w:rsidR="00193C46">
        <w:rPr>
          <w:rFonts w:ascii="宋体" w:eastAsia="宋体" w:hAnsi="宋体" w:cs="Times New Roman" w:hint="eastAsia"/>
          <w:b/>
          <w:sz w:val="24"/>
          <w:szCs w:val="24"/>
        </w:rPr>
        <w:t>《理财产品说明书》）。宁银理财或代理销售机构通过理财产品销售文件约定方式披露信息后，视为本公司已向您完全履行信息披露义务，您可依据理财产品销售文件的约定，及时登录本公司/代理销售机构网站或致电本公司/代理销售机构客户服务热线（</w:t>
      </w:r>
      <w:r w:rsidRPr="007F5B63">
        <w:rPr>
          <w:rFonts w:ascii="Times New Roman" w:eastAsia="宋体" w:hAnsi="Times New Roman" w:cs="Times New Roman" w:hint="eastAsia"/>
          <w:b/>
          <w:color w:val="000000"/>
          <w:sz w:val="24"/>
          <w:szCs w:val="24"/>
        </w:rPr>
        <w:t>宁银理财：</w:t>
      </w:r>
      <w:r w:rsidRPr="007F5B63">
        <w:rPr>
          <w:rFonts w:ascii="Times New Roman" w:eastAsia="宋体" w:hAnsi="Times New Roman" w:cs="Times New Roman"/>
          <w:b/>
          <w:color w:val="000000"/>
          <w:sz w:val="24"/>
          <w:szCs w:val="24"/>
        </w:rPr>
        <w:t>400-099-5574</w:t>
      </w:r>
      <w:r w:rsidRPr="007F5B63">
        <w:rPr>
          <w:rFonts w:ascii="Times New Roman" w:eastAsia="宋体" w:hAnsi="Times New Roman" w:cs="Times New Roman" w:hint="eastAsia"/>
          <w:b/>
          <w:color w:val="000000"/>
          <w:sz w:val="24"/>
          <w:szCs w:val="24"/>
        </w:rPr>
        <w:t>；代理销售机构</w:t>
      </w:r>
      <w:r w:rsidRPr="007F5B63" w:rsidR="00D05B46">
        <w:rPr>
          <w:rFonts w:ascii="Times New Roman" w:eastAsia="宋体" w:hAnsi="Times New Roman" w:cs="Times New Roman" w:hint="eastAsia"/>
          <w:b/>
          <w:color w:val="000000"/>
          <w:sz w:val="24"/>
          <w:szCs w:val="24"/>
        </w:rPr>
        <w:t>联系方式</w:t>
      </w:r>
      <w:r w:rsidRPr="007F5B63">
        <w:rPr>
          <w:rFonts w:ascii="Times New Roman" w:eastAsia="宋体" w:hAnsi="Times New Roman" w:cs="Times New Roman" w:hint="eastAsia"/>
          <w:b/>
          <w:color w:val="000000"/>
          <w:sz w:val="24"/>
          <w:szCs w:val="24"/>
        </w:rPr>
        <w:t>详见《理财产品说明书》</w:t>
      </w:r>
      <w:r w:rsidRPr="007F5B63" w:rsidR="00193C46">
        <w:rPr>
          <w:rFonts w:ascii="宋体" w:eastAsia="宋体" w:hAnsi="宋体" w:cs="Times New Roman" w:hint="eastAsia"/>
          <w:b/>
          <w:sz w:val="24"/>
          <w:szCs w:val="24"/>
        </w:rPr>
        <w:t>）查询。如因您未及时查询，或因通讯、系统故障或其他不可抗力等因素的影响，致使您无法及时了解理财产品信息，所产生的责任和风险将由您自行承担。</w:t>
      </w:r>
    </w:p>
    <w:p w:rsidR="003E0304" w:rsidRPr="00F566B6" w14:paraId="4335B228" w14:textId="77777777">
      <w:pPr>
        <w:spacing w:line="312" w:lineRule="auto"/>
        <w:ind w:left="63" w:firstLine="480" w:leftChars="30" w:firstLineChars="200"/>
        <w:rPr>
          <w:rFonts w:ascii="宋体" w:eastAsia="宋体" w:hAnsi="宋体" w:cs="Times New Roman" w:hint="eastAsia"/>
          <w:b/>
          <w:sz w:val="24"/>
          <w:szCs w:val="24"/>
        </w:rPr>
      </w:pPr>
      <w:r w:rsidRPr="007F5B63">
        <w:rPr>
          <w:rFonts w:ascii="宋体" w:eastAsia="宋体" w:hAnsi="宋体" w:cs="Times New Roman" w:hint="eastAsia"/>
          <w:b/>
          <w:sz w:val="24"/>
          <w:szCs w:val="24"/>
        </w:rPr>
        <w:t>您预留在公司或代理销售机构的有效联系方式若发生变更，应及时通知公司或代理销售机构，如因您未及时告知，导致公司或代理销售机构无法及时联系您，由此产生的责任和风险将由您自行承担。</w:t>
      </w:r>
    </w:p>
    <w:p w:rsidR="003E0304" w:rsidRPr="007F5B63" w14:paraId="7E007B06" w14:textId="693FCA83">
      <w:pPr>
        <w:spacing w:line="312" w:lineRule="auto"/>
        <w:ind w:left="63" w:firstLine="480" w:leftChars="30" w:firstLineChars="200"/>
        <w:rPr>
          <w:rFonts w:ascii="宋体" w:eastAsia="宋体" w:hAnsi="宋体" w:cs="Courier New" w:hint="eastAsia"/>
          <w:b/>
          <w:sz w:val="24"/>
          <w:szCs w:val="24"/>
        </w:rPr>
      </w:pPr>
      <w:r w:rsidRPr="00F566B6">
        <w:rPr>
          <w:rFonts w:ascii="宋体" w:eastAsia="宋体" w:hAnsi="宋体" w:cs="Courier New"/>
          <w:b/>
          <w:sz w:val="24"/>
          <w:szCs w:val="24"/>
        </w:rPr>
        <w:t>9</w:t>
      </w:r>
      <w:r w:rsidRPr="00F566B6" w:rsidR="00193C46">
        <w:rPr>
          <w:rFonts w:ascii="宋体" w:eastAsia="宋体" w:hAnsi="宋体" w:cs="Courier New" w:hint="eastAsia"/>
          <w:b/>
          <w:sz w:val="24"/>
          <w:szCs w:val="24"/>
        </w:rPr>
        <w:t>、汇率风险：</w:t>
      </w:r>
      <w:r w:rsidRPr="007F5B63" w:rsidR="00193C46">
        <w:rPr>
          <w:rFonts w:ascii="宋体" w:eastAsia="宋体" w:hAnsi="宋体" w:cs="Courier New" w:hint="eastAsia"/>
          <w:b/>
          <w:sz w:val="24"/>
          <w:szCs w:val="24"/>
        </w:rPr>
        <w:t>当理财产品的投资涉及非本国货币时，存在汇率波动带来的</w:t>
      </w:r>
      <w:r w:rsidRPr="007F5B63" w:rsidR="00193C46">
        <w:rPr>
          <w:rFonts w:ascii="宋体" w:eastAsia="宋体" w:hAnsi="宋体" w:cs="Courier New" w:hint="eastAsia"/>
          <w:b/>
          <w:sz w:val="24"/>
          <w:szCs w:val="24"/>
        </w:rPr>
        <w:t>风险。</w:t>
      </w:r>
    </w:p>
    <w:p w:rsidR="001F58C3" w:rsidRPr="007F5B63" w:rsidP="005C23D2" w14:paraId="67F96E34" w14:textId="4F48F122">
      <w:pPr>
        <w:spacing w:line="312" w:lineRule="auto"/>
        <w:ind w:left="63" w:firstLine="480" w:leftChars="30" w:firstLineChars="200"/>
        <w:rPr>
          <w:rFonts w:ascii="宋体" w:eastAsia="宋体" w:hAnsi="宋体" w:cs="Times New Roman" w:hint="eastAsia"/>
          <w:b/>
          <w:sz w:val="24"/>
          <w:szCs w:val="24"/>
        </w:rPr>
      </w:pPr>
      <w:r w:rsidRPr="00F566B6">
        <w:rPr>
          <w:rFonts w:ascii="宋体" w:eastAsia="宋体" w:hAnsi="宋体" w:cs="Times New Roman"/>
          <w:b/>
          <w:sz w:val="24"/>
          <w:szCs w:val="24"/>
        </w:rPr>
        <w:t>10</w:t>
      </w:r>
      <w:r w:rsidRPr="00F566B6" w:rsidR="00193C46">
        <w:rPr>
          <w:rFonts w:ascii="宋体" w:eastAsia="宋体" w:hAnsi="宋体" w:cs="Times New Roman" w:hint="eastAsia"/>
          <w:b/>
          <w:sz w:val="24"/>
          <w:szCs w:val="24"/>
        </w:rPr>
        <w:t>、不可抗力风险及意外事件风险：</w:t>
      </w:r>
      <w:r w:rsidRPr="007F5B63" w:rsidR="00193C46">
        <w:rPr>
          <w:rFonts w:ascii="宋体" w:eastAsia="宋体" w:hAnsi="宋体" w:cs="Times New Roman" w:hint="eastAsia"/>
          <w:b/>
          <w:sz w:val="24"/>
          <w:szCs w:val="24"/>
        </w:rPr>
        <w:t>战争、自然灾害、重大政治事件等不可抗力因素或非宁银理财原因的系统故障、投资市场停止交易等意外事件，可能严重影响理财产品的正常运作，影响理财产品投资业绩。</w:t>
      </w:r>
    </w:p>
    <w:p w:rsidR="003E0304" w:rsidRPr="00D34F59" w:rsidP="00F22E58" w14:paraId="57204BA9" w14:textId="6705B088">
      <w:pPr>
        <w:spacing w:line="312" w:lineRule="auto"/>
        <w:ind w:firstLine="480" w:firstLineChars="200"/>
        <w:rPr>
          <w:rFonts w:ascii="宋体" w:eastAsia="宋体" w:hAnsi="宋体" w:cs="Times New Roman" w:hint="eastAsia"/>
          <w:b/>
          <w:sz w:val="24"/>
          <w:szCs w:val="24"/>
        </w:rPr>
      </w:pPr>
      <w:r w:rsidRPr="00D34F59">
        <w:rPr>
          <w:rFonts w:ascii="宋体" w:eastAsia="宋体" w:hAnsi="宋体" w:cs="Times New Roman" w:hint="eastAsia"/>
          <w:b/>
          <w:sz w:val="24"/>
          <w:szCs w:val="24"/>
        </w:rPr>
        <w:t>上述风险发生时，您的本金及收益可能遭受损失，在最不利情况下，您将损失全部的本金及收益，由此产生的风险及损失将由</w:t>
      </w:r>
      <w:r w:rsidRPr="00D34F59">
        <w:rPr>
          <w:rFonts w:ascii="宋体" w:eastAsia="宋体" w:hAnsi="宋体" w:cs="Times New Roman"/>
          <w:b/>
          <w:sz w:val="24"/>
          <w:szCs w:val="24"/>
        </w:rPr>
        <w:t>您</w:t>
      </w:r>
      <w:r w:rsidRPr="00D34F59">
        <w:rPr>
          <w:rFonts w:ascii="宋体" w:eastAsia="宋体" w:hAnsi="宋体" w:cs="Times New Roman" w:hint="eastAsia"/>
          <w:b/>
          <w:sz w:val="24"/>
          <w:szCs w:val="24"/>
        </w:rPr>
        <w:t>自行承担。</w:t>
      </w:r>
    </w:p>
    <w:p w:rsidR="003E0304" w:rsidRPr="00D34F59" w14:paraId="0D0364F8" w14:textId="77777777">
      <w:pPr>
        <w:spacing w:line="312" w:lineRule="auto"/>
        <w:ind w:left="63" w:firstLine="480" w:leftChars="30" w:firstLineChars="200"/>
        <w:rPr>
          <w:rFonts w:ascii="宋体" w:eastAsia="宋体" w:hAnsi="宋体" w:cs="Times New Roman" w:hint="eastAsia"/>
          <w:sz w:val="24"/>
          <w:szCs w:val="24"/>
        </w:rPr>
      </w:pPr>
    </w:p>
    <w:p w:rsidR="003E0304" w:rsidRPr="00D34F59" w14:paraId="56453803"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根据现行法律法规对于理财</w:t>
      </w:r>
      <w:r w:rsidRPr="00D34F59">
        <w:rPr>
          <w:rFonts w:ascii="宋体" w:eastAsia="宋体" w:hAnsi="宋体" w:cs="Times New Roman"/>
          <w:sz w:val="24"/>
          <w:szCs w:val="24"/>
        </w:rPr>
        <w:t>产品的分类</w:t>
      </w:r>
      <w:r w:rsidRPr="00D34F59">
        <w:rPr>
          <w:rFonts w:ascii="宋体" w:eastAsia="宋体" w:hAnsi="宋体" w:cs="Times New Roman" w:hint="eastAsia"/>
          <w:sz w:val="24"/>
          <w:szCs w:val="24"/>
        </w:rPr>
        <w:t>，您还需要了解以下信息：</w:t>
      </w:r>
    </w:p>
    <w:p w:rsidR="003E0304" w:rsidRPr="00D34F59" w14:paraId="3882B497"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b/>
          <w:sz w:val="24"/>
          <w:szCs w:val="24"/>
        </w:rPr>
        <w:t>1、</w:t>
      </w:r>
      <w:r w:rsidRPr="00D34F59">
        <w:rPr>
          <w:rFonts w:ascii="宋体" w:eastAsia="宋体" w:hAnsi="宋体" w:cs="Times New Roman" w:hint="eastAsia"/>
          <w:b/>
          <w:sz w:val="24"/>
          <w:szCs w:val="24"/>
        </w:rPr>
        <w:t>根据募集方式的不同，理财产品分为公募理财产品和私募理财产品。</w:t>
      </w:r>
      <w:r w:rsidRPr="00D34F59">
        <w:rPr>
          <w:rFonts w:ascii="宋体" w:eastAsia="宋体" w:hAnsi="宋体" w:cs="Times New Roman" w:hint="eastAsia"/>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3E0304" w:rsidRPr="00D34F59" w14:paraId="0956D51B"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（一）具有</w:t>
      </w:r>
      <w:r w:rsidRPr="00D34F59">
        <w:rPr>
          <w:rFonts w:ascii="宋体" w:eastAsia="宋体" w:hAnsi="宋体" w:cs="Times New Roman"/>
          <w:sz w:val="24"/>
          <w:szCs w:val="24"/>
        </w:rPr>
        <w:t>2年以上投资经历，且满足家庭金融净资产不低于300万元人民币，或者家庭金融资产不低于500万元人民币，或者近3年本人年均收入不低于40万元人民币；</w:t>
      </w:r>
    </w:p>
    <w:p w:rsidR="003E0304" w:rsidRPr="00D34F59" w14:paraId="633A34E3"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（二）最近</w:t>
      </w:r>
      <w:r w:rsidRPr="00D34F59">
        <w:rPr>
          <w:rFonts w:ascii="宋体" w:eastAsia="宋体" w:hAnsi="宋体" w:cs="Times New Roman"/>
          <w:sz w:val="24"/>
          <w:szCs w:val="24"/>
        </w:rPr>
        <w:t>1年末净资产不低于1000万元人民币的法人或者依法成立的其他组织；</w:t>
      </w:r>
    </w:p>
    <w:p w:rsidR="003E0304" w:rsidRPr="00D34F59" w14:paraId="4B0BDEA0"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（三）国务院银行业监督管理机构规定的其他情形。</w:t>
      </w:r>
    </w:p>
    <w:p w:rsidR="003E0304" w:rsidRPr="00D34F59" w14:paraId="21688B20"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b/>
          <w:sz w:val="24"/>
          <w:szCs w:val="24"/>
        </w:rPr>
        <w:t>2、</w:t>
      </w:r>
      <w:r w:rsidRPr="00D34F59">
        <w:rPr>
          <w:rFonts w:ascii="宋体" w:eastAsia="宋体" w:hAnsi="宋体" w:cs="Times New Roman" w:hint="eastAsia"/>
          <w:b/>
          <w:sz w:val="24"/>
          <w:szCs w:val="24"/>
        </w:rPr>
        <w:t>根据投资性质的不同，理财产品分为固定收益类理财产品、权益类理财产品、商品及金融衍生品类理财产品和混合类理财产品。</w:t>
      </w:r>
      <w:r w:rsidRPr="00D34F59">
        <w:rPr>
          <w:rFonts w:ascii="宋体" w:eastAsia="宋体" w:hAnsi="宋体" w:cs="Times New Roman" w:hint="eastAsia"/>
          <w:sz w:val="24"/>
          <w:szCs w:val="24"/>
        </w:rPr>
        <w:t>固定收益类理财产品投资于存款、债券等债权类资产的比例不低于</w:t>
      </w:r>
      <w:r w:rsidRPr="00D34F59">
        <w:rPr>
          <w:rFonts w:ascii="宋体" w:eastAsia="宋体" w:hAnsi="宋体" w:cs="Times New Roman"/>
          <w:sz w:val="24"/>
          <w:szCs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sidRPr="00D34F59">
        <w:rPr>
          <w:rFonts w:ascii="宋体" w:eastAsia="宋体" w:hAnsi="宋体" w:cs="Times New Roman" w:hint="eastAsia"/>
          <w:sz w:val="24"/>
          <w:szCs w:val="24"/>
        </w:rPr>
        <w:t>一</w:t>
      </w:r>
      <w:r w:rsidRPr="00D34F59">
        <w:rPr>
          <w:rFonts w:ascii="宋体" w:eastAsia="宋体" w:hAnsi="宋体" w:cs="Times New Roman" w:hint="eastAsia"/>
          <w:sz w:val="24"/>
          <w:szCs w:val="24"/>
        </w:rPr>
        <w:t>资产的投资比例未达到前三类理财产品标准。</w:t>
      </w:r>
    </w:p>
    <w:p w:rsidR="003E0304" w:rsidRPr="00D34F59" w14:paraId="42AE0CC9"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b/>
          <w:sz w:val="24"/>
          <w:szCs w:val="24"/>
        </w:rPr>
        <w:t>3、</w:t>
      </w:r>
      <w:r w:rsidRPr="00D34F59">
        <w:rPr>
          <w:rFonts w:ascii="宋体" w:eastAsia="宋体" w:hAnsi="宋体" w:cs="Times New Roman" w:hint="eastAsia"/>
          <w:b/>
          <w:sz w:val="24"/>
          <w:szCs w:val="24"/>
        </w:rPr>
        <w:t>根据运作方式的不同，将理财产品分为封闭式理财产品和开放式理财产品。</w:t>
      </w:r>
      <w:r w:rsidRPr="00D34F59">
        <w:rPr>
          <w:rFonts w:ascii="宋体" w:eastAsia="宋体" w:hAnsi="宋体" w:cs="Times New Roman" w:hint="eastAsia"/>
          <w:sz w:val="24"/>
          <w:szCs w:val="24"/>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rsidR="003E0304" w:rsidRPr="00D34F59" w14:paraId="2A2D63C5" w14:textId="77777777">
      <w:pPr>
        <w:spacing w:line="312" w:lineRule="auto"/>
        <w:ind w:left="63" w:firstLine="480" w:leftChars="30" w:firstLineChars="200"/>
        <w:rPr>
          <w:rFonts w:ascii="宋体" w:eastAsia="宋体" w:hAnsi="宋体" w:cs="Times New Roman" w:hint="eastAsia"/>
          <w:sz w:val="24"/>
          <w:szCs w:val="24"/>
        </w:rPr>
      </w:pPr>
    </w:p>
    <w:p w:rsidR="003E0304" w:rsidRPr="00D34F59" w14:paraId="2A5953DC" w14:textId="4AD2D90C">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对于在本公司直销渠道购买的产品，产品评级以本公司的评级结果为准。对于在代理销售机构购买的产品，代理销售机构应当独立、审慎地对本理财产品进</w:t>
      </w:r>
      <w:r w:rsidRPr="00D34F59">
        <w:rPr>
          <w:rFonts w:ascii="宋体" w:eastAsia="宋体" w:hAnsi="宋体" w:cs="Times New Roman" w:hint="eastAsia"/>
          <w:sz w:val="24"/>
          <w:szCs w:val="24"/>
        </w:rPr>
        <w:t>行销售评级，代理销售机构对产品的评级与本公司产品评级结果不一致的，代理销售机构应当采用对应较高风险等级的评级结果并予以披露，理财产品评级应当以代理销售机构最终披露的评级结果为准。</w:t>
      </w:r>
    </w:p>
    <w:p w:rsidR="003E0304" w:rsidRPr="00D34F59" w14:paraId="3FF2E9DA" w14:textId="261703B2">
      <w:pPr>
        <w:spacing w:line="312" w:lineRule="auto"/>
        <w:ind w:left="63" w:firstLine="480" w:leftChars="30" w:firstLineChars="200"/>
        <w:rPr>
          <w:rFonts w:ascii="宋体" w:eastAsia="宋体" w:hAnsi="宋体" w:cs="Times New Roman" w:hint="eastAsia"/>
          <w:sz w:val="24"/>
          <w:szCs w:val="24"/>
        </w:rPr>
      </w:pPr>
      <w:r w:rsidRPr="007F5B63">
        <w:rPr>
          <w:rFonts w:ascii="宋体" w:eastAsia="宋体" w:hAnsi="宋体" w:cs="Times New Roman" w:hint="eastAsia"/>
          <w:b/>
          <w:bCs/>
          <w:sz w:val="24"/>
          <w:szCs w:val="24"/>
        </w:rPr>
        <w:t>本产品为</w:t>
      </w:r>
      <w:r w:rsidRPr="007F5B63" w:rsidR="00534A3E">
        <w:rPr>
          <w:rFonts w:ascii="宋体" w:eastAsia="宋体" w:hAnsi="宋体" w:cs="Times New Roman" w:hint="eastAsia"/>
          <w:b/>
          <w:bCs/>
          <w:sz w:val="24"/>
          <w:szCs w:val="24"/>
        </w:rPr>
        <w:t>公</w:t>
      </w:r>
      <w:r w:rsidRPr="007F5B63" w:rsidR="00C05702">
        <w:rPr>
          <w:rFonts w:ascii="宋体" w:eastAsia="宋体" w:hAnsi="宋体" w:cs="Times New Roman" w:hint="eastAsia"/>
          <w:b/>
          <w:bCs/>
          <w:sz w:val="24"/>
          <w:szCs w:val="24"/>
        </w:rPr>
        <w:t>募</w:t>
      </w:r>
      <w:r w:rsidRPr="007F5B63" w:rsidR="00C05702">
        <w:rPr>
          <w:rFonts w:ascii="宋体" w:eastAsia="宋体" w:hAnsi="宋体" w:cs="Times New Roman" w:hint="eastAsia"/>
          <w:b/>
          <w:bCs/>
          <w:sz w:val="24"/>
          <w:szCs w:val="24"/>
        </w:rPr>
        <w:t>固定收益类</w:t>
      </w:r>
      <w:r w:rsidRPr="007F5B63" w:rsidR="00C96597">
        <w:rPr>
          <w:rFonts w:ascii="宋体" w:eastAsia="宋体" w:hAnsi="宋体" w:cs="Times New Roman" w:hint="eastAsia"/>
          <w:b/>
          <w:bCs/>
          <w:sz w:val="24"/>
          <w:szCs w:val="24"/>
        </w:rPr>
        <w:t>开放</w:t>
      </w:r>
      <w:r w:rsidRPr="007F5B63" w:rsidR="00C05702">
        <w:rPr>
          <w:rFonts w:ascii="宋体" w:eastAsia="宋体" w:hAnsi="宋体" w:cs="Times New Roman" w:hint="eastAsia"/>
          <w:b/>
          <w:bCs/>
          <w:sz w:val="24"/>
          <w:szCs w:val="24"/>
        </w:rPr>
        <w:t>式</w:t>
      </w:r>
      <w:r w:rsidRPr="007F5B63">
        <w:rPr>
          <w:rFonts w:ascii="宋体" w:eastAsia="宋体" w:hAnsi="宋体" w:cs="Times New Roman" w:hint="eastAsia"/>
          <w:b/>
          <w:bCs/>
          <w:sz w:val="24"/>
          <w:szCs w:val="24"/>
        </w:rPr>
        <w:t>理财，收益类型为</w:t>
      </w:r>
      <w:r w:rsidRPr="007F5B63" w:rsidR="00A94B07">
        <w:rPr>
          <w:rFonts w:ascii="宋体" w:eastAsia="宋体" w:hAnsi="宋体" w:cs="Times New Roman" w:hint="eastAsia"/>
          <w:b/>
          <w:bCs/>
          <w:sz w:val="24"/>
          <w:szCs w:val="24"/>
        </w:rPr>
        <w:t>非保本浮动收益</w:t>
      </w:r>
      <w:r w:rsidRPr="007F5B63">
        <w:rPr>
          <w:rFonts w:ascii="宋体" w:eastAsia="宋体" w:hAnsi="宋体" w:cs="Times New Roman" w:hint="eastAsia"/>
          <w:b/>
          <w:bCs/>
          <w:sz w:val="24"/>
          <w:szCs w:val="24"/>
        </w:rPr>
        <w:t>,投资期限为</w:t>
      </w:r>
      <w:r w:rsidRPr="007F5B63" w:rsidR="00C96597">
        <w:rPr>
          <w:rFonts w:ascii="宋体" w:eastAsia="宋体" w:hAnsi="宋体" w:cs="Times New Roman" w:hint="eastAsia"/>
          <w:b/>
          <w:bCs/>
          <w:sz w:val="24"/>
          <w:szCs w:val="24"/>
        </w:rPr>
        <w:t>无固定期限</w:t>
      </w:r>
      <w:r w:rsidRPr="007F5B63">
        <w:rPr>
          <w:rFonts w:ascii="宋体" w:eastAsia="宋体" w:hAnsi="宋体" w:cs="Times New Roman" w:hint="eastAsia"/>
          <w:b/>
          <w:bCs/>
          <w:sz w:val="24"/>
          <w:szCs w:val="24"/>
        </w:rPr>
        <w:t>,本公司对本产品的产品风险评级为</w:t>
      </w:r>
      <w:r w:rsidRPr="007F5B63" w:rsidR="007F428C">
        <w:rPr>
          <w:rFonts w:ascii="宋体" w:eastAsia="宋体" w:hAnsi="宋体" w:cs="Times New Roman" w:hint="eastAsia"/>
          <w:b/>
          <w:bCs/>
          <w:sz w:val="24"/>
          <w:szCs w:val="24"/>
        </w:rPr>
        <w:t>PR</w:t>
      </w:r>
      <w:r w:rsidRPr="007F5B63" w:rsidR="00C96597">
        <w:rPr>
          <w:rFonts w:ascii="宋体" w:eastAsia="宋体" w:hAnsi="宋体" w:cs="Times New Roman" w:hint="eastAsia"/>
          <w:b/>
          <w:bCs/>
          <w:sz w:val="24"/>
          <w:szCs w:val="24"/>
        </w:rPr>
        <w:t>1</w:t>
      </w:r>
      <w:r w:rsidRPr="007F5B63">
        <w:rPr>
          <w:rFonts w:ascii="宋体" w:eastAsia="宋体" w:hAnsi="宋体" w:cs="Times New Roman" w:hint="eastAsia"/>
          <w:b/>
          <w:bCs/>
          <w:sz w:val="24"/>
          <w:szCs w:val="24"/>
        </w:rPr>
        <w:t>,适合被本公司评为</w:t>
      </w:r>
      <w:r w:rsidRPr="007F5B63" w:rsidR="00C96597">
        <w:rPr>
          <w:rFonts w:ascii="宋体" w:eastAsia="宋体" w:hAnsi="宋体" w:cs="Times New Roman" w:hint="eastAsia"/>
          <w:b/>
          <w:bCs/>
          <w:sz w:val="24"/>
          <w:szCs w:val="24"/>
        </w:rPr>
        <w:t>保守型，</w:t>
      </w:r>
      <w:r w:rsidRPr="007F5B63" w:rsidR="004844BD">
        <w:rPr>
          <w:rFonts w:ascii="宋体" w:eastAsia="宋体" w:hAnsi="宋体" w:cs="Times New Roman" w:hint="eastAsia"/>
          <w:b/>
          <w:bCs/>
          <w:sz w:val="24"/>
          <w:szCs w:val="24"/>
        </w:rPr>
        <w:t>稳健型，平衡型，成长型，进取型的</w:t>
      </w:r>
      <w:r w:rsidRPr="007F5B63">
        <w:rPr>
          <w:rFonts w:ascii="宋体" w:eastAsia="宋体" w:hAnsi="宋体" w:cs="Times New Roman" w:hint="eastAsia"/>
          <w:b/>
          <w:bCs/>
          <w:sz w:val="24"/>
          <w:szCs w:val="24"/>
        </w:rPr>
        <w:t>投资者购买。</w:t>
      </w:r>
      <w:r w:rsidRPr="00D34F59" w:rsidR="00043BBE">
        <w:rPr>
          <w:rFonts w:ascii="宋体" w:eastAsia="宋体" w:hAnsi="宋体" w:cs="Times New Roman" w:hint="eastAsia"/>
          <w:sz w:val="24"/>
          <w:szCs w:val="24"/>
        </w:rPr>
        <w:t>该产品</w:t>
      </w:r>
      <w:r w:rsidRPr="00D34F59">
        <w:rPr>
          <w:rFonts w:ascii="宋体" w:eastAsia="宋体" w:hAnsi="宋体" w:cs="Times New Roman" w:hint="eastAsia"/>
          <w:sz w:val="24"/>
          <w:szCs w:val="24"/>
        </w:rPr>
        <w:t>通过代理销售机构购买的，</w:t>
      </w:r>
      <w:r w:rsidRPr="00D34F59">
        <w:rPr>
          <w:rFonts w:ascii="宋体" w:eastAsia="宋体" w:hAnsi="宋体" w:cs="Times New Roman"/>
          <w:sz w:val="24"/>
          <w:szCs w:val="24"/>
        </w:rPr>
        <w:t>产品风险评级</w:t>
      </w:r>
      <w:r w:rsidRPr="00D34F59">
        <w:rPr>
          <w:rFonts w:ascii="宋体" w:eastAsia="宋体" w:hAnsi="宋体" w:cs="Times New Roman" w:hint="eastAsia"/>
          <w:sz w:val="24"/>
          <w:szCs w:val="24"/>
        </w:rPr>
        <w:t>以代理销售机构最终披露的评级结果为准，投资者的风险承受能力等级以代理销售机构的评估结果为准。</w:t>
      </w:r>
    </w:p>
    <w:p w:rsidR="003E0304" w:rsidRPr="00D34F59" w14:paraId="1D0284BD" w14:textId="77777777">
      <w:pPr>
        <w:spacing w:line="312" w:lineRule="auto"/>
        <w:ind w:left="63" w:firstLine="480" w:leftChars="30" w:firstLineChars="200"/>
        <w:rPr>
          <w:rFonts w:ascii="宋体" w:eastAsia="宋体" w:hAnsi="宋体" w:cs="Times New Roman" w:hint="eastAsia"/>
          <w:b/>
          <w:sz w:val="24"/>
          <w:szCs w:val="24"/>
        </w:rPr>
      </w:pPr>
      <w:r w:rsidRPr="00D34F59">
        <w:rPr>
          <w:rFonts w:ascii="宋体" w:eastAsia="宋体" w:hAnsi="宋体" w:cs="Times New Roman" w:hint="eastAsia"/>
          <w:b/>
          <w:sz w:val="24"/>
          <w:szCs w:val="24"/>
        </w:rPr>
        <w:t>投资者的本金和收益可能会因市场变动而蒙受重大损失，投资者应充分认识投资风险，谨慎投资。最不利情况下，</w:t>
      </w:r>
      <w:r w:rsidRPr="00D34F59">
        <w:rPr>
          <w:rFonts w:ascii="宋体" w:eastAsia="宋体" w:hAnsi="宋体" w:cs="Times New Roman"/>
          <w:b/>
          <w:sz w:val="24"/>
          <w:szCs w:val="24"/>
        </w:rPr>
        <w:t>您将损失全部本金及收益。</w:t>
      </w:r>
    </w:p>
    <w:p w:rsidR="003E0304" w:rsidRPr="00D34F59" w14:paraId="04AB1710"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示例：如投资者购买本理财产品，本金为</w:t>
      </w:r>
      <w:r w:rsidRPr="00D34F59">
        <w:rPr>
          <w:rFonts w:ascii="宋体" w:eastAsia="宋体" w:hAnsi="宋体" w:cs="Times New Roman"/>
          <w:sz w:val="24"/>
          <w:szCs w:val="24"/>
        </w:rPr>
        <w:t>10,000.00元，在理财产品资产组合项下资产全部亏损的最不利情况下，理财产品10,000.00元本金将全部损失。</w:t>
      </w:r>
    </w:p>
    <w:p w:rsidR="003E0304" w:rsidRPr="00D34F59" w14:paraId="32A07078" w14:textId="77777777">
      <w:pPr>
        <w:spacing w:line="312" w:lineRule="auto"/>
        <w:ind w:left="63" w:firstLine="480" w:leftChars="30" w:firstLineChars="200"/>
        <w:rPr>
          <w:rFonts w:ascii="宋体" w:eastAsia="宋体" w:hAnsi="宋体" w:cs="Times New Roman" w:hint="eastAsia"/>
          <w:b/>
          <w:sz w:val="24"/>
          <w:szCs w:val="24"/>
        </w:rPr>
      </w:pPr>
      <w:r w:rsidRPr="00D34F59">
        <w:rPr>
          <w:rFonts w:ascii="宋体" w:eastAsia="宋体" w:hAnsi="宋体" w:cs="Times New Roman" w:hint="eastAsia"/>
          <w:b/>
          <w:sz w:val="24"/>
          <w:szCs w:val="24"/>
        </w:rPr>
        <w:t>特别提示：</w:t>
      </w:r>
    </w:p>
    <w:p w:rsidR="003E0304" w:rsidRPr="00D34F59" w14:paraId="50077326" w14:textId="35E9841C">
      <w:pPr>
        <w:spacing w:line="312" w:lineRule="auto"/>
        <w:ind w:left="63" w:firstLine="480" w:leftChars="30" w:firstLineChars="200"/>
        <w:rPr>
          <w:rFonts w:ascii="宋体" w:eastAsia="宋体" w:hAnsi="宋体" w:cs="Times New Roman" w:hint="eastAsia"/>
          <w:b/>
          <w:sz w:val="24"/>
          <w:szCs w:val="24"/>
        </w:rPr>
      </w:pPr>
      <w:r w:rsidRPr="00D34F59">
        <w:rPr>
          <w:rFonts w:ascii="宋体" w:eastAsia="宋体" w:hAnsi="宋体" w:cs="Times New Roman" w:hint="eastAsia"/>
          <w:b/>
          <w:sz w:val="24"/>
          <w:szCs w:val="24"/>
        </w:rPr>
        <w:t>该产品通过代理销售机构销售的，理财产品评级应当以代理销售机构最终披露的评级结果为准，投资者的风险承受能力等级以代理销售机构的评估结果为准。</w:t>
      </w:r>
    </w:p>
    <w:p w:rsidR="003E0304" w:rsidRPr="00D34F59" w14:paraId="56F356B4" w14:textId="192846A6">
      <w:pPr>
        <w:spacing w:line="312" w:lineRule="auto"/>
        <w:ind w:left="63" w:firstLine="480" w:leftChars="30" w:firstLineChars="200"/>
        <w:rPr>
          <w:rFonts w:ascii="宋体" w:eastAsia="宋体" w:hAnsi="宋体" w:cs="Times New Roman" w:hint="eastAsia"/>
          <w:b/>
          <w:sz w:val="24"/>
          <w:szCs w:val="24"/>
        </w:rPr>
      </w:pPr>
    </w:p>
    <w:p w:rsidR="003E0304" w:rsidRPr="00D34F59" w14:paraId="30504F04" w14:textId="77777777">
      <w:pPr>
        <w:spacing w:line="312" w:lineRule="auto"/>
        <w:ind w:left="63" w:firstLine="480" w:leftChars="30" w:firstLineChars="200"/>
        <w:rPr>
          <w:rFonts w:ascii="宋体" w:eastAsia="宋体" w:hAnsi="宋体" w:cs="Times New Roman" w:hint="eastAsia"/>
          <w:sz w:val="24"/>
          <w:szCs w:val="24"/>
        </w:rPr>
      </w:pPr>
    </w:p>
    <w:p w:rsidR="003E0304" w:rsidRPr="00D34F59" w14:paraId="13F42459" w14:textId="3D780C9F">
      <w:pPr>
        <w:spacing w:line="312" w:lineRule="auto"/>
        <w:ind w:left="63" w:firstLine="480" w:leftChars="30" w:firstLineChars="200"/>
        <w:rPr>
          <w:rFonts w:ascii="宋体" w:eastAsia="宋体" w:hAnsi="宋体" w:cs="Times New Roman" w:hint="eastAsia"/>
          <w:b/>
          <w:sz w:val="24"/>
          <w:szCs w:val="24"/>
        </w:rPr>
      </w:pPr>
      <w:r w:rsidRPr="00D34F59">
        <w:rPr>
          <w:rFonts w:ascii="宋体" w:eastAsia="宋体" w:hAnsi="宋体" w:cs="Times New Roman" w:hint="eastAsia"/>
          <w:b/>
          <w:sz w:val="24"/>
          <w:szCs w:val="24"/>
        </w:rPr>
        <w:t>以下内容由投资者填写（如通过</w:t>
      </w:r>
      <w:r w:rsidRPr="00D34F59" w:rsidR="001F58C3">
        <w:rPr>
          <w:rFonts w:ascii="宋体" w:eastAsia="宋体" w:hAnsi="宋体" w:cs="Times New Roman" w:hint="eastAsia"/>
          <w:b/>
          <w:sz w:val="24"/>
          <w:szCs w:val="24"/>
        </w:rPr>
        <w:t>线</w:t>
      </w:r>
      <w:r w:rsidRPr="00D34F59" w:rsidR="001F58C3">
        <w:rPr>
          <w:rFonts w:ascii="宋体" w:eastAsia="宋体" w:hAnsi="宋体" w:cs="Times New Roman" w:hint="eastAsia"/>
          <w:b/>
          <w:sz w:val="24"/>
          <w:szCs w:val="24"/>
        </w:rPr>
        <w:t>上渠道</w:t>
      </w:r>
      <w:r w:rsidRPr="00D34F59">
        <w:rPr>
          <w:rFonts w:ascii="宋体" w:eastAsia="宋体" w:hAnsi="宋体" w:cs="Times New Roman" w:hint="eastAsia"/>
          <w:b/>
          <w:sz w:val="24"/>
          <w:szCs w:val="24"/>
        </w:rPr>
        <w:t>购买，</w:t>
      </w:r>
      <w:r w:rsidRPr="00D34F59">
        <w:rPr>
          <w:rFonts w:ascii="宋体" w:eastAsia="宋体" w:hAnsi="宋体" w:cs="Times New Roman"/>
          <w:b/>
          <w:sz w:val="24"/>
          <w:szCs w:val="24"/>
        </w:rPr>
        <w:t>认</w:t>
      </w:r>
      <w:r w:rsidRPr="00D34F59" w:rsidR="001F58C3">
        <w:rPr>
          <w:rFonts w:ascii="宋体" w:eastAsia="宋体" w:hAnsi="宋体" w:cs="Times New Roman" w:hint="eastAsia"/>
          <w:b/>
          <w:sz w:val="24"/>
          <w:szCs w:val="24"/>
        </w:rPr>
        <w:t>（</w:t>
      </w:r>
      <w:r w:rsidRPr="00D34F59" w:rsidR="001F58C3">
        <w:rPr>
          <w:rFonts w:ascii="宋体" w:eastAsia="宋体" w:hAnsi="宋体" w:cs="Times New Roman"/>
          <w:b/>
          <w:sz w:val="24"/>
          <w:szCs w:val="24"/>
        </w:rPr>
        <w:t>申</w:t>
      </w:r>
      <w:r w:rsidRPr="00D34F59" w:rsidR="001F58C3">
        <w:rPr>
          <w:rFonts w:ascii="宋体" w:eastAsia="宋体" w:hAnsi="宋体" w:cs="Times New Roman" w:hint="eastAsia"/>
          <w:b/>
          <w:sz w:val="24"/>
          <w:szCs w:val="24"/>
        </w:rPr>
        <w:t>）</w:t>
      </w:r>
      <w:r w:rsidRPr="00D34F59">
        <w:rPr>
          <w:rFonts w:ascii="宋体" w:eastAsia="宋体" w:hAnsi="宋体" w:cs="Times New Roman"/>
          <w:b/>
          <w:sz w:val="24"/>
          <w:szCs w:val="24"/>
        </w:rPr>
        <w:t>购</w:t>
      </w:r>
      <w:r w:rsidRPr="00D34F59">
        <w:rPr>
          <w:rFonts w:ascii="宋体" w:eastAsia="宋体" w:hAnsi="宋体" w:cs="Times New Roman" w:hint="eastAsia"/>
          <w:b/>
          <w:sz w:val="24"/>
          <w:szCs w:val="24"/>
        </w:rPr>
        <w:t>确认</w:t>
      </w:r>
      <w:r w:rsidRPr="00D34F59">
        <w:rPr>
          <w:rFonts w:ascii="宋体" w:eastAsia="宋体" w:hAnsi="宋体" w:cs="Times New Roman"/>
          <w:b/>
          <w:sz w:val="24"/>
          <w:szCs w:val="24"/>
        </w:rPr>
        <w:t>即视为</w:t>
      </w:r>
      <w:r w:rsidRPr="00D34F59">
        <w:rPr>
          <w:rFonts w:ascii="宋体" w:eastAsia="宋体" w:hAnsi="宋体" w:cs="Times New Roman" w:hint="eastAsia"/>
          <w:b/>
          <w:sz w:val="24"/>
          <w:szCs w:val="24"/>
        </w:rPr>
        <w:t>您同意自身</w:t>
      </w:r>
      <w:r w:rsidRPr="00D34F59">
        <w:rPr>
          <w:rFonts w:ascii="宋体" w:eastAsia="宋体" w:hAnsi="宋体" w:cs="Times New Roman"/>
          <w:b/>
          <w:sz w:val="24"/>
          <w:szCs w:val="24"/>
        </w:rPr>
        <w:t>风险</w:t>
      </w:r>
      <w:r w:rsidRPr="00D34F59">
        <w:rPr>
          <w:rFonts w:ascii="宋体" w:eastAsia="宋体" w:hAnsi="宋体" w:cs="Times New Roman" w:hint="eastAsia"/>
          <w:b/>
          <w:sz w:val="24"/>
          <w:szCs w:val="24"/>
        </w:rPr>
        <w:t>承受</w:t>
      </w:r>
      <w:r w:rsidRPr="00D34F59">
        <w:rPr>
          <w:rFonts w:ascii="宋体" w:eastAsia="宋体" w:hAnsi="宋体" w:cs="Times New Roman"/>
          <w:b/>
          <w:sz w:val="24"/>
          <w:szCs w:val="24"/>
        </w:rPr>
        <w:t>能力评级并确认</w:t>
      </w:r>
      <w:r w:rsidRPr="00D34F59">
        <w:rPr>
          <w:rFonts w:ascii="宋体" w:eastAsia="宋体" w:hAnsi="宋体" w:cs="Times New Roman" w:hint="eastAsia"/>
          <w:b/>
          <w:sz w:val="24"/>
          <w:szCs w:val="24"/>
        </w:rPr>
        <w:t>风险</w:t>
      </w:r>
      <w:r w:rsidRPr="00D34F59">
        <w:rPr>
          <w:rFonts w:ascii="宋体" w:eastAsia="宋体" w:hAnsi="宋体" w:cs="Times New Roman"/>
          <w:b/>
          <w:sz w:val="24"/>
          <w:szCs w:val="24"/>
        </w:rPr>
        <w:t>揭示内容，愿意承担投资风险</w:t>
      </w:r>
      <w:r w:rsidRPr="00D34F59">
        <w:rPr>
          <w:rFonts w:ascii="宋体" w:eastAsia="宋体" w:hAnsi="宋体" w:cs="Times New Roman" w:hint="eastAsia"/>
          <w:b/>
          <w:sz w:val="24"/>
          <w:szCs w:val="24"/>
        </w:rPr>
        <w:t>，该等确认与书面</w:t>
      </w:r>
      <w:r w:rsidRPr="00D34F59">
        <w:rPr>
          <w:rFonts w:ascii="宋体" w:eastAsia="宋体" w:hAnsi="宋体" w:cs="Times New Roman"/>
          <w:b/>
          <w:sz w:val="24"/>
          <w:szCs w:val="24"/>
        </w:rPr>
        <w:t>签署具有同等</w:t>
      </w:r>
      <w:r w:rsidRPr="00D34F59">
        <w:rPr>
          <w:rFonts w:ascii="宋体" w:eastAsia="宋体" w:hAnsi="宋体" w:cs="Times New Roman" w:hint="eastAsia"/>
          <w:b/>
          <w:sz w:val="24"/>
          <w:szCs w:val="24"/>
        </w:rPr>
        <w:t>效力，无需</w:t>
      </w:r>
      <w:r w:rsidRPr="00D34F59">
        <w:rPr>
          <w:rFonts w:ascii="宋体" w:eastAsia="宋体" w:hAnsi="宋体" w:cs="Times New Roman"/>
          <w:b/>
          <w:sz w:val="24"/>
          <w:szCs w:val="24"/>
        </w:rPr>
        <w:t>另行签署纸质文件</w:t>
      </w:r>
      <w:r w:rsidRPr="00D34F59">
        <w:rPr>
          <w:rFonts w:ascii="宋体" w:eastAsia="宋体" w:hAnsi="宋体" w:cs="Times New Roman" w:hint="eastAsia"/>
          <w:b/>
          <w:sz w:val="24"/>
          <w:szCs w:val="24"/>
        </w:rPr>
        <w:t>）：</w:t>
      </w:r>
    </w:p>
    <w:p w:rsidR="003E0304" w:rsidRPr="00D34F59" w14:paraId="18232048" w14:textId="32D34D4D">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sz w:val="24"/>
          <w:szCs w:val="24"/>
        </w:rPr>
        <w:t>1、本人</w:t>
      </w:r>
      <w:r w:rsidR="00FD5209">
        <w:rPr>
          <w:rFonts w:ascii="Times New Roman" w:eastAsia="宋体" w:hAnsi="Times New Roman" w:cs="Times New Roman" w:hint="eastAsia"/>
          <w:sz w:val="24"/>
          <w:szCs w:val="24"/>
        </w:rPr>
        <w:t>/</w:t>
      </w:r>
      <w:r w:rsidR="00FD5209">
        <w:rPr>
          <w:rFonts w:ascii="Times New Roman" w:eastAsia="宋体" w:hAnsi="Times New Roman" w:cs="Times New Roman" w:hint="eastAsia"/>
          <w:sz w:val="24"/>
          <w:szCs w:val="24"/>
        </w:rPr>
        <w:t>本机构</w:t>
      </w:r>
      <w:r w:rsidRPr="00D34F59">
        <w:rPr>
          <w:rFonts w:ascii="宋体" w:eastAsia="宋体" w:hAnsi="宋体" w:cs="Times New Roman"/>
          <w:sz w:val="24"/>
          <w:szCs w:val="24"/>
        </w:rPr>
        <w:t>风险承受能力评级结果为（</w:t>
      </w:r>
      <w:r w:rsidR="00FD5209">
        <w:rPr>
          <w:rFonts w:ascii="宋体" w:eastAsia="宋体" w:hAnsi="宋体" w:cs="Times New Roman" w:hint="eastAsia"/>
          <w:sz w:val="24"/>
          <w:szCs w:val="24"/>
        </w:rPr>
        <w:t>专业</w:t>
      </w:r>
      <w:r w:rsidRPr="00D34F59">
        <w:rPr>
          <w:rFonts w:ascii="宋体" w:eastAsia="宋体" w:hAnsi="宋体" w:cs="Times New Roman"/>
          <w:sz w:val="24"/>
          <w:szCs w:val="24"/>
        </w:rPr>
        <w:t>投资者无需填写）</w:t>
      </w:r>
      <w:r w:rsidRPr="00D34F59">
        <w:rPr>
          <w:rFonts w:ascii="宋体" w:eastAsia="宋体" w:hAnsi="宋体" w:cs="Times New Roman" w:hint="eastAsia"/>
          <w:sz w:val="24"/>
          <w:szCs w:val="24"/>
        </w:rPr>
        <w:t>：</w:t>
      </w:r>
    </w:p>
    <w:p w:rsidR="003E0304" w:rsidRPr="00D34F59" w14:paraId="169A3B9B" w14:textId="7E0DC481">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w:t>
      </w:r>
      <w:r w:rsidRPr="00D34F59">
        <w:rPr>
          <w:rFonts w:ascii="宋体" w:eastAsia="宋体" w:hAnsi="宋体" w:cs="Times New Roman"/>
          <w:sz w:val="24"/>
          <w:szCs w:val="24"/>
        </w:rPr>
        <w:t>1）________（通过宁银理财直销</w:t>
      </w:r>
      <w:r w:rsidRPr="00D34F59">
        <w:rPr>
          <w:rFonts w:ascii="宋体" w:eastAsia="宋体" w:hAnsi="宋体" w:cs="Times New Roman" w:hint="eastAsia"/>
          <w:sz w:val="24"/>
          <w:szCs w:val="24"/>
        </w:rPr>
        <w:t>渠道购买</w:t>
      </w:r>
      <w:r w:rsidRPr="00D34F59">
        <w:rPr>
          <w:rFonts w:ascii="宋体" w:eastAsia="宋体" w:hAnsi="宋体" w:cs="Times New Roman"/>
          <w:sz w:val="24"/>
          <w:szCs w:val="24"/>
        </w:rPr>
        <w:t>的</w:t>
      </w:r>
      <w:r w:rsidRPr="000F7074" w:rsidR="00FD5209">
        <w:rPr>
          <w:rFonts w:ascii="Times New Roman" w:eastAsia="宋体" w:hAnsi="Times New Roman" w:cs="Times New Roman" w:hint="eastAsia"/>
          <w:sz w:val="24"/>
          <w:szCs w:val="24"/>
        </w:rPr>
        <w:t>普通</w:t>
      </w:r>
      <w:r w:rsidRPr="00D34F59">
        <w:rPr>
          <w:rFonts w:ascii="宋体" w:eastAsia="宋体" w:hAnsi="宋体" w:cs="Times New Roman"/>
          <w:sz w:val="24"/>
          <w:szCs w:val="24"/>
        </w:rPr>
        <w:t>投资者填写）</w:t>
      </w:r>
      <w:r w:rsidRPr="00D34F59">
        <w:rPr>
          <w:rFonts w:ascii="宋体" w:eastAsia="宋体" w:hAnsi="宋体" w:cs="Times New Roman" w:hint="eastAsia"/>
          <w:sz w:val="24"/>
          <w:szCs w:val="24"/>
        </w:rPr>
        <w:t>，</w:t>
      </w:r>
      <w:r w:rsidRPr="00D34F59">
        <w:rPr>
          <w:rFonts w:ascii="宋体" w:eastAsia="宋体" w:hAnsi="宋体" w:cs="Times New Roman"/>
          <w:sz w:val="24"/>
          <w:szCs w:val="24"/>
        </w:rPr>
        <w:t>可购买与本人</w:t>
      </w:r>
      <w:r w:rsidR="00FD5209">
        <w:rPr>
          <w:rFonts w:ascii="Times New Roman" w:eastAsia="宋体" w:hAnsi="Times New Roman" w:cs="Times New Roman" w:hint="eastAsia"/>
          <w:sz w:val="24"/>
          <w:szCs w:val="24"/>
        </w:rPr>
        <w:t>/</w:t>
      </w:r>
      <w:r w:rsidR="00FD5209">
        <w:rPr>
          <w:rFonts w:ascii="Times New Roman" w:eastAsia="宋体" w:hAnsi="Times New Roman" w:cs="Times New Roman" w:hint="eastAsia"/>
          <w:sz w:val="24"/>
          <w:szCs w:val="24"/>
        </w:rPr>
        <w:t>本机构</w:t>
      </w:r>
      <w:r w:rsidRPr="00D34F59">
        <w:rPr>
          <w:rFonts w:ascii="宋体" w:eastAsia="宋体" w:hAnsi="宋体" w:cs="Times New Roman" w:hint="eastAsia"/>
          <w:sz w:val="24"/>
          <w:szCs w:val="24"/>
        </w:rPr>
        <w:t>风险级别</w:t>
      </w:r>
      <w:r w:rsidRPr="00D34F59">
        <w:rPr>
          <w:rFonts w:ascii="宋体" w:eastAsia="宋体" w:hAnsi="宋体" w:cs="Times New Roman"/>
          <w:sz w:val="24"/>
          <w:szCs w:val="24"/>
        </w:rPr>
        <w:t>相匹配的</w:t>
      </w:r>
      <w:r w:rsidRPr="00D34F59">
        <w:rPr>
          <w:rFonts w:ascii="宋体" w:eastAsia="宋体" w:hAnsi="宋体" w:cs="Times New Roman" w:hint="eastAsia"/>
          <w:sz w:val="24"/>
          <w:szCs w:val="24"/>
        </w:rPr>
        <w:t>理财</w:t>
      </w:r>
      <w:r w:rsidRPr="00D34F59">
        <w:rPr>
          <w:rFonts w:ascii="宋体" w:eastAsia="宋体" w:hAnsi="宋体" w:cs="Times New Roman"/>
          <w:sz w:val="24"/>
          <w:szCs w:val="24"/>
        </w:rPr>
        <w:t>产品</w:t>
      </w:r>
      <w:r w:rsidRPr="00D34F59">
        <w:rPr>
          <w:rFonts w:ascii="宋体" w:eastAsia="宋体" w:hAnsi="宋体" w:cs="Times New Roman" w:hint="eastAsia"/>
          <w:sz w:val="24"/>
          <w:szCs w:val="24"/>
        </w:rPr>
        <w:t>，</w:t>
      </w:r>
      <w:r w:rsidRPr="00D34F59">
        <w:rPr>
          <w:rFonts w:ascii="宋体" w:eastAsia="宋体" w:hAnsi="宋体" w:cs="Times New Roman"/>
          <w:sz w:val="24"/>
          <w:szCs w:val="24"/>
        </w:rPr>
        <w:t>具体</w:t>
      </w:r>
      <w:r w:rsidRPr="00D34F59">
        <w:rPr>
          <w:rFonts w:ascii="宋体" w:eastAsia="宋体" w:hAnsi="宋体" w:cs="Times New Roman" w:hint="eastAsia"/>
          <w:sz w:val="24"/>
          <w:szCs w:val="24"/>
        </w:rPr>
        <w:t>匹配</w:t>
      </w:r>
      <w:r w:rsidRPr="00D34F59">
        <w:rPr>
          <w:rFonts w:ascii="宋体" w:eastAsia="宋体" w:hAnsi="宋体" w:cs="Times New Roman"/>
          <w:sz w:val="24"/>
          <w:szCs w:val="24"/>
        </w:rPr>
        <w:t>情况见</w:t>
      </w:r>
      <w:r w:rsidRPr="00D34F59">
        <w:rPr>
          <w:rFonts w:ascii="宋体" w:eastAsia="宋体" w:hAnsi="宋体" w:cs="Times New Roman" w:hint="eastAsia"/>
          <w:sz w:val="24"/>
          <w:szCs w:val="24"/>
        </w:rPr>
        <w:t>《投资者权益须知</w:t>
      </w:r>
      <w:r w:rsidRPr="00D34F59">
        <w:rPr>
          <w:rFonts w:ascii="宋体" w:eastAsia="宋体" w:hAnsi="宋体" w:cs="Times New Roman"/>
          <w:sz w:val="24"/>
          <w:szCs w:val="24"/>
        </w:rPr>
        <w:t>》</w:t>
      </w:r>
      <w:r w:rsidRPr="00D34F59">
        <w:rPr>
          <w:rFonts w:ascii="宋体" w:eastAsia="宋体" w:hAnsi="宋体" w:cs="Times New Roman" w:hint="eastAsia"/>
          <w:sz w:val="24"/>
          <w:szCs w:val="24"/>
        </w:rPr>
        <w:t>。</w:t>
      </w:r>
    </w:p>
    <w:p w:rsidR="003E0304" w:rsidRPr="00D34F59" w14:paraId="35ED6DCB" w14:textId="0B192F18">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hint="eastAsia"/>
          <w:sz w:val="24"/>
          <w:szCs w:val="24"/>
        </w:rPr>
        <w:t>（</w:t>
      </w:r>
      <w:r w:rsidRPr="00D34F59">
        <w:rPr>
          <w:rFonts w:ascii="宋体" w:eastAsia="宋体" w:hAnsi="宋体" w:cs="Times New Roman"/>
          <w:sz w:val="24"/>
          <w:szCs w:val="24"/>
        </w:rPr>
        <w:t>2）________（通过代理销售机构</w:t>
      </w:r>
      <w:r w:rsidRPr="00D34F59">
        <w:rPr>
          <w:rFonts w:ascii="宋体" w:eastAsia="宋体" w:hAnsi="宋体" w:cs="Times New Roman" w:hint="eastAsia"/>
          <w:sz w:val="24"/>
          <w:szCs w:val="24"/>
        </w:rPr>
        <w:t>购买</w:t>
      </w:r>
      <w:r w:rsidRPr="00D34F59">
        <w:rPr>
          <w:rFonts w:ascii="宋体" w:eastAsia="宋体" w:hAnsi="宋体" w:cs="Times New Roman"/>
          <w:sz w:val="24"/>
          <w:szCs w:val="24"/>
        </w:rPr>
        <w:t>的</w:t>
      </w:r>
      <w:r w:rsidRPr="000F7074" w:rsidR="00FD5209">
        <w:rPr>
          <w:rFonts w:ascii="Times New Roman" w:eastAsia="宋体" w:hAnsi="Times New Roman" w:cs="Times New Roman" w:hint="eastAsia"/>
          <w:sz w:val="24"/>
          <w:szCs w:val="24"/>
        </w:rPr>
        <w:t>普通</w:t>
      </w:r>
      <w:r w:rsidRPr="00D34F59">
        <w:rPr>
          <w:rFonts w:ascii="宋体" w:eastAsia="宋体" w:hAnsi="宋体" w:cs="Times New Roman"/>
          <w:sz w:val="24"/>
          <w:szCs w:val="24"/>
        </w:rPr>
        <w:t>投资者填写）</w:t>
      </w:r>
      <w:r w:rsidRPr="00D34F59">
        <w:rPr>
          <w:rFonts w:ascii="宋体" w:eastAsia="宋体" w:hAnsi="宋体" w:cs="Times New Roman" w:hint="eastAsia"/>
          <w:sz w:val="24"/>
          <w:szCs w:val="24"/>
        </w:rPr>
        <w:t>，</w:t>
      </w:r>
      <w:r w:rsidRPr="00D34F59">
        <w:rPr>
          <w:rFonts w:ascii="宋体" w:eastAsia="宋体" w:hAnsi="宋体" w:cs="Times New Roman"/>
          <w:sz w:val="24"/>
          <w:szCs w:val="24"/>
        </w:rPr>
        <w:t>可购买</w:t>
      </w:r>
      <w:r w:rsidRPr="00D34F59">
        <w:rPr>
          <w:rFonts w:ascii="宋体" w:eastAsia="宋体" w:hAnsi="宋体" w:cs="Times New Roman" w:hint="eastAsia"/>
          <w:sz w:val="24"/>
          <w:szCs w:val="24"/>
        </w:rPr>
        <w:t>与</w:t>
      </w:r>
      <w:r w:rsidRPr="00D34F59">
        <w:rPr>
          <w:rFonts w:ascii="宋体" w:eastAsia="宋体" w:hAnsi="宋体" w:cs="Times New Roman"/>
          <w:sz w:val="24"/>
          <w:szCs w:val="24"/>
        </w:rPr>
        <w:t>本人</w:t>
      </w:r>
      <w:r w:rsidR="00FD5209">
        <w:rPr>
          <w:rFonts w:ascii="Times New Roman" w:eastAsia="宋体" w:hAnsi="Times New Roman" w:cs="Times New Roman" w:hint="eastAsia"/>
          <w:sz w:val="24"/>
          <w:szCs w:val="24"/>
        </w:rPr>
        <w:t>/</w:t>
      </w:r>
      <w:r w:rsidR="00FD5209">
        <w:rPr>
          <w:rFonts w:ascii="Times New Roman" w:eastAsia="宋体" w:hAnsi="Times New Roman" w:cs="Times New Roman" w:hint="eastAsia"/>
          <w:sz w:val="24"/>
          <w:szCs w:val="24"/>
        </w:rPr>
        <w:t>本机构</w:t>
      </w:r>
      <w:r w:rsidRPr="00D34F59">
        <w:rPr>
          <w:rFonts w:ascii="宋体" w:eastAsia="宋体" w:hAnsi="宋体" w:cs="Times New Roman"/>
          <w:sz w:val="24"/>
          <w:szCs w:val="24"/>
        </w:rPr>
        <w:t>风险</w:t>
      </w:r>
      <w:r w:rsidRPr="00D34F59">
        <w:rPr>
          <w:rFonts w:ascii="宋体" w:eastAsia="宋体" w:hAnsi="宋体" w:cs="Times New Roman" w:hint="eastAsia"/>
          <w:sz w:val="24"/>
          <w:szCs w:val="24"/>
        </w:rPr>
        <w:t>级别</w:t>
      </w:r>
      <w:r w:rsidRPr="00D34F59">
        <w:rPr>
          <w:rFonts w:ascii="宋体" w:eastAsia="宋体" w:hAnsi="宋体" w:cs="Times New Roman"/>
          <w:sz w:val="24"/>
          <w:szCs w:val="24"/>
        </w:rPr>
        <w:t>相匹配的理财产品，具体</w:t>
      </w:r>
      <w:r w:rsidRPr="00D34F59">
        <w:rPr>
          <w:rFonts w:ascii="宋体" w:eastAsia="宋体" w:hAnsi="宋体" w:cs="Times New Roman" w:hint="eastAsia"/>
          <w:sz w:val="24"/>
          <w:szCs w:val="24"/>
        </w:rPr>
        <w:t>匹配</w:t>
      </w:r>
      <w:r w:rsidRPr="00D34F59">
        <w:rPr>
          <w:rFonts w:ascii="宋体" w:eastAsia="宋体" w:hAnsi="宋体" w:cs="Times New Roman"/>
          <w:sz w:val="24"/>
          <w:szCs w:val="24"/>
        </w:rPr>
        <w:t>情况从</w:t>
      </w:r>
      <w:r w:rsidRPr="00D34F59">
        <w:rPr>
          <w:rFonts w:ascii="宋体" w:eastAsia="宋体" w:hAnsi="宋体" w:cs="Times New Roman" w:hint="eastAsia"/>
          <w:sz w:val="24"/>
          <w:szCs w:val="24"/>
        </w:rPr>
        <w:t>代理销售机构对理财产品风险水平及投资者风险承受能力评估</w:t>
      </w:r>
      <w:r w:rsidRPr="00D34F59">
        <w:rPr>
          <w:rFonts w:ascii="宋体" w:eastAsia="宋体" w:hAnsi="宋体" w:cs="Times New Roman"/>
          <w:sz w:val="24"/>
          <w:szCs w:val="24"/>
        </w:rPr>
        <w:t>。</w:t>
      </w:r>
    </w:p>
    <w:p w:rsidR="003E0304" w:rsidRPr="00D34F59" w14:paraId="26A3318E"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sz w:val="24"/>
          <w:szCs w:val="24"/>
        </w:rPr>
        <w:t>2、本人/本机构已经阅读风险揭示书，愿意承担投资风险（在下方横线处抄写本句内容）。</w:t>
      </w:r>
    </w:p>
    <w:p w:rsidR="003E0304" w:rsidRPr="00D34F59" w14:paraId="5DB0E68E" w14:textId="77777777">
      <w:pPr>
        <w:spacing w:line="312" w:lineRule="auto"/>
        <w:ind w:left="63" w:firstLine="480" w:leftChars="30" w:firstLineChars="200"/>
        <w:rPr>
          <w:rFonts w:ascii="宋体" w:eastAsia="宋体" w:hAnsi="宋体" w:cs="Times New Roman" w:hint="eastAsia"/>
          <w:sz w:val="24"/>
          <w:szCs w:val="24"/>
        </w:rPr>
      </w:pPr>
      <w:r w:rsidRPr="00D34F59">
        <w:rPr>
          <w:rFonts w:ascii="宋体" w:eastAsia="宋体" w:hAnsi="宋体" w:cs="Times New Roman"/>
          <w:sz w:val="24"/>
          <w:szCs w:val="24"/>
        </w:rPr>
        <w:t>______</w:t>
      </w:r>
      <w:r w:rsidRPr="00D34F59">
        <w:rPr>
          <w:rFonts w:ascii="宋体" w:eastAsia="宋体" w:hAnsi="宋体" w:cs="Times New Roman"/>
          <w:sz w:val="24"/>
          <w:szCs w:val="24"/>
          <w:u w:val="single"/>
        </w:rPr>
        <w:t xml:space="preserve">______           </w:t>
      </w:r>
      <w:r w:rsidRPr="00D34F59">
        <w:rPr>
          <w:rFonts w:ascii="宋体" w:eastAsia="宋体" w:hAnsi="宋体" w:cs="Times New Roman"/>
          <w:sz w:val="24"/>
          <w:szCs w:val="24"/>
        </w:rPr>
        <w:t>________________________________________</w:t>
      </w:r>
    </w:p>
    <w:p w:rsidR="003E0304" w14:paraId="6689CAD9" w14:textId="77777777">
      <w:pPr>
        <w:spacing w:line="312" w:lineRule="auto"/>
        <w:ind w:left="63" w:leftChars="30"/>
        <w:rPr>
          <w:rFonts w:ascii="宋体" w:eastAsia="宋体" w:hAnsi="宋体" w:cs="宋体" w:hint="eastAsia"/>
          <w:b/>
          <w:bCs/>
          <w:kern w:val="0"/>
          <w:sz w:val="24"/>
          <w:szCs w:val="24"/>
        </w:rPr>
      </w:pPr>
    </w:p>
    <w:p w:rsidR="00F566B6" w:rsidRPr="00D34F59" w:rsidP="007F5B63" w14:paraId="64273299" w14:textId="01431839">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（自然人签署适用）</w:t>
      </w:r>
    </w:p>
    <w:p w:rsidR="003E0304" w:rsidRPr="00D34F59" w14:paraId="4F37CAF0" w14:textId="77777777">
      <w:pPr>
        <w:spacing w:line="312" w:lineRule="auto"/>
        <w:ind w:left="63" w:leftChars="30"/>
        <w:jc w:val="left"/>
        <w:rPr>
          <w:rFonts w:ascii="宋体" w:eastAsia="宋体" w:hAnsi="宋体" w:cs="宋体" w:hint="eastAsia"/>
          <w:b/>
          <w:bCs/>
          <w:kern w:val="0"/>
          <w:sz w:val="24"/>
          <w:szCs w:val="24"/>
        </w:rPr>
      </w:pPr>
      <w:r w:rsidRPr="00D34F59">
        <w:rPr>
          <w:rFonts w:ascii="宋体" w:eastAsia="宋体" w:hAnsi="宋体" w:cs="宋体" w:hint="eastAsia"/>
          <w:b/>
          <w:bCs/>
          <w:kern w:val="0"/>
          <w:sz w:val="24"/>
          <w:szCs w:val="24"/>
        </w:rPr>
        <w:t>投资者签字</w:t>
      </w:r>
      <w:r w:rsidRPr="00D34F59">
        <w:rPr>
          <w:rFonts w:ascii="宋体" w:eastAsia="宋体" w:hAnsi="宋体" w:cs="宋体"/>
          <w:b/>
          <w:bCs/>
          <w:kern w:val="0"/>
          <w:sz w:val="24"/>
          <w:szCs w:val="24"/>
        </w:rPr>
        <w:t xml:space="preserve">   ____________</w:t>
      </w:r>
    </w:p>
    <w:p w:rsidR="003E0304" w:rsidRPr="00D34F59" w14:paraId="2A712671" w14:textId="77777777">
      <w:pPr>
        <w:spacing w:line="312" w:lineRule="auto"/>
        <w:ind w:left="63" w:leftChars="30"/>
        <w:jc w:val="left"/>
        <w:rPr>
          <w:rFonts w:ascii="宋体" w:eastAsia="宋体" w:hAnsi="宋体" w:cs="宋体" w:hint="eastAsia"/>
          <w:b/>
          <w:bCs/>
          <w:kern w:val="0"/>
          <w:sz w:val="24"/>
          <w:szCs w:val="24"/>
        </w:rPr>
      </w:pPr>
    </w:p>
    <w:p w:rsidR="003E0304" w:rsidRPr="00D34F59" w14:paraId="51DC7AF1" w14:textId="5190E21C">
      <w:pPr>
        <w:spacing w:line="312" w:lineRule="auto"/>
        <w:ind w:left="63" w:leftChars="30"/>
        <w:jc w:val="left"/>
        <w:rPr>
          <w:rFonts w:ascii="宋体" w:eastAsia="宋体" w:hAnsi="宋体" w:cs="宋体" w:hint="eastAsia"/>
          <w:b/>
          <w:bCs/>
          <w:kern w:val="0"/>
          <w:sz w:val="24"/>
          <w:szCs w:val="24"/>
        </w:rPr>
      </w:pPr>
      <w:r w:rsidRPr="00D34F59">
        <w:rPr>
          <w:rFonts w:ascii="宋体" w:eastAsia="宋体" w:hAnsi="宋体" w:cs="宋体" w:hint="eastAsia"/>
          <w:b/>
          <w:bCs/>
          <w:kern w:val="0"/>
          <w:sz w:val="24"/>
          <w:szCs w:val="24"/>
        </w:rPr>
        <w:t>（</w:t>
      </w:r>
      <w:r w:rsidRPr="00D34F59">
        <w:rPr>
          <w:rFonts w:ascii="宋体" w:eastAsia="宋体" w:hAnsi="宋体" w:cs="宋体"/>
          <w:b/>
          <w:bCs/>
          <w:kern w:val="0"/>
          <w:sz w:val="24"/>
          <w:szCs w:val="24"/>
        </w:rPr>
        <w:t>机构投资者</w:t>
      </w:r>
      <w:r w:rsidR="00F566B6">
        <w:rPr>
          <w:rFonts w:ascii="宋体" w:eastAsia="宋体" w:hAnsi="宋体" w:cs="宋体" w:hint="eastAsia"/>
          <w:b/>
          <w:bCs/>
          <w:kern w:val="0"/>
          <w:sz w:val="24"/>
          <w:szCs w:val="24"/>
        </w:rPr>
        <w:t>签署适用</w:t>
      </w:r>
      <w:r w:rsidRPr="00D34F59">
        <w:rPr>
          <w:rFonts w:ascii="宋体" w:eastAsia="宋体" w:hAnsi="宋体" w:cs="宋体"/>
          <w:b/>
          <w:bCs/>
          <w:kern w:val="0"/>
          <w:sz w:val="24"/>
          <w:szCs w:val="24"/>
        </w:rPr>
        <w:t>）</w:t>
      </w:r>
    </w:p>
    <w:p w:rsidR="00F566B6" w:rsidRPr="004958A9" w:rsidP="00F566B6" w14:paraId="1F1E21CF" w14:textId="77777777">
      <w:pPr>
        <w:spacing w:line="312" w:lineRule="auto"/>
        <w:ind w:left="63" w:leftChars="30"/>
        <w:jc w:val="left"/>
        <w:rPr>
          <w:rFonts w:ascii="宋体" w:eastAsia="宋体" w:hAnsi="宋体" w:cs="宋体" w:hint="eastAsia"/>
          <w:b/>
          <w:bCs/>
          <w:kern w:val="0"/>
          <w:sz w:val="24"/>
          <w:szCs w:val="24"/>
        </w:rPr>
      </w:pPr>
      <w:r w:rsidRPr="004958A9">
        <w:rPr>
          <w:rFonts w:ascii="宋体" w:eastAsia="宋体" w:hAnsi="宋体" w:cs="宋体" w:hint="eastAsia"/>
          <w:b/>
          <w:bCs/>
          <w:kern w:val="0"/>
          <w:sz w:val="24"/>
          <w:szCs w:val="24"/>
        </w:rPr>
        <w:t>公章（或经公章授权的其他有效印鉴）：</w:t>
      </w:r>
    </w:p>
    <w:p w:rsidR="00F566B6" w:rsidP="00F566B6" w14:paraId="6203C4F5" w14:textId="77777777">
      <w:pPr>
        <w:spacing w:line="312" w:lineRule="auto"/>
        <w:ind w:left="63" w:leftChars="30"/>
        <w:jc w:val="left"/>
        <w:rPr>
          <w:rFonts w:ascii="宋体" w:eastAsia="宋体" w:hAnsi="宋体" w:cs="宋体" w:hint="eastAsia"/>
          <w:b/>
          <w:bCs/>
          <w:kern w:val="0"/>
          <w:sz w:val="24"/>
          <w:szCs w:val="24"/>
        </w:rPr>
      </w:pPr>
      <w:r w:rsidRPr="004958A9">
        <w:rPr>
          <w:rFonts w:ascii="宋体" w:eastAsia="宋体" w:hAnsi="宋体" w:cs="宋体" w:hint="eastAsia"/>
          <w:b/>
          <w:bCs/>
          <w:kern w:val="0"/>
          <w:sz w:val="24"/>
          <w:szCs w:val="24"/>
        </w:rPr>
        <w:t>法定代表人（负责人）或授权代理人签字/签章：</w:t>
      </w:r>
    </w:p>
    <w:p w:rsidR="003E0304" w14:paraId="12654ABE" w14:textId="77777777">
      <w:pPr>
        <w:spacing w:line="312" w:lineRule="auto"/>
        <w:ind w:left="63" w:leftChars="30"/>
        <w:jc w:val="left"/>
        <w:rPr>
          <w:rFonts w:ascii="宋体" w:eastAsia="宋体" w:hAnsi="宋体" w:cs="宋体" w:hint="eastAsia"/>
          <w:b/>
          <w:bCs/>
          <w:kern w:val="0"/>
          <w:sz w:val="24"/>
          <w:szCs w:val="24"/>
        </w:rPr>
      </w:pPr>
    </w:p>
    <w:p w:rsidR="00F566B6" w:rsidRPr="00F566B6" w14:paraId="61C37FC7" w14:textId="77777777">
      <w:pPr>
        <w:spacing w:line="312" w:lineRule="auto"/>
        <w:ind w:left="63" w:leftChars="30"/>
        <w:jc w:val="left"/>
        <w:rPr>
          <w:rFonts w:ascii="宋体" w:eastAsia="宋体" w:hAnsi="宋体" w:cs="宋体" w:hint="eastAsia"/>
          <w:b/>
          <w:bCs/>
          <w:kern w:val="0"/>
          <w:sz w:val="24"/>
          <w:szCs w:val="24"/>
        </w:rPr>
      </w:pPr>
    </w:p>
    <w:p w:rsidR="003E0304" w14:paraId="52F110AC" w14:textId="77777777">
      <w:pPr>
        <w:spacing w:line="312" w:lineRule="auto"/>
        <w:ind w:left="63" w:leftChars="30"/>
        <w:jc w:val="left"/>
        <w:rPr>
          <w:rFonts w:ascii="宋体" w:eastAsia="宋体" w:hAnsi="宋体" w:cs="Times New Roman" w:hint="eastAsia"/>
          <w:sz w:val="24"/>
          <w:szCs w:val="24"/>
        </w:rPr>
        <w:sectPr w:rsidSect="00A46607">
          <w:footerReference w:type="default" r:id="rId7"/>
          <w:pgSz w:w="11906" w:h="16838"/>
          <w:pgMar w:top="1440" w:right="1800" w:bottom="1440" w:left="1800" w:header="851" w:footer="992" w:gutter="0"/>
          <w:cols w:space="425"/>
          <w:docGrid w:type="lines" w:linePitch="312"/>
        </w:sectPr>
      </w:pPr>
      <w:r w:rsidRPr="00D34F59">
        <w:rPr>
          <w:rFonts w:ascii="宋体" w:eastAsia="宋体" w:hAnsi="宋体" w:cs="宋体" w:hint="eastAsia"/>
          <w:b/>
          <w:bCs/>
          <w:kern w:val="0"/>
          <w:sz w:val="24"/>
          <w:szCs w:val="24"/>
        </w:rPr>
        <w:t>日期</w:t>
      </w:r>
      <w:r w:rsidRPr="00D34F59">
        <w:rPr>
          <w:rFonts w:ascii="宋体" w:eastAsia="宋体" w:hAnsi="宋体" w:cs="宋体"/>
          <w:b/>
          <w:bCs/>
          <w:kern w:val="0"/>
          <w:sz w:val="24"/>
          <w:szCs w:val="24"/>
        </w:rPr>
        <w:t xml:space="preserve">         ____________</w:t>
      </w:r>
    </w:p>
    <w:p w:rsidR="00D41301" w14:paraId="77E82F14" w14:textId="77777777">
      <w:pPr>
        <w:spacing w:line="400" w:lineRule="exact"/>
        <w:jc w:val="center"/>
        <w:rPr>
          <w:rFonts w:ascii="黑体" w:eastAsia="黑体" w:hAnsi="黑体" w:cs="Times New Roman" w:hint="eastAsia"/>
          <w:b/>
          <w:color w:val="000000"/>
          <w:sz w:val="36"/>
          <w:szCs w:val="36"/>
        </w:rPr>
      </w:pPr>
      <w:r>
        <w:rPr>
          <w:rFonts w:ascii="黑体" w:eastAsia="黑体" w:hAnsi="黑体" w:cs="Times New Roman" w:hint="eastAsia"/>
          <w:b/>
          <w:color w:val="000000"/>
          <w:sz w:val="36"/>
          <w:szCs w:val="36"/>
        </w:rPr>
        <w:t>宁银理财有限责任公司产品投资者权益须知</w:t>
      </w:r>
    </w:p>
    <w:p w:rsidR="00D41301" w14:paraId="2162FAB8" w14:textId="3E360390">
      <w:pPr>
        <w:spacing w:line="400" w:lineRule="exact"/>
        <w:jc w:val="center"/>
        <w:rPr>
          <w:rFonts w:ascii="宋体" w:eastAsia="宋体" w:hAnsi="宋体" w:cs="Times New Roman" w:hint="eastAsia"/>
          <w:color w:val="000000"/>
          <w:sz w:val="28"/>
          <w:szCs w:val="28"/>
        </w:rPr>
      </w:pPr>
      <w:r>
        <w:rPr>
          <w:rFonts w:ascii="宋体" w:eastAsia="宋体" w:hAnsi="宋体" w:cs="Times New Roman" w:hint="eastAsia"/>
          <w:b/>
          <w:sz w:val="24"/>
          <w:szCs w:val="24"/>
        </w:rPr>
        <w:t>（</w:t>
      </w:r>
      <w:r w:rsidR="00F978AA">
        <w:rPr>
          <w:rFonts w:ascii="宋体" w:eastAsia="宋体" w:hAnsi="宋体" w:cs="Times New Roman"/>
          <w:b/>
          <w:sz w:val="24"/>
          <w:szCs w:val="24"/>
        </w:rPr>
        <w:t>202601</w:t>
      </w:r>
      <w:r>
        <w:rPr>
          <w:rFonts w:ascii="宋体" w:eastAsia="宋体" w:hAnsi="宋体" w:cs="Times New Roman" w:hint="eastAsia"/>
          <w:b/>
          <w:sz w:val="24"/>
          <w:szCs w:val="24"/>
        </w:rPr>
        <w:t>版）</w:t>
      </w:r>
    </w:p>
    <w:p w:rsidR="00D41301" w14:paraId="6D392069" w14:textId="77777777">
      <w:pPr>
        <w:spacing w:line="312" w:lineRule="auto"/>
        <w:rPr>
          <w:rFonts w:ascii="宋体" w:eastAsia="宋体" w:hAnsi="宋体" w:cs="Times New Roman" w:hint="eastAsia"/>
          <w:color w:val="000000"/>
          <w:sz w:val="24"/>
          <w:szCs w:val="24"/>
        </w:rPr>
      </w:pPr>
    </w:p>
    <w:p w:rsidR="00D41301" w14:paraId="439D457E" w14:textId="77777777">
      <w:pPr>
        <w:spacing w:line="312" w:lineRule="auto"/>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尊敬的投资者：</w:t>
      </w:r>
    </w:p>
    <w:p w:rsidR="00D41301" w14:paraId="037FDB9A" w14:textId="77777777">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购买宁银理财有限</w:t>
      </w:r>
      <w:r>
        <w:rPr>
          <w:rFonts w:ascii="宋体" w:eastAsia="宋体" w:hAnsi="宋体" w:cs="Times New Roman"/>
          <w:color w:val="000000"/>
          <w:sz w:val="24"/>
          <w:szCs w:val="24"/>
        </w:rPr>
        <w:t>责任公司（</w:t>
      </w:r>
      <w:r>
        <w:rPr>
          <w:rFonts w:ascii="宋体" w:eastAsia="宋体" w:hAnsi="宋体" w:cs="Times New Roman" w:hint="eastAsia"/>
          <w:color w:val="000000"/>
          <w:sz w:val="24"/>
          <w:szCs w:val="24"/>
        </w:rPr>
        <w:t>下称“宁银理财”或“本公司”</w:t>
      </w:r>
      <w:r>
        <w:rPr>
          <w:rFonts w:ascii="宋体" w:eastAsia="宋体" w:hAnsi="宋体" w:cs="Times New Roman"/>
          <w:color w:val="000000"/>
          <w:sz w:val="24"/>
          <w:szCs w:val="24"/>
        </w:rPr>
        <w:t>）</w:t>
      </w:r>
      <w:r>
        <w:rPr>
          <w:rFonts w:ascii="宋体" w:eastAsia="宋体" w:hAnsi="宋体" w:cs="Times New Roman" w:hint="eastAsia"/>
          <w:color w:val="000000"/>
          <w:sz w:val="24"/>
          <w:szCs w:val="24"/>
        </w:rPr>
        <w:t>发行的</w:t>
      </w:r>
      <w:r>
        <w:rPr>
          <w:rFonts w:ascii="宋体" w:eastAsia="宋体" w:hAnsi="宋体" w:cs="Times New Roman"/>
          <w:color w:val="000000"/>
          <w:sz w:val="24"/>
          <w:szCs w:val="24"/>
        </w:rPr>
        <w:t>理财</w:t>
      </w:r>
      <w:r>
        <w:rPr>
          <w:rFonts w:ascii="宋体" w:eastAsia="宋体" w:hAnsi="宋体" w:cs="Times New Roman" w:hint="eastAsia"/>
          <w:color w:val="000000"/>
          <w:sz w:val="24"/>
          <w:szCs w:val="24"/>
        </w:rPr>
        <w:t>产品，有机会获取投资收益，同时也存在一定投资风险，为了保护您的合法权益，请在购买之前认真阅读以下内容：</w:t>
      </w:r>
    </w:p>
    <w:p w:rsidR="00D41301" w14:paraId="5B185AD7" w14:textId="77777777">
      <w:pPr>
        <w:spacing w:line="312" w:lineRule="auto"/>
        <w:ind w:firstLine="480" w:firstLineChars="200"/>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一、理财产品办理流程</w:t>
      </w:r>
    </w:p>
    <w:p w:rsidR="00D41301" w14:paraId="5061D746" w14:textId="77777777">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投资者可通过宁银理财或代理销售机构的营业网点</w:t>
      </w:r>
      <w:r>
        <w:rPr>
          <w:rFonts w:ascii="宋体" w:eastAsia="宋体" w:hAnsi="宋体" w:cs="Times New Roman"/>
          <w:color w:val="000000"/>
          <w:sz w:val="24"/>
          <w:szCs w:val="24"/>
        </w:rPr>
        <w:t>、</w:t>
      </w:r>
      <w:r>
        <w:rPr>
          <w:rFonts w:ascii="宋体" w:eastAsia="宋体" w:hAnsi="宋体" w:cs="Times New Roman" w:hint="eastAsia"/>
          <w:color w:val="000000"/>
          <w:sz w:val="24"/>
          <w:szCs w:val="24"/>
        </w:rPr>
        <w:t>客服</w:t>
      </w:r>
      <w:r>
        <w:rPr>
          <w:rFonts w:ascii="宋体" w:eastAsia="宋体" w:hAnsi="宋体" w:cs="Times New Roman"/>
          <w:color w:val="000000"/>
          <w:sz w:val="24"/>
          <w:szCs w:val="24"/>
        </w:rPr>
        <w:t>电话</w:t>
      </w:r>
      <w:r>
        <w:rPr>
          <w:rFonts w:ascii="宋体" w:eastAsia="宋体" w:hAnsi="宋体" w:cs="Times New Roman" w:hint="eastAsia"/>
          <w:color w:val="000000"/>
          <w:sz w:val="24"/>
          <w:szCs w:val="24"/>
        </w:rPr>
        <w:t>、电子渠道</w:t>
      </w:r>
      <w:r>
        <w:rPr>
          <w:rFonts w:ascii="宋体" w:eastAsia="宋体" w:hAnsi="宋体" w:cs="Times New Roman"/>
          <w:color w:val="000000"/>
          <w:sz w:val="24"/>
          <w:szCs w:val="24"/>
        </w:rPr>
        <w:t>等</w:t>
      </w:r>
      <w:r>
        <w:rPr>
          <w:rFonts w:ascii="宋体" w:eastAsia="宋体" w:hAnsi="宋体" w:cs="Times New Roman" w:hint="eastAsia"/>
          <w:color w:val="000000"/>
          <w:sz w:val="24"/>
          <w:szCs w:val="24"/>
        </w:rPr>
        <w:t>途径</w:t>
      </w:r>
      <w:r>
        <w:rPr>
          <w:rFonts w:ascii="宋体" w:eastAsia="宋体" w:hAnsi="宋体" w:cs="Times New Roman"/>
          <w:color w:val="000000"/>
          <w:sz w:val="24"/>
          <w:szCs w:val="24"/>
        </w:rPr>
        <w:t>了解</w:t>
      </w:r>
      <w:r>
        <w:rPr>
          <w:rFonts w:ascii="宋体" w:eastAsia="宋体" w:hAnsi="宋体" w:cs="Times New Roman" w:hint="eastAsia"/>
          <w:color w:val="000000"/>
          <w:sz w:val="24"/>
          <w:szCs w:val="24"/>
        </w:rPr>
        <w:t>本公司理财产品购买方式、收费标准及方式等，通过《理财产品说明书》</w:t>
      </w:r>
      <w:r>
        <w:rPr>
          <w:rFonts w:ascii="宋体" w:eastAsia="宋体" w:hAnsi="宋体" w:cs="Times New Roman"/>
          <w:color w:val="000000"/>
          <w:sz w:val="24"/>
          <w:szCs w:val="24"/>
        </w:rPr>
        <w:t>了解产品要素</w:t>
      </w:r>
      <w:r>
        <w:rPr>
          <w:rFonts w:ascii="宋体" w:eastAsia="宋体" w:hAnsi="宋体" w:cs="Times New Roman" w:hint="eastAsia"/>
          <w:color w:val="000000"/>
          <w:sz w:val="24"/>
          <w:szCs w:val="24"/>
        </w:rPr>
        <w:t>。</w:t>
      </w:r>
    </w:p>
    <w:p w:rsidR="00D41301" w14:paraId="548C8B38" w14:textId="04241DAF">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投资者在宁银理财直销渠道购买理财产品时，需填写《宁银理财投资者风险承受能力评估书》，了解自身风险承受能力评估情况。</w:t>
      </w: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投资者在代理销售机构购买理财产品时，风险承受能力评估由代理销售机构负责，应按照代理销售机构的要求进行投资者风险承受能力评估。</w:t>
      </w:r>
    </w:p>
    <w:p w:rsidR="00D41301" w14:paraId="2EC5C7AD" w14:textId="77777777">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在</w:t>
      </w:r>
      <w:r>
        <w:rPr>
          <w:rFonts w:ascii="宋体" w:eastAsia="宋体" w:hAnsi="宋体" w:cs="Times New Roman"/>
          <w:color w:val="000000"/>
          <w:sz w:val="24"/>
          <w:szCs w:val="24"/>
        </w:rPr>
        <w:t>决定购买前，</w:t>
      </w:r>
      <w:r>
        <w:rPr>
          <w:rFonts w:ascii="宋体" w:eastAsia="宋体" w:hAnsi="宋体" w:cs="Times New Roman" w:hint="eastAsia"/>
          <w:color w:val="000000"/>
          <w:sz w:val="24"/>
          <w:szCs w:val="24"/>
        </w:rPr>
        <w:t>投资者</w:t>
      </w:r>
      <w:r>
        <w:rPr>
          <w:rFonts w:ascii="宋体" w:eastAsia="宋体" w:hAnsi="宋体" w:cs="Times New Roman"/>
          <w:color w:val="000000"/>
          <w:sz w:val="24"/>
          <w:szCs w:val="24"/>
        </w:rPr>
        <w:t>还需</w:t>
      </w:r>
      <w:r>
        <w:rPr>
          <w:rFonts w:ascii="宋体" w:eastAsia="宋体" w:hAnsi="宋体" w:cs="Times New Roman" w:hint="eastAsia"/>
          <w:color w:val="000000"/>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D41301" w14:paraId="7489F3A3" w14:textId="7BDF7F13">
      <w:pPr>
        <w:spacing w:line="312" w:lineRule="auto"/>
        <w:ind w:firstLine="480" w:firstLineChars="200"/>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二、</w:t>
      </w:r>
      <w:r w:rsidR="00813255">
        <w:rPr>
          <w:rFonts w:ascii="宋体" w:eastAsia="宋体" w:hAnsi="宋体" w:cs="Times New Roman" w:hint="eastAsia"/>
          <w:b/>
          <w:bCs/>
          <w:color w:val="000000"/>
          <w:sz w:val="24"/>
          <w:szCs w:val="24"/>
        </w:rPr>
        <w:t>普通</w:t>
      </w:r>
      <w:r>
        <w:rPr>
          <w:rFonts w:ascii="宋体" w:eastAsia="宋体" w:hAnsi="宋体" w:cs="Times New Roman" w:hint="eastAsia"/>
          <w:b/>
          <w:bCs/>
          <w:color w:val="000000"/>
          <w:sz w:val="24"/>
          <w:szCs w:val="24"/>
        </w:rPr>
        <w:t>投资者风险承受能力评估</w:t>
      </w:r>
    </w:p>
    <w:p w:rsidR="00D41301" w14:paraId="6B54B277" w14:textId="7418ED8E">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投资者在宁银理财或代理销售机构首次购买理财产品前，需进行风险承受能力评估。超过</w:t>
      </w:r>
      <w:r w:rsidR="00856D00">
        <w:rPr>
          <w:rFonts w:ascii="宋体" w:eastAsia="宋体" w:hAnsi="宋体" w:cs="Times New Roman"/>
          <w:color w:val="000000"/>
          <w:sz w:val="24"/>
          <w:szCs w:val="24"/>
        </w:rPr>
        <w:t>一年未进行风险承受能力</w:t>
      </w:r>
      <w:r w:rsidR="00856D00">
        <w:rPr>
          <w:rFonts w:ascii="宋体" w:eastAsia="宋体" w:hAnsi="宋体" w:cs="Times New Roman" w:hint="eastAsia"/>
          <w:color w:val="000000"/>
          <w:sz w:val="24"/>
          <w:szCs w:val="24"/>
        </w:rPr>
        <w:t>评估或</w:t>
      </w:r>
      <w:r w:rsidR="00856D00">
        <w:rPr>
          <w:rFonts w:ascii="宋体" w:eastAsia="宋体" w:hAnsi="宋体" w:cs="Times New Roman"/>
          <w:color w:val="000000"/>
          <w:sz w:val="24"/>
          <w:szCs w:val="24"/>
        </w:rPr>
        <w:t>发生可能影响自身风险承受能力情况的投资者，再次购买理财产品前，应当</w:t>
      </w:r>
      <w:r w:rsidR="00856D00">
        <w:rPr>
          <w:rFonts w:ascii="宋体" w:eastAsia="宋体" w:hAnsi="宋体" w:cs="Times New Roman" w:hint="eastAsia"/>
          <w:color w:val="000000"/>
          <w:sz w:val="24"/>
          <w:szCs w:val="24"/>
        </w:rPr>
        <w:t>在宁银理财或代理销售机构重新完成</w:t>
      </w:r>
      <w:r w:rsidR="00856D00">
        <w:rPr>
          <w:rFonts w:ascii="宋体" w:eastAsia="宋体" w:hAnsi="宋体" w:cs="Times New Roman"/>
          <w:color w:val="000000"/>
          <w:sz w:val="24"/>
          <w:szCs w:val="24"/>
        </w:rPr>
        <w:t>风险承受能力评估。</w:t>
      </w:r>
    </w:p>
    <w:p w:rsidR="00D41301" w14:paraId="2B4F81FB" w14:textId="6699931D">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对于</w:t>
      </w:r>
      <w:r>
        <w:rPr>
          <w:rFonts w:ascii="宋体" w:eastAsia="宋体" w:hAnsi="宋体" w:cs="Times New Roman"/>
          <w:color w:val="000000"/>
          <w:sz w:val="24"/>
          <w:szCs w:val="24"/>
        </w:rPr>
        <w:t>通过</w:t>
      </w:r>
      <w:r>
        <w:rPr>
          <w:rFonts w:ascii="宋体" w:eastAsia="宋体" w:hAnsi="宋体" w:cs="Times New Roman" w:hint="eastAsia"/>
          <w:color w:val="000000"/>
          <w:sz w:val="24"/>
          <w:szCs w:val="24"/>
        </w:rPr>
        <w:t>《宁银理财投资者风险承受能力评估书》进行</w:t>
      </w:r>
      <w:r>
        <w:rPr>
          <w:rFonts w:ascii="宋体" w:eastAsia="宋体" w:hAnsi="宋体" w:cs="Times New Roman"/>
          <w:color w:val="000000"/>
          <w:sz w:val="24"/>
          <w:szCs w:val="24"/>
        </w:rPr>
        <w:t>风险</w:t>
      </w:r>
      <w:r>
        <w:rPr>
          <w:rFonts w:ascii="宋体" w:eastAsia="宋体" w:hAnsi="宋体" w:cs="Times New Roman" w:hint="eastAsia"/>
          <w:color w:val="000000"/>
          <w:sz w:val="24"/>
          <w:szCs w:val="24"/>
        </w:rPr>
        <w:t>承受</w:t>
      </w:r>
      <w:r>
        <w:rPr>
          <w:rFonts w:ascii="宋体" w:eastAsia="宋体" w:hAnsi="宋体" w:cs="Times New Roman"/>
          <w:color w:val="000000"/>
          <w:sz w:val="24"/>
          <w:szCs w:val="24"/>
        </w:rPr>
        <w:t>能力评估的投资者，</w:t>
      </w:r>
      <w:r>
        <w:rPr>
          <w:rFonts w:ascii="宋体" w:eastAsia="宋体" w:hAnsi="宋体" w:cs="Times New Roman" w:hint="eastAsia"/>
          <w:color w:val="000000"/>
          <w:sz w:val="24"/>
          <w:szCs w:val="24"/>
        </w:rPr>
        <w:t>风险承受能力可分为5级，由低至高分别为保守型（可以</w:t>
      </w:r>
      <w:r>
        <w:rPr>
          <w:rFonts w:ascii="宋体" w:eastAsia="宋体" w:hAnsi="宋体" w:cs="Times New Roman" w:hint="eastAsia"/>
          <w:color w:val="000000"/>
          <w:sz w:val="24"/>
          <w:szCs w:val="24"/>
        </w:rPr>
        <w:t>承担低</w:t>
      </w:r>
      <w:r>
        <w:rPr>
          <w:rFonts w:ascii="宋体" w:eastAsia="宋体" w:hAnsi="宋体" w:cs="Times New Roman" w:hint="eastAsia"/>
          <w:color w:val="000000"/>
          <w:sz w:val="24"/>
          <w:szCs w:val="24"/>
        </w:rPr>
        <w:t>风险而作风谨慎类型的投资者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、稳健型（可以承担低至中低风险类型的投资者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、平衡型（可以承担中等风险类型的投资者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、成长型（可以承担中等至中高风险类型的投资者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、进取型（可以承受高风险类型的投资者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。投资者应购买与风险级别相匹配的理财产品，匹配</w:t>
      </w:r>
      <w:r>
        <w:rPr>
          <w:rFonts w:ascii="宋体" w:eastAsia="宋体" w:hAnsi="宋体" w:cs="Times New Roman"/>
          <w:color w:val="000000"/>
          <w:sz w:val="24"/>
          <w:szCs w:val="24"/>
        </w:rPr>
        <w:t>情况见下表：</w:t>
      </w:r>
    </w:p>
    <w:tbl>
      <w:tblPr>
        <w:tblStyle w:val="TableGrid0"/>
        <w:tblW w:w="8648" w:type="dxa"/>
        <w:tblInd w:w="-431" w:type="dxa"/>
        <w:tblLook w:val="04A0"/>
      </w:tblPr>
      <w:tblGrid>
        <w:gridCol w:w="1844"/>
        <w:gridCol w:w="4252"/>
        <w:gridCol w:w="2552"/>
      </w:tblGrid>
      <w:tr w14:paraId="6A89EC24" w14:textId="77777777">
        <w:tblPrEx>
          <w:tblW w:w="8648" w:type="dxa"/>
          <w:tblInd w:w="-431" w:type="dxa"/>
          <w:tblLook w:val="04A0"/>
        </w:tblPrEx>
        <w:tc>
          <w:tcPr>
            <w:tcW w:w="1844" w:type="dxa"/>
          </w:tcPr>
          <w:p w:rsidR="00D41301" w14:paraId="243A52AD"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产品风险等级</w:t>
            </w:r>
          </w:p>
        </w:tc>
        <w:tc>
          <w:tcPr>
            <w:tcW w:w="4252" w:type="dxa"/>
          </w:tcPr>
          <w:p w:rsidR="00D41301" w14:paraId="6C827E2D"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产品</w:t>
            </w:r>
            <w:r>
              <w:rPr>
                <w:rFonts w:ascii="宋体" w:eastAsia="宋体" w:hAnsi="宋体" w:cs="Times New Roman"/>
                <w:color w:val="000000"/>
                <w:szCs w:val="21"/>
              </w:rPr>
              <w:t>风险</w:t>
            </w:r>
            <w:r>
              <w:rPr>
                <w:rFonts w:ascii="宋体" w:eastAsia="宋体" w:hAnsi="宋体" w:cs="Times New Roman" w:hint="eastAsia"/>
                <w:color w:val="000000"/>
                <w:szCs w:val="21"/>
              </w:rPr>
              <w:t>评级说明</w:t>
            </w:r>
          </w:p>
        </w:tc>
        <w:tc>
          <w:tcPr>
            <w:tcW w:w="2552" w:type="dxa"/>
          </w:tcPr>
          <w:p w:rsidR="00D41301" w14:paraId="652F818D"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目标投资者</w:t>
            </w:r>
          </w:p>
        </w:tc>
      </w:tr>
      <w:tr w14:paraId="6F92C6BE" w14:textId="77777777">
        <w:tblPrEx>
          <w:tblW w:w="8648" w:type="dxa"/>
          <w:tblInd w:w="-431" w:type="dxa"/>
          <w:tblLook w:val="04A0"/>
        </w:tblPrEx>
        <w:tc>
          <w:tcPr>
            <w:tcW w:w="1844" w:type="dxa"/>
          </w:tcPr>
          <w:p w:rsidR="00D41301" w14:paraId="48350CD3"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低风险产品</w:t>
            </w:r>
          </w:p>
          <w:p w:rsidR="00D41301" w14:paraId="3639DC23"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PR1</w:t>
            </w:r>
            <w:r>
              <w:rPr>
                <w:rFonts w:ascii="宋体" w:eastAsia="宋体" w:hAnsi="宋体" w:cs="Times New Roman" w:hint="eastAsia"/>
                <w:color w:val="000000"/>
                <w:szCs w:val="21"/>
              </w:rPr>
              <w:t>）</w:t>
            </w:r>
          </w:p>
        </w:tc>
        <w:tc>
          <w:tcPr>
            <w:tcW w:w="4252" w:type="dxa"/>
          </w:tcPr>
          <w:p w:rsidR="00D41301" w14:paraId="64BEEA41"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理财产品的总体风险程度很低，宁银理财不承诺本金的完全保障，净值波动很小。宁银理财对于产品本金的正常兑付有较为充分的</w:t>
            </w:r>
            <w:r>
              <w:rPr>
                <w:rFonts w:ascii="宋体" w:eastAsia="宋体" w:hAnsi="宋体" w:cs="Times New Roman" w:hint="eastAsia"/>
                <w:color w:val="000000"/>
                <w:szCs w:val="21"/>
              </w:rPr>
              <w:t>把握。</w:t>
            </w:r>
          </w:p>
        </w:tc>
        <w:tc>
          <w:tcPr>
            <w:tcW w:w="2552" w:type="dxa"/>
          </w:tcPr>
          <w:p w:rsidR="00D41301" w14:paraId="0B2D9AA8" w14:textId="2CADB21A">
            <w:pPr>
              <w:spacing w:line="312" w:lineRule="auto"/>
              <w:rPr>
                <w:rFonts w:ascii="宋体" w:eastAsia="仿宋_GB2312" w:hAnsi="宋体" w:cs="仿宋_GB2312" w:hint="eastAsia"/>
                <w:color w:val="000000"/>
                <w:kern w:val="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投资者风险承受能力评估为保守型、稳健型、平衡型、成长</w:t>
            </w:r>
            <w:r>
              <w:rPr>
                <w:rFonts w:ascii="宋体" w:eastAsia="宋体" w:hAnsi="宋体" w:cs="Times New Roman" w:hint="eastAsia"/>
                <w:color w:val="000000"/>
                <w:szCs w:val="21"/>
              </w:rPr>
              <w:t>型、进取型的投资者</w:t>
            </w:r>
          </w:p>
        </w:tc>
      </w:tr>
      <w:tr w14:paraId="68C9ADA8" w14:textId="77777777">
        <w:tblPrEx>
          <w:tblW w:w="8648" w:type="dxa"/>
          <w:tblInd w:w="-431" w:type="dxa"/>
          <w:tblLook w:val="04A0"/>
        </w:tblPrEx>
        <w:tc>
          <w:tcPr>
            <w:tcW w:w="1844" w:type="dxa"/>
          </w:tcPr>
          <w:p w:rsidR="00D41301" w14:paraId="6CDF4B33"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中低风险产品（</w:t>
            </w:r>
            <w:r>
              <w:rPr>
                <w:rFonts w:ascii="宋体" w:eastAsia="宋体" w:hAnsi="宋体" w:cs="Times New Roman"/>
                <w:color w:val="000000"/>
                <w:szCs w:val="21"/>
              </w:rPr>
              <w:t>PR2</w:t>
            </w:r>
            <w:r>
              <w:rPr>
                <w:rFonts w:ascii="宋体" w:eastAsia="宋体" w:hAnsi="宋体" w:cs="Times New Roman" w:hint="eastAsia"/>
                <w:color w:val="000000"/>
                <w:szCs w:val="21"/>
              </w:rPr>
              <w:t>）</w:t>
            </w:r>
          </w:p>
        </w:tc>
        <w:tc>
          <w:tcPr>
            <w:tcW w:w="4252" w:type="dxa"/>
          </w:tcPr>
          <w:p w:rsidR="00D41301" w14:paraId="4D54DE2F"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理财产品的总体风险程度较低，宁银理财不承诺本金保障，净值波动较小。虽然存在一些可能对产品本金安全产生不利影响的因素，但产品本金出现损失的可能性较小。</w:t>
            </w:r>
            <w:r>
              <w:rPr>
                <w:rFonts w:ascii="宋体" w:eastAsia="宋体" w:hAnsi="宋体" w:cs="Times New Roman"/>
                <w:color w:val="000000"/>
                <w:szCs w:val="21"/>
              </w:rPr>
              <w:t xml:space="preserve"> </w:t>
            </w:r>
          </w:p>
        </w:tc>
        <w:tc>
          <w:tcPr>
            <w:tcW w:w="2552" w:type="dxa"/>
          </w:tcPr>
          <w:p w:rsidR="00D41301" w14:paraId="4BDC9840" w14:textId="1E965EDF">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w:t>
            </w:r>
            <w:r>
              <w:rPr>
                <w:rFonts w:ascii="宋体" w:eastAsia="宋体" w:hAnsi="宋体" w:cs="Times New Roman" w:hint="eastAsia"/>
                <w:color w:val="000000"/>
                <w:szCs w:val="21"/>
              </w:rPr>
              <w:t>为</w:t>
            </w:r>
            <w:r>
              <w:rPr>
                <w:rFonts w:ascii="宋体" w:eastAsia="宋体" w:hAnsi="宋体" w:cs="Times New Roman" w:hint="eastAsia"/>
                <w:color w:val="000000"/>
                <w:szCs w:val="21"/>
              </w:rPr>
              <w:t>稳健型、平衡型、成长型、进取型的投资者</w:t>
            </w:r>
          </w:p>
        </w:tc>
      </w:tr>
      <w:tr w14:paraId="7D3A5496" w14:textId="77777777">
        <w:tblPrEx>
          <w:tblW w:w="8648" w:type="dxa"/>
          <w:tblInd w:w="-431" w:type="dxa"/>
          <w:tblLook w:val="04A0"/>
        </w:tblPrEx>
        <w:tc>
          <w:tcPr>
            <w:tcW w:w="1844" w:type="dxa"/>
          </w:tcPr>
          <w:p w:rsidR="00D41301" w14:paraId="1C180124"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中风险产品</w:t>
            </w:r>
          </w:p>
          <w:p w:rsidR="00D41301" w14:paraId="5FF08643"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PR3</w:t>
            </w:r>
            <w:r>
              <w:rPr>
                <w:rFonts w:ascii="宋体" w:eastAsia="宋体" w:hAnsi="宋体" w:cs="Times New Roman" w:hint="eastAsia"/>
                <w:color w:val="000000"/>
                <w:szCs w:val="21"/>
              </w:rPr>
              <w:t>）</w:t>
            </w:r>
          </w:p>
        </w:tc>
        <w:tc>
          <w:tcPr>
            <w:tcW w:w="4252" w:type="dxa"/>
          </w:tcPr>
          <w:p w:rsidR="00D41301" w14:paraId="295B9D6B"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理财产品的总体风险程度适中，宁银理财不承诺本金保障，净值随投资的市场表现波动较明显，产品本金出现损失的可能性不容忽视。</w:t>
            </w:r>
            <w:r>
              <w:rPr>
                <w:rFonts w:ascii="宋体" w:eastAsia="宋体" w:hAnsi="宋体" w:cs="Times New Roman"/>
                <w:color w:val="000000"/>
                <w:szCs w:val="21"/>
              </w:rPr>
              <w:t xml:space="preserve"> </w:t>
            </w:r>
          </w:p>
        </w:tc>
        <w:tc>
          <w:tcPr>
            <w:tcW w:w="2552" w:type="dxa"/>
          </w:tcPr>
          <w:p w:rsidR="00D41301" w14:paraId="3AB2ECFC" w14:textId="5E0DC35C">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投资者风险承受能力评估为平衡型、成长型、进取型的投资者</w:t>
            </w:r>
          </w:p>
        </w:tc>
      </w:tr>
      <w:tr w14:paraId="312519B0" w14:textId="77777777">
        <w:tblPrEx>
          <w:tblW w:w="8648" w:type="dxa"/>
          <w:tblInd w:w="-431" w:type="dxa"/>
          <w:tblLook w:val="04A0"/>
        </w:tblPrEx>
        <w:tc>
          <w:tcPr>
            <w:tcW w:w="1844" w:type="dxa"/>
          </w:tcPr>
          <w:p w:rsidR="00D41301" w14:paraId="41CC04EA"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中</w:t>
            </w:r>
            <w:r>
              <w:rPr>
                <w:rFonts w:ascii="宋体" w:eastAsia="宋体" w:hAnsi="宋体" w:cs="Times New Roman"/>
                <w:color w:val="000000"/>
                <w:szCs w:val="21"/>
              </w:rPr>
              <w:t>高</w:t>
            </w:r>
            <w:r>
              <w:rPr>
                <w:rFonts w:ascii="宋体" w:eastAsia="宋体" w:hAnsi="宋体" w:cs="Times New Roman" w:hint="eastAsia"/>
                <w:color w:val="000000"/>
                <w:szCs w:val="21"/>
              </w:rPr>
              <w:t>风险产品（</w:t>
            </w:r>
            <w:r>
              <w:rPr>
                <w:rFonts w:ascii="宋体" w:eastAsia="宋体" w:hAnsi="宋体" w:cs="Times New Roman"/>
                <w:color w:val="000000"/>
                <w:szCs w:val="21"/>
              </w:rPr>
              <w:t>PR4</w:t>
            </w:r>
            <w:r>
              <w:rPr>
                <w:rFonts w:ascii="宋体" w:eastAsia="宋体" w:hAnsi="宋体" w:cs="Times New Roman" w:hint="eastAsia"/>
                <w:color w:val="000000"/>
                <w:szCs w:val="21"/>
              </w:rPr>
              <w:t>）</w:t>
            </w:r>
          </w:p>
        </w:tc>
        <w:tc>
          <w:tcPr>
            <w:tcW w:w="4252" w:type="dxa"/>
          </w:tcPr>
          <w:p w:rsidR="00D41301" w14:paraId="4AE559C0"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理财产品的总体风险程度较高，宁银理财不承诺本金保障，净值随投资的市场表现波动明显，产品本金出现损失的可能性较高。</w:t>
            </w:r>
            <w:r>
              <w:rPr>
                <w:rFonts w:ascii="宋体" w:eastAsia="宋体" w:hAnsi="宋体" w:cs="Times New Roman"/>
                <w:color w:val="000000"/>
                <w:szCs w:val="21"/>
              </w:rPr>
              <w:t xml:space="preserve"> </w:t>
            </w:r>
          </w:p>
        </w:tc>
        <w:tc>
          <w:tcPr>
            <w:tcW w:w="2552" w:type="dxa"/>
          </w:tcPr>
          <w:p w:rsidR="00D41301" w14:paraId="5BB1054C" w14:textId="7674BE41">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投资者风险承受能力评估为成长型、进取型的投资者</w:t>
            </w:r>
          </w:p>
        </w:tc>
      </w:tr>
      <w:tr w14:paraId="72A54745" w14:textId="77777777">
        <w:tblPrEx>
          <w:tblW w:w="8648" w:type="dxa"/>
          <w:tblInd w:w="-431" w:type="dxa"/>
          <w:tblLook w:val="04A0"/>
        </w:tblPrEx>
        <w:tc>
          <w:tcPr>
            <w:tcW w:w="1844" w:type="dxa"/>
          </w:tcPr>
          <w:p w:rsidR="00D41301" w14:paraId="7757500C"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高风险产品</w:t>
            </w:r>
          </w:p>
          <w:p w:rsidR="00D41301" w14:paraId="6BA6D7C4"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PR5</w:t>
            </w:r>
            <w:r>
              <w:rPr>
                <w:rFonts w:ascii="宋体" w:eastAsia="宋体" w:hAnsi="宋体" w:cs="Times New Roman" w:hint="eastAsia"/>
                <w:color w:val="000000"/>
                <w:szCs w:val="21"/>
              </w:rPr>
              <w:t>）</w:t>
            </w:r>
          </w:p>
        </w:tc>
        <w:tc>
          <w:tcPr>
            <w:tcW w:w="4252" w:type="dxa"/>
          </w:tcPr>
          <w:p w:rsidR="00D41301" w14:paraId="7AB05A55" w14:textId="77777777">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理财产品的总体风险程度高，宁银理财不承诺本金保障，净值随投资的市场表现波动明显，产品本金出现损失的可能性很高，产品本金蒙受全部损失的可能性不容忽视。</w:t>
            </w:r>
            <w:r>
              <w:rPr>
                <w:rFonts w:ascii="宋体" w:eastAsia="宋体" w:hAnsi="宋体" w:cs="Times New Roman"/>
                <w:color w:val="000000"/>
                <w:szCs w:val="21"/>
              </w:rPr>
              <w:t xml:space="preserve"> </w:t>
            </w:r>
          </w:p>
        </w:tc>
        <w:tc>
          <w:tcPr>
            <w:tcW w:w="2552" w:type="dxa"/>
          </w:tcPr>
          <w:p w:rsidR="00D41301" w14:paraId="5A8670E1" w14:textId="66D6FE0B">
            <w:pPr>
              <w:spacing w:line="312" w:lineRule="auto"/>
              <w:rPr>
                <w:rFonts w:ascii="宋体" w:eastAsia="宋体" w:hAnsi="宋体" w:cs="Times New Roman" w:hint="eastAsia"/>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投资者风险承受能力评估为进取型的投资者</w:t>
            </w:r>
          </w:p>
        </w:tc>
      </w:tr>
    </w:tbl>
    <w:p w:rsidR="00D41301" w14:paraId="49AC129C" w14:textId="77777777">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对于</w:t>
      </w:r>
      <w:r>
        <w:rPr>
          <w:rFonts w:ascii="宋体" w:eastAsia="宋体" w:hAnsi="宋体" w:cs="Times New Roman"/>
          <w:color w:val="000000"/>
          <w:sz w:val="24"/>
          <w:szCs w:val="24"/>
        </w:rPr>
        <w:t>通过</w:t>
      </w:r>
      <w:r>
        <w:rPr>
          <w:rFonts w:ascii="宋体" w:eastAsia="宋体" w:hAnsi="宋体" w:cs="Times New Roman" w:hint="eastAsia"/>
          <w:sz w:val="24"/>
          <w:szCs w:val="24"/>
        </w:rPr>
        <w:t>代理销售</w:t>
      </w:r>
      <w:r>
        <w:rPr>
          <w:rFonts w:ascii="宋体" w:eastAsia="宋体" w:hAnsi="宋体" w:cs="Times New Roman" w:hint="eastAsia"/>
          <w:color w:val="000000"/>
          <w:sz w:val="24"/>
          <w:szCs w:val="24"/>
        </w:rPr>
        <w:t>机构进行</w:t>
      </w:r>
      <w:r>
        <w:rPr>
          <w:rFonts w:ascii="宋体" w:eastAsia="宋体" w:hAnsi="宋体" w:cs="Times New Roman"/>
          <w:color w:val="000000"/>
          <w:sz w:val="24"/>
          <w:szCs w:val="24"/>
        </w:rPr>
        <w:t>风险</w:t>
      </w:r>
      <w:r>
        <w:rPr>
          <w:rFonts w:ascii="宋体" w:eastAsia="宋体" w:hAnsi="宋体" w:cs="Times New Roman" w:hint="eastAsia"/>
          <w:color w:val="000000"/>
          <w:sz w:val="24"/>
          <w:szCs w:val="24"/>
        </w:rPr>
        <w:t>承受能力</w:t>
      </w:r>
      <w:r>
        <w:rPr>
          <w:rFonts w:ascii="宋体" w:eastAsia="宋体" w:hAnsi="宋体" w:cs="Times New Roman"/>
          <w:color w:val="000000"/>
          <w:sz w:val="24"/>
          <w:szCs w:val="24"/>
        </w:rPr>
        <w:t>评估的投资者，</w:t>
      </w:r>
      <w:r>
        <w:rPr>
          <w:rFonts w:ascii="宋体" w:eastAsia="宋体" w:hAnsi="宋体" w:cs="Times New Roman" w:hint="eastAsia"/>
          <w:sz w:val="24"/>
          <w:szCs w:val="24"/>
        </w:rPr>
        <w:t>风险承受能力等级以代理销售机构的评估结果为准</w:t>
      </w:r>
      <w:r>
        <w:rPr>
          <w:rFonts w:ascii="宋体" w:eastAsia="宋体" w:hAnsi="宋体" w:cs="Times New Roman"/>
          <w:color w:val="000000"/>
          <w:sz w:val="24"/>
          <w:szCs w:val="24"/>
        </w:rPr>
        <w:t>。</w:t>
      </w:r>
    </w:p>
    <w:p w:rsidR="00D41301" w14:paraId="6952BDEA" w14:textId="77777777">
      <w:pPr>
        <w:spacing w:line="312" w:lineRule="auto"/>
        <w:ind w:firstLine="480" w:firstLineChars="200"/>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三、信息披露</w:t>
      </w:r>
    </w:p>
    <w:p w:rsidR="00D41301" w14:paraId="264CB2A5" w14:textId="23EFF892">
      <w:pPr>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宁银理财</w:t>
      </w:r>
      <w:r>
        <w:rPr>
          <w:rFonts w:ascii="宋体" w:eastAsia="宋体" w:hAnsi="宋体" w:cs="Times New Roman" w:hint="eastAsia"/>
          <w:color w:val="000000"/>
          <w:sz w:val="24"/>
          <w:szCs w:val="24"/>
        </w:rPr>
        <w:t>将于理财产品募集期间、存续期间和终止时，通过本公司网站（</w:t>
      </w:r>
      <w:r w:rsidRPr="005F4715" w:rsidR="00E72B45">
        <w:rPr>
          <w:rFonts w:ascii="宋体" w:eastAsia="宋体" w:hAnsi="宋体" w:cs="Times New Roman"/>
          <w:color w:val="000000"/>
          <w:sz w:val="24"/>
          <w:szCs w:val="24"/>
        </w:rPr>
        <w:t>www.wmbnb.com</w:t>
      </w:r>
      <w:r>
        <w:rPr>
          <w:rFonts w:ascii="宋体" w:eastAsia="宋体" w:hAnsi="宋体" w:cs="Times New Roman" w:hint="eastAsia"/>
          <w:color w:val="000000"/>
          <w:sz w:val="24"/>
          <w:szCs w:val="24"/>
        </w:rPr>
        <w:t>）、相关产品代理销售机构官方渠道或其他适当的方式进行信息披露（具体产品</w:t>
      </w:r>
      <w:r>
        <w:rPr>
          <w:rFonts w:ascii="宋体" w:eastAsia="宋体" w:hAnsi="宋体" w:cs="Times New Roman"/>
          <w:color w:val="000000"/>
          <w:sz w:val="24"/>
          <w:szCs w:val="24"/>
        </w:rPr>
        <w:t>的</w:t>
      </w:r>
      <w:r>
        <w:rPr>
          <w:rFonts w:ascii="宋体" w:eastAsia="宋体" w:hAnsi="宋体" w:cs="Times New Roman" w:hint="eastAsia"/>
          <w:color w:val="000000"/>
          <w:sz w:val="24"/>
          <w:szCs w:val="24"/>
        </w:rPr>
        <w:t>信息披露方式、频率等</w:t>
      </w:r>
      <w:r>
        <w:rPr>
          <w:rFonts w:ascii="宋体" w:eastAsia="宋体" w:hAnsi="宋体" w:cs="Times New Roman" w:hint="eastAsia"/>
          <w:color w:val="000000"/>
          <w:sz w:val="24"/>
          <w:szCs w:val="24"/>
        </w:rPr>
        <w:t>规则见</w:t>
      </w:r>
      <w:r>
        <w:rPr>
          <w:rFonts w:ascii="宋体" w:eastAsia="宋体" w:hAnsi="宋体" w:cs="Times New Roman" w:hint="eastAsia"/>
          <w:sz w:val="24"/>
          <w:szCs w:val="24"/>
        </w:rPr>
        <w:t>《理财产品说明书》</w:t>
      </w:r>
      <w:r>
        <w:rPr>
          <w:rFonts w:ascii="宋体" w:eastAsia="宋体" w:hAnsi="宋体" w:cs="Times New Roman" w:hint="eastAsia"/>
          <w:color w:val="000000"/>
          <w:sz w:val="24"/>
          <w:szCs w:val="24"/>
        </w:rPr>
        <w:t>）。</w:t>
      </w:r>
      <w:r>
        <w:rPr>
          <w:rFonts w:ascii="宋体" w:eastAsia="宋体" w:hAnsi="宋体" w:cs="Times New Roman" w:hint="eastAsia"/>
          <w:b/>
          <w:bCs/>
          <w:color w:val="000000"/>
          <w:sz w:val="24"/>
          <w:szCs w:val="24"/>
        </w:rPr>
        <w:t>宁银理财或代理销售机构通过理财产品销售文件约定方式披露信息后，视为宁银理财已向投资者完全履行信息披露义务，投资者应依据理财产品销售文件的约定，及时通过宁银理财网站、客服热线或相关产品代理销售机构官方渠道进行查询。</w:t>
      </w:r>
    </w:p>
    <w:p w:rsidR="00D41301" w14:paraId="676E2859" w14:textId="77777777">
      <w:pPr>
        <w:spacing w:line="312" w:lineRule="auto"/>
        <w:ind w:firstLine="480" w:firstLineChars="200"/>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四、投资者信息管理</w:t>
      </w:r>
    </w:p>
    <w:p w:rsidR="00D41301" w14:paraId="080ED852" w14:textId="1BBA2E93">
      <w:pPr>
        <w:spacing w:line="360" w:lineRule="auto"/>
        <w:ind w:firstLine="480" w:firstLineChars="200"/>
        <w:rPr>
          <w:rFonts w:ascii="宋体" w:eastAsia="宋体" w:hAnsi="宋体" w:cs="Times New Roman" w:hint="eastAsia"/>
          <w:sz w:val="24"/>
          <w:szCs w:val="24"/>
        </w:rPr>
      </w:pPr>
      <w:r>
        <w:rPr>
          <w:rFonts w:ascii="宋体" w:eastAsia="宋体" w:hAnsi="宋体" w:cs="Times New Roman"/>
          <w:b/>
          <w:sz w:val="24"/>
          <w:szCs w:val="24"/>
        </w:rPr>
        <w:t>基于</w:t>
      </w:r>
      <w:r>
        <w:rPr>
          <w:rFonts w:ascii="宋体" w:eastAsia="宋体" w:hAnsi="宋体" w:cs="Times New Roman" w:hint="eastAsia"/>
          <w:b/>
          <w:color w:val="000000"/>
          <w:sz w:val="24"/>
          <w:szCs w:val="24"/>
        </w:rPr>
        <w:t>宁银理财</w:t>
      </w:r>
      <w:r>
        <w:rPr>
          <w:rFonts w:ascii="宋体" w:eastAsia="宋体" w:hAnsi="宋体" w:cs="Times New Roman"/>
          <w:b/>
          <w:sz w:val="24"/>
          <w:szCs w:val="24"/>
        </w:rPr>
        <w:t>履行</w:t>
      </w:r>
      <w:r>
        <w:rPr>
          <w:rFonts w:ascii="宋体" w:eastAsia="宋体" w:hAnsi="宋体" w:cs="Times New Roman" w:hint="eastAsia"/>
          <w:b/>
          <w:sz w:val="24"/>
          <w:szCs w:val="24"/>
        </w:rPr>
        <w:t>理财产品销售文件所载明的各项义务</w:t>
      </w:r>
      <w:r>
        <w:rPr>
          <w:rFonts w:ascii="宋体" w:eastAsia="宋体" w:hAnsi="宋体" w:cs="Times New Roman"/>
          <w:b/>
          <w:sz w:val="24"/>
          <w:szCs w:val="24"/>
        </w:rPr>
        <w:t>、进行服务管理和风险管理、报送监管信息</w:t>
      </w:r>
      <w:r>
        <w:rPr>
          <w:rFonts w:ascii="宋体" w:eastAsia="宋体" w:hAnsi="宋体" w:cs="Times New Roman" w:hint="eastAsia"/>
          <w:b/>
          <w:sz w:val="24"/>
          <w:szCs w:val="24"/>
        </w:rPr>
        <w:t>、</w:t>
      </w:r>
      <w:r>
        <w:rPr>
          <w:rFonts w:ascii="宋体" w:eastAsia="宋体" w:hAnsi="宋体" w:cs="Times New Roman"/>
          <w:b/>
          <w:sz w:val="24"/>
          <w:szCs w:val="24"/>
        </w:rPr>
        <w:t>履行反洗钱、</w:t>
      </w:r>
      <w:r>
        <w:rPr>
          <w:rFonts w:ascii="宋体" w:eastAsia="宋体" w:hAnsi="宋体" w:cs="Times New Roman" w:hint="eastAsia"/>
          <w:b/>
          <w:sz w:val="24"/>
          <w:szCs w:val="24"/>
        </w:rPr>
        <w:t>反恐怖融资、非居民金融账户涉税信息尽职调查、</w:t>
      </w:r>
      <w:r>
        <w:rPr>
          <w:rFonts w:ascii="宋体" w:eastAsia="宋体" w:hAnsi="宋体" w:cs="Times New Roman"/>
          <w:b/>
          <w:sz w:val="24"/>
          <w:szCs w:val="24"/>
        </w:rPr>
        <w:t>投资者资质审核和销售适当性等法律法规和监管要求的义务</w:t>
      </w:r>
      <w:r>
        <w:rPr>
          <w:rFonts w:ascii="宋体" w:eastAsia="宋体" w:hAnsi="宋体" w:cs="Times New Roman" w:hint="eastAsia"/>
          <w:b/>
          <w:sz w:val="24"/>
          <w:szCs w:val="24"/>
        </w:rPr>
        <w:t>的</w:t>
      </w:r>
      <w:r>
        <w:rPr>
          <w:rFonts w:ascii="宋体" w:eastAsia="宋体" w:hAnsi="宋体" w:cs="Times New Roman"/>
          <w:b/>
          <w:sz w:val="24"/>
          <w:szCs w:val="24"/>
        </w:rPr>
        <w:t>需要，</w:t>
      </w:r>
      <w:r>
        <w:rPr>
          <w:rFonts w:ascii="宋体" w:eastAsia="宋体" w:hAnsi="宋体" w:cs="Times New Roman" w:hint="eastAsia"/>
          <w:b/>
          <w:sz w:val="24"/>
          <w:szCs w:val="24"/>
        </w:rPr>
        <w:t>您授权</w:t>
      </w:r>
      <w:r>
        <w:rPr>
          <w:rFonts w:ascii="宋体" w:eastAsia="宋体" w:hAnsi="宋体" w:cs="Times New Roman" w:hint="eastAsia"/>
          <w:b/>
          <w:color w:val="000000"/>
          <w:sz w:val="24"/>
          <w:szCs w:val="24"/>
        </w:rPr>
        <w:t>宁银理财</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直接或通过代理销售机构间接获取并报送、处理投资者</w:t>
      </w:r>
      <w:r w:rsidR="00152C4E">
        <w:rPr>
          <w:rFonts w:ascii="宋体" w:eastAsia="宋体" w:hAnsi="宋体" w:cs="Times New Roman" w:hint="eastAsia"/>
          <w:b/>
          <w:sz w:val="24"/>
          <w:szCs w:val="24"/>
        </w:rPr>
        <w:t>或投资者相关人员的</w:t>
      </w:r>
      <w:r>
        <w:rPr>
          <w:rFonts w:ascii="宋体" w:eastAsia="宋体" w:hAnsi="宋体" w:cs="Times New Roman" w:hint="eastAsia"/>
          <w:b/>
          <w:sz w:val="24"/>
          <w:szCs w:val="24"/>
        </w:rPr>
        <w:t>个人信息，</w:t>
      </w:r>
      <w:r>
        <w:rPr>
          <w:rFonts w:ascii="宋体" w:eastAsia="宋体" w:hAnsi="宋体" w:cs="Times New Roman" w:hint="eastAsia"/>
          <w:b/>
          <w:bCs/>
          <w:color w:val="000000" w:themeColor="text1"/>
          <w:sz w:val="24"/>
          <w:szCs w:val="24"/>
        </w:rPr>
        <w:t>处理方式为收集、存储、使用、加工、传输、提供等，个人信息包括姓名、性别、国籍或地区、职业、联系方式、地址、身份证件信息等</w:t>
      </w:r>
      <w:r>
        <w:rPr>
          <w:rFonts w:ascii="宋体" w:eastAsia="宋体" w:hAnsi="宋体" w:cs="Times New Roman" w:hint="eastAsia"/>
          <w:b/>
          <w:sz w:val="24"/>
          <w:szCs w:val="24"/>
        </w:rPr>
        <w:t>身份信息，</w:t>
      </w:r>
      <w:r>
        <w:rPr>
          <w:rFonts w:ascii="宋体" w:eastAsia="宋体" w:hAnsi="宋体" w:cs="Times New Roman" w:hint="eastAsia"/>
          <w:b/>
          <w:bCs/>
          <w:color w:val="000000" w:themeColor="text1"/>
          <w:sz w:val="24"/>
          <w:szCs w:val="24"/>
        </w:rPr>
        <w:t>理财账户、银行账户等</w:t>
      </w:r>
      <w:r>
        <w:rPr>
          <w:rFonts w:ascii="宋体" w:eastAsia="宋体" w:hAnsi="宋体" w:cs="Times New Roman" w:hint="eastAsia"/>
          <w:b/>
          <w:sz w:val="24"/>
          <w:szCs w:val="24"/>
        </w:rPr>
        <w:t>账户信息，</w:t>
      </w:r>
      <w:r>
        <w:rPr>
          <w:rFonts w:ascii="宋体" w:eastAsia="宋体" w:hAnsi="宋体" w:cs="Times New Roman" w:hint="eastAsia"/>
          <w:b/>
          <w:bCs/>
          <w:color w:val="000000" w:themeColor="text1"/>
          <w:sz w:val="24"/>
          <w:szCs w:val="24"/>
        </w:rPr>
        <w:t>风险承受能</w:t>
      </w:r>
      <w:r>
        <w:rPr>
          <w:rFonts w:ascii="宋体" w:eastAsia="宋体" w:hAnsi="宋体" w:cs="Times New Roman" w:hint="eastAsia"/>
          <w:b/>
          <w:bCs/>
          <w:color w:val="000000" w:themeColor="text1"/>
          <w:sz w:val="24"/>
          <w:szCs w:val="24"/>
        </w:rPr>
        <w:t>力等级、理财产品交易时间等金融交易信息，</w:t>
      </w:r>
      <w:r>
        <w:rPr>
          <w:rFonts w:ascii="宋体" w:eastAsia="宋体" w:hAnsi="宋体" w:cs="Times New Roman" w:hint="eastAsia"/>
          <w:b/>
          <w:sz w:val="24"/>
          <w:szCs w:val="24"/>
        </w:rPr>
        <w:t>持有理财产品信息等财产信息</w:t>
      </w:r>
      <w:r>
        <w:rPr>
          <w:rFonts w:ascii="宋体" w:eastAsia="宋体" w:hAnsi="宋体" w:cs="Times New Roman" w:hint="eastAsia"/>
          <w:b/>
          <w:bCs/>
          <w:color w:val="000000" w:themeColor="text1"/>
          <w:sz w:val="24"/>
          <w:szCs w:val="24"/>
        </w:rPr>
        <w:t>，及法律法规、监管要求或行业自律准则规定的其他信息</w:t>
      </w:r>
      <w:r>
        <w:rPr>
          <w:rFonts w:ascii="宋体" w:eastAsia="宋体" w:hAnsi="宋体" w:cs="Times New Roman" w:hint="eastAsia"/>
          <w:b/>
          <w:sz w:val="24"/>
          <w:szCs w:val="24"/>
        </w:rPr>
        <w:t>；在宁银理财履行相关法律法规、监管规定的义务及有权机关要求的情况下，授权宁银理财向银行业理财登记托管中心、监管机构及其他有权机关报送或提供上述信息；</w:t>
      </w:r>
      <w:r>
        <w:rPr>
          <w:rFonts w:ascii="宋体" w:eastAsia="宋体" w:hAnsi="宋体" w:cs="Times New Roman"/>
          <w:b/>
          <w:sz w:val="24"/>
          <w:szCs w:val="24"/>
        </w:rPr>
        <w:t>在</w:t>
      </w:r>
      <w:r>
        <w:rPr>
          <w:rFonts w:ascii="宋体" w:eastAsia="宋体" w:hAnsi="宋体" w:cs="Times New Roman" w:hint="eastAsia"/>
          <w:b/>
          <w:color w:val="000000"/>
          <w:sz w:val="24"/>
          <w:szCs w:val="24"/>
        </w:rPr>
        <w:t>宁银理财</w:t>
      </w:r>
      <w:r>
        <w:rPr>
          <w:rFonts w:ascii="宋体" w:eastAsia="宋体" w:hAnsi="宋体" w:cs="Times New Roman"/>
          <w:b/>
          <w:sz w:val="24"/>
          <w:szCs w:val="24"/>
        </w:rPr>
        <w:t>办理本协议项下相关事项所必需的情形下，</w:t>
      </w:r>
      <w:r>
        <w:rPr>
          <w:rFonts w:ascii="宋体" w:eastAsia="宋体" w:hAnsi="宋体" w:cs="Times New Roman" w:hint="eastAsia"/>
          <w:b/>
          <w:sz w:val="24"/>
          <w:szCs w:val="24"/>
        </w:rPr>
        <w:t>授权宁银理财</w:t>
      </w:r>
      <w:r>
        <w:rPr>
          <w:rFonts w:ascii="宋体" w:eastAsia="宋体" w:hAnsi="宋体" w:cs="Times New Roman"/>
          <w:b/>
          <w:sz w:val="24"/>
          <w:szCs w:val="24"/>
        </w:rPr>
        <w:t>向</w:t>
      </w:r>
      <w:r>
        <w:rPr>
          <w:rFonts w:ascii="宋体" w:eastAsia="宋体" w:hAnsi="宋体" w:cs="Times New Roman" w:hint="eastAsia"/>
          <w:b/>
          <w:color w:val="000000"/>
          <w:sz w:val="24"/>
          <w:szCs w:val="24"/>
        </w:rPr>
        <w:t>宁银理财</w:t>
      </w:r>
      <w:r>
        <w:rPr>
          <w:rFonts w:ascii="宋体" w:eastAsia="宋体" w:hAnsi="宋体" w:cs="Times New Roman"/>
          <w:b/>
          <w:sz w:val="24"/>
          <w:szCs w:val="24"/>
        </w:rPr>
        <w:t>集团成员、服务机构及其他</w:t>
      </w:r>
      <w:r>
        <w:rPr>
          <w:rFonts w:ascii="宋体" w:eastAsia="宋体" w:hAnsi="宋体" w:cs="Times New Roman" w:hint="eastAsia"/>
          <w:b/>
          <w:color w:val="000000"/>
          <w:sz w:val="24"/>
          <w:szCs w:val="24"/>
        </w:rPr>
        <w:t>宁银理财</w:t>
      </w:r>
      <w:r>
        <w:rPr>
          <w:rFonts w:ascii="宋体" w:eastAsia="宋体" w:hAnsi="宋体" w:cs="Times New Roman"/>
          <w:b/>
          <w:sz w:val="24"/>
          <w:szCs w:val="24"/>
        </w:rPr>
        <w:t>认为必要的业务合作机构（包括但不限于代理销售机构</w:t>
      </w:r>
      <w:r w:rsidR="004A3A2F">
        <w:rPr>
          <w:rFonts w:ascii="宋体" w:eastAsia="宋体" w:hAnsi="宋体" w:cs="Times New Roman" w:hint="eastAsia"/>
          <w:b/>
          <w:sz w:val="24"/>
          <w:szCs w:val="24"/>
        </w:rPr>
        <w:t>、清算服务机构</w:t>
      </w:r>
      <w:r>
        <w:rPr>
          <w:rFonts w:ascii="宋体" w:eastAsia="宋体" w:hAnsi="宋体" w:cs="Times New Roman" w:hint="eastAsia"/>
          <w:b/>
          <w:bCs/>
          <w:color w:val="000000" w:themeColor="text1"/>
          <w:sz w:val="24"/>
          <w:szCs w:val="24"/>
        </w:rPr>
        <w:t>等</w:t>
      </w:r>
      <w:r>
        <w:rPr>
          <w:rFonts w:ascii="宋体" w:eastAsia="宋体" w:hAnsi="宋体" w:cs="Times New Roman"/>
          <w:b/>
          <w:sz w:val="24"/>
          <w:szCs w:val="24"/>
        </w:rPr>
        <w:t>）提供</w:t>
      </w:r>
      <w:r>
        <w:rPr>
          <w:rFonts w:ascii="宋体" w:eastAsia="宋体" w:hAnsi="宋体" w:cs="Times New Roman" w:hint="eastAsia"/>
          <w:b/>
          <w:color w:val="000000"/>
          <w:sz w:val="24"/>
          <w:szCs w:val="24"/>
        </w:rPr>
        <w:t>宁银理财</w:t>
      </w:r>
      <w:r>
        <w:rPr>
          <w:rFonts w:ascii="宋体" w:eastAsia="宋体" w:hAnsi="宋体" w:cs="Times New Roman"/>
          <w:b/>
          <w:sz w:val="24"/>
          <w:szCs w:val="24"/>
        </w:rPr>
        <w:t>获取的</w:t>
      </w:r>
      <w:r>
        <w:rPr>
          <w:rFonts w:ascii="宋体" w:eastAsia="宋体" w:hAnsi="宋体" w:cs="Times New Roman" w:hint="eastAsia"/>
          <w:b/>
          <w:sz w:val="24"/>
          <w:szCs w:val="24"/>
        </w:rPr>
        <w:t>上述投资者</w:t>
      </w:r>
      <w:r>
        <w:rPr>
          <w:rFonts w:ascii="宋体" w:eastAsia="宋体" w:hAnsi="宋体" w:cs="Times New Roman"/>
          <w:b/>
          <w:sz w:val="24"/>
          <w:szCs w:val="24"/>
        </w:rPr>
        <w:t>信息，</w:t>
      </w:r>
      <w:r>
        <w:rPr>
          <w:rFonts w:ascii="宋体" w:eastAsia="宋体" w:hAnsi="宋体" w:cs="Times New Roman" w:hint="eastAsia"/>
          <w:b/>
          <w:sz w:val="24"/>
          <w:szCs w:val="24"/>
        </w:rPr>
        <w:t>授权使用时限与提供前述服务及履行相关法律法规和监管要求义务的必要时限一致。</w:t>
      </w:r>
      <w:r>
        <w:rPr>
          <w:rFonts w:ascii="宋体" w:eastAsia="宋体" w:hAnsi="宋体" w:cs="Times New Roman"/>
          <w:b/>
          <w:sz w:val="24"/>
          <w:szCs w:val="24"/>
        </w:rPr>
        <w:t>接收信息的</w:t>
      </w:r>
      <w:r>
        <w:rPr>
          <w:rFonts w:ascii="宋体" w:eastAsia="宋体" w:hAnsi="宋体" w:cs="Times New Roman"/>
          <w:b/>
          <w:sz w:val="24"/>
          <w:szCs w:val="24"/>
        </w:rPr>
        <w:t>上述第三</w:t>
      </w:r>
      <w:r>
        <w:rPr>
          <w:rFonts w:ascii="宋体" w:eastAsia="宋体" w:hAnsi="宋体" w:cs="Times New Roman"/>
          <w:b/>
          <w:sz w:val="24"/>
          <w:szCs w:val="24"/>
        </w:rPr>
        <w:t>方将为处理本协议项下事务之目的接触并</w:t>
      </w:r>
      <w:r>
        <w:rPr>
          <w:rFonts w:ascii="宋体" w:eastAsia="宋体" w:hAnsi="宋体" w:cs="Times New Roman"/>
          <w:b/>
          <w:sz w:val="24"/>
          <w:szCs w:val="24"/>
        </w:rPr>
        <w:t>按照</w:t>
      </w:r>
      <w:r>
        <w:rPr>
          <w:rFonts w:ascii="宋体" w:eastAsia="宋体" w:hAnsi="宋体" w:cs="Times New Roman" w:hint="eastAsia"/>
          <w:b/>
          <w:color w:val="000000"/>
          <w:sz w:val="24"/>
          <w:szCs w:val="24"/>
        </w:rPr>
        <w:t>宁银</w:t>
      </w:r>
      <w:r>
        <w:rPr>
          <w:rFonts w:ascii="宋体" w:eastAsia="宋体" w:hAnsi="宋体" w:cs="Times New Roman" w:hint="eastAsia"/>
          <w:b/>
          <w:color w:val="000000"/>
          <w:sz w:val="24"/>
          <w:szCs w:val="24"/>
        </w:rPr>
        <w:t>理财</w:t>
      </w:r>
      <w:r>
        <w:rPr>
          <w:rFonts w:ascii="宋体" w:eastAsia="宋体" w:hAnsi="宋体" w:cs="Times New Roman"/>
          <w:b/>
          <w:sz w:val="24"/>
          <w:szCs w:val="24"/>
        </w:rPr>
        <w:t>的业务需要</w:t>
      </w:r>
      <w:r>
        <w:rPr>
          <w:rFonts w:ascii="宋体" w:eastAsia="宋体" w:hAnsi="宋体" w:cs="Times New Roman" w:hint="eastAsia"/>
          <w:b/>
          <w:sz w:val="24"/>
          <w:szCs w:val="24"/>
        </w:rPr>
        <w:t>处理投资者</w:t>
      </w:r>
      <w:r>
        <w:rPr>
          <w:rFonts w:ascii="宋体" w:eastAsia="宋体" w:hAnsi="宋体" w:cs="Times New Roman"/>
          <w:b/>
          <w:sz w:val="24"/>
          <w:szCs w:val="24"/>
        </w:rPr>
        <w:t>信息</w:t>
      </w:r>
      <w:r>
        <w:rPr>
          <w:rFonts w:ascii="宋体" w:eastAsia="宋体" w:hAnsi="宋体" w:cs="Times New Roman" w:hint="eastAsia"/>
          <w:b/>
          <w:sz w:val="24"/>
          <w:szCs w:val="24"/>
        </w:rPr>
        <w:t>，处理方式</w:t>
      </w:r>
      <w:r>
        <w:rPr>
          <w:rFonts w:ascii="宋体" w:eastAsia="宋体" w:hAnsi="宋体" w:cs="Times New Roman" w:hint="eastAsia"/>
          <w:b/>
          <w:bCs/>
          <w:color w:val="000000" w:themeColor="text1"/>
          <w:sz w:val="24"/>
          <w:szCs w:val="24"/>
        </w:rPr>
        <w:t>包括但不限于存储、使用、加工、传输、提供等</w:t>
      </w:r>
      <w:r>
        <w:rPr>
          <w:rFonts w:ascii="宋体" w:eastAsia="宋体" w:hAnsi="宋体" w:cs="Times New Roman"/>
          <w:b/>
          <w:sz w:val="24"/>
          <w:szCs w:val="24"/>
        </w:rPr>
        <w:t>。</w:t>
      </w:r>
      <w:r w:rsidR="00DA6336">
        <w:rPr>
          <w:rFonts w:ascii="宋体" w:eastAsia="宋体" w:hAnsi="宋体" w:cs="Times New Roman" w:hint="eastAsia"/>
          <w:b/>
          <w:sz w:val="24"/>
          <w:szCs w:val="24"/>
        </w:rPr>
        <w:t>上述约定的</w:t>
      </w:r>
      <w:r w:rsidR="00DA6336">
        <w:rPr>
          <w:rFonts w:ascii="宋体" w:eastAsia="宋体" w:hAnsi="宋体" w:cs="Times New Roman" w:hint="eastAsia"/>
          <w:b/>
          <w:bCs/>
          <w:color w:val="000000" w:themeColor="text1"/>
          <w:sz w:val="24"/>
          <w:szCs w:val="24"/>
        </w:rPr>
        <w:t>个人信息包括</w:t>
      </w:r>
      <w:r w:rsidR="00152C4E">
        <w:rPr>
          <w:rFonts w:ascii="宋体" w:eastAsia="宋体" w:hAnsi="宋体" w:cs="Times New Roman" w:hint="eastAsia"/>
          <w:b/>
          <w:bCs/>
          <w:color w:val="000000" w:themeColor="text1"/>
          <w:sz w:val="24"/>
          <w:szCs w:val="24"/>
        </w:rPr>
        <w:t>投资者或投资者相关人员的</w:t>
      </w:r>
      <w:r w:rsidR="00DA6336">
        <w:rPr>
          <w:rFonts w:ascii="宋体" w:eastAsia="宋体" w:hAnsi="宋体" w:cs="Times New Roman" w:hint="eastAsia"/>
          <w:b/>
          <w:bCs/>
          <w:color w:val="000000" w:themeColor="text1"/>
          <w:sz w:val="24"/>
          <w:szCs w:val="24"/>
        </w:rPr>
        <w:t>敏感个人信息，敏感个人信息一旦泄露或非法使用，容易导致</w:t>
      </w:r>
      <w:r w:rsidR="00152C4E">
        <w:rPr>
          <w:rFonts w:ascii="宋体" w:eastAsia="宋体" w:hAnsi="宋体" w:cs="Times New Roman" w:hint="eastAsia"/>
          <w:b/>
          <w:bCs/>
          <w:color w:val="000000" w:themeColor="text1"/>
          <w:sz w:val="24"/>
          <w:szCs w:val="24"/>
        </w:rPr>
        <w:t>投资者或投资者相关人员</w:t>
      </w:r>
      <w:r w:rsidR="00DA6336">
        <w:rPr>
          <w:rFonts w:ascii="宋体" w:eastAsia="宋体" w:hAnsi="宋体" w:cs="Times New Roman" w:hint="eastAsia"/>
          <w:b/>
          <w:bCs/>
          <w:color w:val="000000" w:themeColor="text1"/>
          <w:sz w:val="24"/>
          <w:szCs w:val="24"/>
        </w:rPr>
        <w:t>的人格尊严受到侵害或者人身、财产安全受到危害。</w:t>
      </w:r>
      <w:r>
        <w:rPr>
          <w:rFonts w:ascii="宋体" w:eastAsia="宋体" w:hAnsi="宋体" w:cs="Times New Roman" w:hint="eastAsia"/>
          <w:b/>
          <w:color w:val="000000"/>
          <w:sz w:val="24"/>
          <w:szCs w:val="24"/>
        </w:rPr>
        <w:t>宁银理财</w:t>
      </w:r>
      <w:r>
        <w:rPr>
          <w:rFonts w:ascii="宋体" w:eastAsia="宋体" w:hAnsi="宋体" w:cs="Times New Roman" w:hint="eastAsia"/>
          <w:b/>
          <w:sz w:val="24"/>
          <w:szCs w:val="24"/>
        </w:rPr>
        <w:t>承诺</w:t>
      </w:r>
      <w:r w:rsidR="00DA6336">
        <w:rPr>
          <w:rFonts w:ascii="宋体" w:eastAsia="宋体" w:hAnsi="宋体" w:cs="Times New Roman" w:hint="eastAsia"/>
          <w:b/>
          <w:sz w:val="24"/>
          <w:szCs w:val="24"/>
        </w:rPr>
        <w:t>，</w:t>
      </w:r>
      <w:r w:rsidR="00DA6336">
        <w:rPr>
          <w:rFonts w:ascii="宋体" w:eastAsia="宋体" w:hAnsi="宋体" w:cs="Times New Roman" w:hint="eastAsia"/>
          <w:b/>
          <w:sz w:val="24"/>
          <w:szCs w:val="24"/>
        </w:rPr>
        <w:t>宁银理财</w:t>
      </w:r>
      <w:r w:rsidR="00DA6336">
        <w:rPr>
          <w:rFonts w:ascii="宋体" w:eastAsia="宋体" w:hAnsi="宋体" w:cs="Times New Roman"/>
          <w:b/>
          <w:bCs/>
          <w:color w:val="000000" w:themeColor="text1"/>
          <w:sz w:val="24"/>
          <w:szCs w:val="24"/>
        </w:rPr>
        <w:t>及</w:t>
      </w:r>
      <w:r w:rsidR="00DA6336">
        <w:rPr>
          <w:rFonts w:ascii="宋体" w:eastAsia="宋体" w:hAnsi="宋体" w:cs="Times New Roman" w:hint="eastAsia"/>
          <w:b/>
          <w:bCs/>
          <w:color w:val="000000" w:themeColor="text1"/>
          <w:sz w:val="24"/>
          <w:szCs w:val="24"/>
        </w:rPr>
        <w:t>第三</w:t>
      </w:r>
      <w:r w:rsidR="00DA6336">
        <w:rPr>
          <w:rFonts w:ascii="宋体" w:eastAsia="宋体" w:hAnsi="宋体" w:cs="Times New Roman" w:hint="eastAsia"/>
          <w:b/>
          <w:bCs/>
          <w:color w:val="000000" w:themeColor="text1"/>
          <w:sz w:val="24"/>
          <w:szCs w:val="24"/>
        </w:rPr>
        <w:t>方</w:t>
      </w:r>
      <w:r w:rsidR="00DA6336">
        <w:rPr>
          <w:rFonts w:ascii="宋体" w:eastAsia="宋体" w:hAnsi="宋体" w:cs="Times New Roman"/>
          <w:b/>
          <w:bCs/>
          <w:color w:val="000000" w:themeColor="text1"/>
          <w:sz w:val="24"/>
          <w:szCs w:val="24"/>
        </w:rPr>
        <w:t>业务</w:t>
      </w:r>
      <w:r w:rsidR="00DA6336">
        <w:rPr>
          <w:rFonts w:ascii="宋体" w:eastAsia="宋体" w:hAnsi="宋体" w:cs="Times New Roman"/>
          <w:b/>
          <w:bCs/>
          <w:color w:val="000000" w:themeColor="text1"/>
          <w:sz w:val="24"/>
          <w:szCs w:val="24"/>
        </w:rPr>
        <w:t>合作机构</w:t>
      </w:r>
      <w:r w:rsidR="00DA6336">
        <w:rPr>
          <w:rFonts w:ascii="宋体" w:eastAsia="宋体" w:hAnsi="宋体" w:cs="Times New Roman" w:hint="eastAsia"/>
          <w:b/>
          <w:bCs/>
          <w:color w:val="000000" w:themeColor="text1"/>
          <w:sz w:val="24"/>
          <w:szCs w:val="24"/>
        </w:rPr>
        <w:t>基于上述目的处理个人信息（包括</w:t>
      </w:r>
      <w:r w:rsidR="00DA6336">
        <w:rPr>
          <w:rFonts w:ascii="宋体" w:eastAsia="宋体" w:hAnsi="宋体" w:cs="Times New Roman"/>
          <w:b/>
          <w:bCs/>
          <w:color w:val="000000" w:themeColor="text1"/>
          <w:sz w:val="24"/>
          <w:szCs w:val="24"/>
        </w:rPr>
        <w:t>敏感个人信息）</w:t>
      </w:r>
      <w:r w:rsidR="00DA6336">
        <w:rPr>
          <w:rFonts w:ascii="宋体" w:eastAsia="宋体" w:hAnsi="宋体" w:cs="Times New Roman" w:hint="eastAsia"/>
          <w:b/>
          <w:bCs/>
          <w:color w:val="000000" w:themeColor="text1"/>
          <w:sz w:val="24"/>
          <w:szCs w:val="24"/>
        </w:rPr>
        <w:t>为提供服务或满足合</w:t>
      </w:r>
      <w:r w:rsidR="00DA6336">
        <w:rPr>
          <w:rFonts w:ascii="宋体" w:eastAsia="宋体" w:hAnsi="宋体" w:cs="Times New Roman" w:hint="eastAsia"/>
          <w:b/>
          <w:bCs/>
          <w:color w:val="000000" w:themeColor="text1"/>
          <w:sz w:val="24"/>
          <w:szCs w:val="24"/>
        </w:rPr>
        <w:t>规</w:t>
      </w:r>
      <w:r w:rsidR="00DA6336">
        <w:rPr>
          <w:rFonts w:ascii="宋体" w:eastAsia="宋体" w:hAnsi="宋体" w:cs="Times New Roman" w:hint="eastAsia"/>
          <w:b/>
          <w:bCs/>
          <w:color w:val="000000" w:themeColor="text1"/>
          <w:sz w:val="24"/>
          <w:szCs w:val="24"/>
        </w:rPr>
        <w:t>要求所必须，</w:t>
      </w:r>
      <w:r w:rsidR="00DA6336">
        <w:rPr>
          <w:rFonts w:ascii="宋体" w:eastAsia="宋体" w:hAnsi="宋体" w:cs="Times New Roman" w:hint="eastAsia"/>
          <w:b/>
          <w:bCs/>
          <w:color w:val="000000" w:themeColor="text1"/>
          <w:sz w:val="24"/>
          <w:szCs w:val="24"/>
        </w:rPr>
        <w:t>宁银理财</w:t>
      </w:r>
      <w:r>
        <w:rPr>
          <w:rFonts w:ascii="宋体" w:eastAsia="宋体" w:hAnsi="宋体" w:cs="Times New Roman" w:hint="eastAsia"/>
          <w:b/>
          <w:sz w:val="24"/>
          <w:szCs w:val="24"/>
        </w:rPr>
        <w:t>将向有关第三</w:t>
      </w:r>
      <w:r>
        <w:rPr>
          <w:rFonts w:ascii="宋体" w:eastAsia="宋体" w:hAnsi="宋体" w:cs="Times New Roman" w:hint="eastAsia"/>
          <w:b/>
          <w:sz w:val="24"/>
          <w:szCs w:val="24"/>
        </w:rPr>
        <w:t>方明确</w:t>
      </w:r>
      <w:r>
        <w:rPr>
          <w:rFonts w:ascii="宋体" w:eastAsia="宋体" w:hAnsi="宋体" w:cs="Times New Roman" w:hint="eastAsia"/>
          <w:b/>
          <w:sz w:val="24"/>
          <w:szCs w:val="24"/>
        </w:rPr>
        <w:t>其保护投资者信息的职责并要求第三方承担相应保密义务</w:t>
      </w:r>
      <w:r w:rsidR="00DA6336">
        <w:rPr>
          <w:rFonts w:ascii="宋体" w:eastAsia="宋体" w:hAnsi="宋体" w:cs="Times New Roman" w:hint="eastAsia"/>
          <w:b/>
          <w:sz w:val="24"/>
          <w:szCs w:val="24"/>
        </w:rPr>
        <w:t>，严格按照</w:t>
      </w:r>
      <w:r w:rsidR="00DA6336">
        <w:rPr>
          <w:rFonts w:ascii="宋体" w:eastAsia="宋体" w:hAnsi="宋体" w:cs="Times New Roman" w:hint="eastAsia"/>
          <w:b/>
          <w:bCs/>
          <w:color w:val="000000" w:themeColor="text1"/>
          <w:sz w:val="24"/>
          <w:szCs w:val="24"/>
        </w:rPr>
        <w:t>相关法律法规及上述约定开展信息处理行为并采取安全保护措施</w:t>
      </w:r>
      <w:r>
        <w:rPr>
          <w:rFonts w:ascii="宋体" w:eastAsia="宋体" w:hAnsi="宋体" w:cs="Times New Roman" w:hint="eastAsia"/>
          <w:b/>
          <w:sz w:val="24"/>
          <w:szCs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w:t>
      </w:r>
      <w:r>
        <w:rPr>
          <w:rFonts w:ascii="宋体" w:eastAsia="宋体" w:hAnsi="宋体" w:cs="Times New Roman" w:hint="eastAsia"/>
          <w:b/>
          <w:bCs/>
          <w:color w:val="000000" w:themeColor="text1"/>
          <w:sz w:val="24"/>
          <w:szCs w:val="24"/>
        </w:rPr>
        <w:t>如您对第三方机构处理您的个人信息活动有疑问或要求，您可以通过《理财产品说明书》、第三方机构的官方网站（如有）、第三方机构的官方公众号（如有）等渠道获取相应的联系方式以行使您的个人信息权利，或者直接联系我们。</w:t>
      </w:r>
    </w:p>
    <w:p w:rsidR="00D41301" w14:paraId="3C8D6A2D" w14:textId="77777777">
      <w:pPr>
        <w:spacing w:line="312" w:lineRule="auto"/>
        <w:ind w:firstLine="480" w:firstLineChars="200"/>
        <w:outlineLvl w:val="0"/>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五、投诉及建议</w:t>
      </w:r>
    </w:p>
    <w:p w:rsidR="00D41301" w14:paraId="182F1685" w14:textId="77777777">
      <w:pPr>
        <w:spacing w:line="312" w:lineRule="auto"/>
        <w:ind w:firstLine="480" w:firstLineChars="200"/>
        <w:rPr>
          <w:rFonts w:ascii="宋体" w:eastAsia="宋体" w:hAnsi="宋体" w:cs="Times New Roman" w:hint="eastAsia"/>
          <w:b/>
          <w:color w:val="000000"/>
          <w:sz w:val="24"/>
          <w:szCs w:val="24"/>
        </w:rPr>
      </w:pPr>
      <w:r>
        <w:rPr>
          <w:rFonts w:ascii="宋体" w:eastAsia="宋体" w:hAnsi="宋体" w:cs="Times New Roman" w:hint="eastAsia"/>
          <w:b/>
          <w:color w:val="000000"/>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D41301" w14:paraId="617F9B72" w14:textId="77777777">
      <w:pPr>
        <w:spacing w:line="312" w:lineRule="auto"/>
        <w:ind w:firstLine="480" w:firstLineChars="200"/>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六</w:t>
      </w:r>
      <w:r>
        <w:rPr>
          <w:rFonts w:ascii="宋体" w:eastAsia="宋体" w:hAnsi="宋体" w:cs="Times New Roman"/>
          <w:b/>
          <w:bCs/>
          <w:color w:val="000000"/>
          <w:sz w:val="24"/>
          <w:szCs w:val="24"/>
        </w:rPr>
        <w:t>、</w:t>
      </w:r>
      <w:r>
        <w:rPr>
          <w:rFonts w:ascii="宋体" w:eastAsia="宋体" w:hAnsi="宋体" w:cs="Times New Roman" w:hint="eastAsia"/>
          <w:b/>
          <w:bCs/>
          <w:color w:val="000000"/>
          <w:sz w:val="24"/>
          <w:szCs w:val="24"/>
        </w:rPr>
        <w:t>宁银理财</w:t>
      </w:r>
      <w:r>
        <w:rPr>
          <w:rFonts w:ascii="宋体" w:eastAsia="宋体" w:hAnsi="宋体" w:cs="Times New Roman"/>
          <w:b/>
          <w:bCs/>
          <w:color w:val="000000"/>
          <w:sz w:val="24"/>
          <w:szCs w:val="24"/>
        </w:rPr>
        <w:t>联络方式</w:t>
      </w:r>
    </w:p>
    <w:p w:rsidR="00D41301" w14:paraId="777B47EA" w14:textId="6B899D3A">
      <w:pPr>
        <w:spacing w:line="312" w:lineRule="auto"/>
        <w:ind w:firstLine="1200" w:firstLineChars="5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客服</w:t>
      </w:r>
      <w:r>
        <w:rPr>
          <w:rFonts w:ascii="宋体" w:eastAsia="宋体" w:hAnsi="宋体" w:cs="Times New Roman"/>
          <w:color w:val="000000"/>
          <w:sz w:val="24"/>
          <w:szCs w:val="24"/>
        </w:rPr>
        <w:t>热线</w:t>
      </w:r>
      <w:r>
        <w:rPr>
          <w:rFonts w:ascii="宋体" w:eastAsia="宋体" w:hAnsi="宋体" w:cs="Times New Roman" w:hint="eastAsia"/>
          <w:color w:val="000000"/>
          <w:sz w:val="24"/>
          <w:szCs w:val="24"/>
        </w:rPr>
        <w:t>：</w:t>
      </w:r>
      <w:r w:rsidRPr="005F4715" w:rsidR="00E72B45">
        <w:rPr>
          <w:rFonts w:ascii="宋体" w:eastAsia="宋体" w:hAnsi="宋体" w:cs="Times New Roman"/>
          <w:color w:val="000000"/>
          <w:sz w:val="24"/>
          <w:szCs w:val="24"/>
        </w:rPr>
        <w:t>400-099-5574</w:t>
      </w:r>
    </w:p>
    <w:p w:rsidR="00D41301" w14:paraId="4F82E49A" w14:textId="6D79E06B">
      <w:pPr>
        <w:spacing w:line="312" w:lineRule="auto"/>
        <w:ind w:firstLine="1200" w:firstLineChars="5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官方网站</w:t>
      </w:r>
      <w:r>
        <w:rPr>
          <w:rFonts w:ascii="宋体" w:eastAsia="宋体" w:hAnsi="宋体" w:cs="Times New Roman"/>
          <w:color w:val="000000"/>
          <w:sz w:val="24"/>
          <w:szCs w:val="24"/>
        </w:rPr>
        <w:t>：</w:t>
      </w:r>
      <w:r w:rsidRPr="005F4715" w:rsidR="00E72B45">
        <w:rPr>
          <w:rFonts w:ascii="宋体" w:eastAsia="宋体" w:hAnsi="宋体" w:cs="Times New Roman"/>
          <w:color w:val="000000"/>
          <w:sz w:val="24"/>
          <w:szCs w:val="24"/>
        </w:rPr>
        <w:t>www.wmbnb.com</w:t>
      </w:r>
    </w:p>
    <w:p w:rsidR="00D41301" w14:paraId="6B88C6E1" w14:textId="77777777">
      <w:pPr>
        <w:spacing w:line="312" w:lineRule="auto"/>
        <w:ind w:firstLine="48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七、代理销售机构联络方式</w:t>
      </w:r>
    </w:p>
    <w:p w:rsidR="00D41301" w14:paraId="794284E5" w14:textId="77777777">
      <w:pPr>
        <w:autoSpaceDE w:val="0"/>
        <w:autoSpaceDN w:val="0"/>
        <w:adjustRightInd w:val="0"/>
        <w:ind w:left="361" w:firstLine="250" w:leftChars="172" w:firstLineChars="104"/>
        <w:jc w:val="left"/>
        <w:rPr>
          <w:rFonts w:ascii="宋体" w:eastAsia="宋体" w:hAnsi="宋体" w:cs="Times New Roman" w:hint="eastAsia"/>
          <w:color w:val="000000"/>
          <w:sz w:val="24"/>
          <w:szCs w:val="24"/>
          <w:u w:val="single"/>
        </w:rPr>
        <w:sectPr>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docGrid w:type="lines" w:linePitch="312"/>
        </w:sectPr>
      </w:pPr>
      <w:r>
        <w:rPr>
          <w:rFonts w:ascii="宋体" w:eastAsia="宋体" w:hAnsi="宋体" w:cs="Times New Roman" w:hint="eastAsia"/>
          <w:color w:val="000000"/>
          <w:sz w:val="24"/>
          <w:szCs w:val="24"/>
        </w:rPr>
        <w:t>代理销售机构联系方式详见《理财产品说明书》</w:t>
      </w:r>
    </w:p>
    <w:p w:rsidR="0077147C" w14:paraId="360029BC" w14:textId="77777777">
      <w:pPr>
        <w:adjustRightInd w:val="0"/>
        <w:snapToGrid w:val="0"/>
        <w:spacing w:line="312" w:lineRule="auto"/>
        <w:jc w:val="center"/>
        <w:rPr>
          <w:rFonts w:ascii="黑体" w:eastAsia="黑体" w:hAnsi="宋体" w:cs="Times New Roman" w:hint="eastAsia"/>
          <w:b/>
          <w:sz w:val="44"/>
          <w:szCs w:val="44"/>
        </w:rPr>
      </w:pPr>
      <w:r>
        <w:rPr>
          <w:rFonts w:ascii="黑体" w:eastAsia="黑体" w:hAnsi="宋体" w:cs="Times New Roman" w:hint="eastAsia"/>
          <w:b/>
          <w:sz w:val="44"/>
          <w:szCs w:val="44"/>
        </w:rPr>
        <w:t>宁银理财</w:t>
      </w:r>
      <w:r>
        <w:rPr>
          <w:rFonts w:ascii="黑体" w:eastAsia="黑体" w:hAnsi="宋体" w:cs="Times New Roman" w:hint="eastAsia"/>
          <w:b/>
          <w:sz w:val="44"/>
          <w:szCs w:val="44"/>
        </w:rPr>
        <w:t>有限责任公司产品代理销售协议书</w:t>
      </w:r>
    </w:p>
    <w:p w:rsidR="0077147C" w14:paraId="3F4DDD33" w14:textId="71963B14">
      <w:pPr>
        <w:adjustRightInd w:val="0"/>
        <w:snapToGrid w:val="0"/>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sidR="00494FE7">
        <w:rPr>
          <w:rFonts w:ascii="宋体" w:eastAsia="宋体" w:hAnsi="宋体" w:cs="Times New Roman"/>
          <w:b/>
          <w:sz w:val="24"/>
          <w:szCs w:val="24"/>
        </w:rPr>
        <w:t>202601</w:t>
      </w:r>
      <w:r>
        <w:rPr>
          <w:rFonts w:ascii="宋体" w:eastAsia="宋体" w:hAnsi="宋体" w:cs="Times New Roman" w:hint="eastAsia"/>
          <w:b/>
          <w:sz w:val="24"/>
          <w:szCs w:val="24"/>
        </w:rPr>
        <w:t>版）</w:t>
      </w:r>
    </w:p>
    <w:p w:rsidR="0077147C" w14:paraId="292BC771" w14:textId="3F6E0F43">
      <w:pPr>
        <w:adjustRightInd w:val="0"/>
        <w:snapToGrid w:val="0"/>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322831" w:rsidR="00322831">
        <w:rPr>
          <w:rFonts w:ascii="宋体" w:eastAsia="宋体" w:hAnsi="宋体" w:cs="Times New Roman" w:hint="eastAsia"/>
          <w:sz w:val="24"/>
          <w:szCs w:val="24"/>
        </w:rPr>
        <w:t>沧州银行股份有限公司</w:t>
      </w:r>
      <w:r>
        <w:rPr>
          <w:rFonts w:ascii="宋体" w:eastAsia="宋体" w:hAnsi="宋体" w:cs="Times New Roman" w:hint="eastAsia"/>
          <w:sz w:val="24"/>
          <w:szCs w:val="24"/>
        </w:rPr>
        <w:t>（以下简称“乙方”）与其代理销售的理财产品的购买方（以下简称“甲方”）经平等友好协商，本着自愿、诚实信用的原则，就乙方向甲方销售理财产品及提供理财服务相关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77147C" w14:paraId="7E2648D8" w14:textId="500CAF78">
      <w:pPr>
        <w:adjustRightInd w:val="0"/>
        <w:snapToGrid w:val="0"/>
        <w:spacing w:line="312" w:lineRule="auto"/>
        <w:ind w:firstLine="470" w:firstLineChars="196"/>
        <w:rPr>
          <w:rFonts w:ascii="黑体" w:eastAsia="宋体" w:hAnsi="黑体" w:cs="Times New Roman" w:hint="eastAsia"/>
          <w:b/>
          <w:sz w:val="24"/>
          <w:szCs w:val="24"/>
        </w:rPr>
      </w:pPr>
      <w:r>
        <w:rPr>
          <w:rFonts w:ascii="黑体" w:eastAsia="宋体" w:hAnsi="黑体" w:cs="Times New Roman"/>
          <w:b/>
          <w:sz w:val="24"/>
          <w:szCs w:val="24"/>
        </w:rPr>
        <w:t>第</w:t>
      </w:r>
      <w:r>
        <w:rPr>
          <w:rFonts w:ascii="黑体" w:eastAsia="宋体" w:hAnsi="黑体" w:cs="Times New Roman" w:hint="eastAsia"/>
          <w:b/>
          <w:sz w:val="24"/>
          <w:szCs w:val="24"/>
        </w:rPr>
        <w:t>一</w:t>
      </w:r>
      <w:r>
        <w:rPr>
          <w:rFonts w:ascii="黑体" w:eastAsia="宋体" w:hAnsi="黑体" w:cs="Times New Roman"/>
          <w:b/>
          <w:sz w:val="24"/>
          <w:szCs w:val="24"/>
        </w:rPr>
        <w:t>条</w:t>
      </w:r>
      <w:r>
        <w:rPr>
          <w:rFonts w:ascii="黑体" w:eastAsia="宋体" w:hAnsi="黑体" w:cs="Times New Roman"/>
          <w:b/>
          <w:sz w:val="24"/>
          <w:szCs w:val="24"/>
        </w:rPr>
        <w:t xml:space="preserve"> </w:t>
      </w:r>
      <w:r>
        <w:rPr>
          <w:rFonts w:ascii="黑体" w:eastAsia="宋体" w:hAnsi="黑体" w:cs="Times New Roman" w:hint="eastAsia"/>
          <w:b/>
          <w:sz w:val="24"/>
          <w:szCs w:val="24"/>
        </w:rPr>
        <w:t>本理财产品非乙方所发行的理财产品，</w:t>
      </w:r>
      <w:r>
        <w:rPr>
          <w:rFonts w:ascii="黑体" w:eastAsia="宋体" w:hAnsi="黑体" w:cs="Times New Roman" w:hint="eastAsia"/>
          <w:b/>
          <w:sz w:val="24"/>
          <w:szCs w:val="24"/>
        </w:rPr>
        <w:t>乙方仅</w:t>
      </w:r>
      <w:r>
        <w:rPr>
          <w:rFonts w:ascii="黑体" w:eastAsia="宋体" w:hAnsi="黑体" w:cs="Times New Roman" w:hint="eastAsia"/>
          <w:b/>
          <w:sz w:val="24"/>
          <w:szCs w:val="24"/>
        </w:rPr>
        <w:t>作为本产品的代理销售机构，本产品</w:t>
      </w:r>
      <w:r>
        <w:rPr>
          <w:rFonts w:ascii="黑体" w:eastAsia="宋体" w:hAnsi="黑体" w:cs="Times New Roman" w:hint="eastAsia"/>
          <w:b/>
          <w:sz w:val="24"/>
          <w:szCs w:val="24"/>
        </w:rPr>
        <w:t>由宁银理财</w:t>
      </w:r>
      <w:r>
        <w:rPr>
          <w:rFonts w:ascii="黑体" w:eastAsia="宋体" w:hAnsi="黑体" w:cs="Times New Roman" w:hint="eastAsia"/>
          <w:b/>
          <w:sz w:val="24"/>
          <w:szCs w:val="24"/>
        </w:rPr>
        <w:t>有限责任公司发行与管理，</w:t>
      </w:r>
      <w:r w:rsidRPr="00322831" w:rsidR="00322831">
        <w:rPr>
          <w:rFonts w:ascii="宋体" w:eastAsia="宋体" w:hAnsi="宋体" w:cs="Times New Roman" w:hint="eastAsia"/>
          <w:b/>
          <w:sz w:val="24"/>
          <w:szCs w:val="24"/>
        </w:rPr>
        <w:t>沧州银行股份有限公司</w:t>
      </w:r>
      <w:r>
        <w:rPr>
          <w:rFonts w:ascii="黑体" w:eastAsia="宋体" w:hAnsi="黑体" w:cs="Times New Roman" w:hint="eastAsia"/>
          <w:b/>
          <w:sz w:val="24"/>
          <w:szCs w:val="24"/>
        </w:rPr>
        <w:t>作为代销机构不承担产品的投资和兑付责任。乙方受理的代理销售理财产品业务申请，以产品管理人的最终确认结果为准。</w:t>
      </w:r>
    </w:p>
    <w:p w:rsidR="0077147C" w14:paraId="0F8F12B2" w14:textId="77777777">
      <w:pPr>
        <w:adjustRightInd w:val="0"/>
        <w:snapToGrid w:val="0"/>
        <w:spacing w:line="312" w:lineRule="auto"/>
        <w:ind w:firstLine="470" w:firstLineChars="196"/>
        <w:rPr>
          <w:rFonts w:ascii="宋体" w:eastAsia="宋体" w:hAnsi="宋体" w:cs="Times New Roman" w:hint="eastAsia"/>
          <w:b/>
          <w:sz w:val="24"/>
          <w:szCs w:val="24"/>
        </w:rPr>
      </w:pPr>
      <w:r>
        <w:rPr>
          <w:rFonts w:ascii="宋体" w:eastAsia="宋体" w:hAnsi="宋体" w:cs="Times New Roman" w:hint="eastAsia"/>
          <w:b/>
          <w:bCs/>
          <w:sz w:val="24"/>
          <w:szCs w:val="24"/>
        </w:rPr>
        <w:t>第二</w:t>
      </w:r>
      <w:r>
        <w:rPr>
          <w:rFonts w:ascii="宋体" w:eastAsia="宋体" w:hAnsi="宋体" w:cs="Times New Roman" w:hint="eastAsia"/>
          <w:b/>
          <w:sz w:val="24"/>
          <w:szCs w:val="24"/>
        </w:rPr>
        <w:t>条 释义</w:t>
      </w:r>
    </w:p>
    <w:p w:rsidR="0077147C" w14:paraId="7ECCE591" w14:textId="77777777">
      <w:pPr>
        <w:adjustRightInd w:val="0"/>
        <w:snapToGrid w:val="0"/>
        <w:spacing w:line="312" w:lineRule="auto"/>
        <w:ind w:firstLine="540" w:firstLineChars="225"/>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77147C" w14:paraId="3FA20DD7" w14:textId="77777777">
      <w:pPr>
        <w:numPr>
          <w:ilvl w:val="0"/>
          <w:numId w:val="5"/>
        </w:numPr>
        <w:adjustRightInd w:val="0"/>
        <w:snapToGrid w:val="0"/>
        <w:spacing w:line="312" w:lineRule="auto"/>
        <w:ind w:left="1200" w:hanging="720" w:firstLineChars="0"/>
        <w:jc w:val="left"/>
        <w:rPr>
          <w:rFonts w:ascii="黑体" w:eastAsia="宋体" w:hAnsi="黑体" w:cs="Times New Roman" w:hint="eastAsia"/>
          <w:b/>
          <w:sz w:val="24"/>
          <w:szCs w:val="24"/>
        </w:rPr>
      </w:pPr>
      <w:r>
        <w:rPr>
          <w:rFonts w:ascii="黑体" w:eastAsia="宋体" w:hAnsi="黑体" w:cs="Times New Roman" w:hint="eastAsia"/>
          <w:b/>
          <w:sz w:val="24"/>
          <w:szCs w:val="24"/>
        </w:rPr>
        <w:t>理财计划</w:t>
      </w:r>
      <w:r>
        <w:rPr>
          <w:rFonts w:ascii="黑体" w:eastAsia="宋体" w:hAnsi="黑体" w:cs="Times New Roman"/>
          <w:b/>
          <w:sz w:val="24"/>
          <w:szCs w:val="24"/>
        </w:rPr>
        <w:t>/</w:t>
      </w:r>
      <w:r>
        <w:rPr>
          <w:rFonts w:ascii="黑体" w:eastAsia="宋体" w:hAnsi="黑体" w:cs="Times New Roman" w:hint="eastAsia"/>
          <w:b/>
          <w:sz w:val="24"/>
          <w:szCs w:val="24"/>
        </w:rPr>
        <w:t>理财产品</w:t>
      </w:r>
      <w:r>
        <w:rPr>
          <w:rFonts w:ascii="黑体" w:eastAsia="宋体" w:hAnsi="黑体" w:cs="Times New Roman"/>
          <w:b/>
          <w:sz w:val="24"/>
          <w:szCs w:val="24"/>
        </w:rPr>
        <w:t>/</w:t>
      </w:r>
      <w:r>
        <w:rPr>
          <w:rFonts w:ascii="黑体" w:eastAsia="宋体" w:hAnsi="黑体" w:cs="Times New Roman" w:hint="eastAsia"/>
          <w:b/>
          <w:sz w:val="24"/>
          <w:szCs w:val="24"/>
        </w:rPr>
        <w:t>产品：指乙方代理销售的宁银理财有限责任公司</w:t>
      </w:r>
      <w:r>
        <w:rPr>
          <w:rFonts w:ascii="宋体" w:eastAsia="宋体" w:hAnsi="宋体" w:cs="Times New Roman" w:hint="eastAsia"/>
          <w:b/>
          <w:bCs/>
          <w:sz w:val="24"/>
          <w:szCs w:val="24"/>
        </w:rPr>
        <w:t>担任产品管理人的理财</w:t>
      </w:r>
      <w:r>
        <w:rPr>
          <w:rFonts w:ascii="黑体" w:eastAsia="宋体" w:hAnsi="黑体" w:cs="Times New Roman" w:hint="eastAsia"/>
          <w:b/>
          <w:sz w:val="24"/>
          <w:szCs w:val="24"/>
        </w:rPr>
        <w:t>产品，具体产品信息详见《理财产品说明书》。</w:t>
      </w:r>
    </w:p>
    <w:p w:rsidR="0077147C" w14:paraId="4BA9BBE2" w14:textId="77777777">
      <w:pPr>
        <w:numPr>
          <w:ilvl w:val="0"/>
          <w:numId w:val="5"/>
        </w:numPr>
        <w:adjustRightInd w:val="0"/>
        <w:snapToGrid w:val="0"/>
        <w:spacing w:line="312" w:lineRule="auto"/>
        <w:ind w:left="1200" w:hanging="720" w:firstLineChars="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77147C" w14:paraId="4999B1C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77147C" w14:paraId="28470A79"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77147C" w14:paraId="4869873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77147C" w14:paraId="137633B6" w14:textId="77777777">
      <w:pPr>
        <w:adjustRightInd w:val="0"/>
        <w:snapToGrid w:val="0"/>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77147C" w14:paraId="38AA8CF5"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77147C" w14:paraId="01EE638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77147C" w14:paraId="316DFC2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w:t>
      </w:r>
      <w:r>
        <w:rPr>
          <w:rFonts w:ascii="宋体" w:eastAsia="宋体" w:hAnsi="宋体" w:cs="Times New Roman"/>
          <w:sz w:val="24"/>
          <w:szCs w:val="24"/>
        </w:rPr>
        <w:t>期</w:t>
      </w:r>
      <w:r>
        <w:rPr>
          <w:rFonts w:ascii="宋体" w:eastAsia="宋体" w:hAnsi="宋体" w:cs="Times New Roman" w:hint="eastAsia"/>
          <w:sz w:val="24"/>
          <w:szCs w:val="24"/>
        </w:rPr>
        <w:t>申请</w:t>
      </w:r>
      <w:r>
        <w:rPr>
          <w:rFonts w:ascii="宋体" w:eastAsia="宋体" w:hAnsi="宋体" w:cs="Times New Roman" w:hint="eastAsia"/>
          <w:sz w:val="24"/>
          <w:szCs w:val="24"/>
        </w:rPr>
        <w:t>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77147C" w14:paraId="63703007"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w:t>
      </w:r>
      <w:r>
        <w:rPr>
          <w:rFonts w:ascii="宋体" w:eastAsia="宋体" w:hAnsi="宋体" w:cs="Times New Roman" w:hint="eastAsia"/>
          <w:sz w:val="24"/>
          <w:szCs w:val="24"/>
        </w:rPr>
        <w:t>期申请</w:t>
      </w:r>
      <w:r>
        <w:rPr>
          <w:rFonts w:ascii="宋体" w:eastAsia="宋体" w:hAnsi="宋体" w:cs="Times New Roman" w:hint="eastAsia"/>
          <w:sz w:val="24"/>
          <w:szCs w:val="24"/>
        </w:rPr>
        <w:t>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77147C" w14:paraId="61EF59AD" w14:textId="77777777">
      <w:pPr>
        <w:widowControl/>
        <w:spacing w:line="360" w:lineRule="auto"/>
        <w:ind w:firstLine="480" w:firstLineChars="200"/>
        <w:jc w:val="left"/>
        <w:rPr>
          <w:rFonts w:ascii="宋体" w:eastAsia="宋体" w:hAnsi="宋体" w:cs="宋体" w:hint="eastAsia"/>
          <w:kern w:val="0"/>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w:t>
      </w:r>
      <w:r>
        <w:rPr>
          <w:rFonts w:ascii="宋体" w:eastAsia="宋体" w:hAnsi="宋体" w:cs="Times New Roman" w:hint="eastAsia"/>
          <w:sz w:val="24"/>
          <w:szCs w:val="24"/>
        </w:rPr>
        <w:t>期申请</w:t>
      </w:r>
      <w:r>
        <w:rPr>
          <w:rFonts w:ascii="宋体" w:eastAsia="宋体" w:hAnsi="宋体" w:cs="Times New Roman" w:hint="eastAsia"/>
          <w:sz w:val="24"/>
          <w:szCs w:val="24"/>
        </w:rPr>
        <w:t>赎回理财产品份额的行为。</w:t>
      </w:r>
    </w:p>
    <w:p w:rsidR="0077147C" w14:paraId="36503995" w14:textId="77777777">
      <w:pPr>
        <w:adjustRightInd w:val="0"/>
        <w:snapToGrid w:val="0"/>
        <w:spacing w:line="360"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77147C" w14:paraId="3EBDED02"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77147C" w14:paraId="173A4470" w14:textId="77777777">
      <w:pPr>
        <w:adjustRightInd w:val="0"/>
        <w:snapToGrid w:val="0"/>
        <w:spacing w:line="312" w:lineRule="auto"/>
        <w:ind w:firstLine="480" w:firstLineChars="200"/>
        <w:jc w:val="left"/>
        <w:rPr>
          <w:rFonts w:ascii="宋体" w:eastAsia="宋体" w:hAnsi="宋体" w:cs="宋体" w:hint="eastAsia"/>
          <w:kern w:val="0"/>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77147C" w14:paraId="316046F1" w14:textId="77777777">
      <w:pPr>
        <w:adjustRightInd w:val="0"/>
        <w:snapToGrid w:val="0"/>
        <w:spacing w:line="312" w:lineRule="auto"/>
        <w:ind w:firstLine="480" w:firstLineChars="200"/>
        <w:jc w:val="left"/>
        <w:rPr>
          <w:rFonts w:ascii="宋体" w:eastAsia="宋体" w:hAnsi="宋体" w:cs="宋体" w:hint="eastAsia"/>
          <w:color w:val="000000"/>
          <w:kern w:val="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77147C" w14:paraId="558E659D"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77147C" w14:paraId="52DD1E9C"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77147C" w14:paraId="07EC3A11"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77147C" w14:paraId="0C7C472A"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77147C" w14:paraId="16C2D773"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77147C" w14:paraId="4BD00B4D"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77147C" w14:paraId="074E6F7A"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77147C" w14:paraId="495FDCD0" w14:textId="77777777">
      <w:pPr>
        <w:adjustRightInd w:val="0"/>
        <w:snapToGrid w:val="0"/>
        <w:spacing w:line="312" w:lineRule="auto"/>
        <w:ind w:firstLine="470" w:firstLineChars="196"/>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w:t>
      </w:r>
      <w:r>
        <w:rPr>
          <w:rFonts w:ascii="宋体" w:eastAsia="宋体" w:hAnsi="宋体" w:cs="Times New Roman" w:hint="eastAsia"/>
          <w:b/>
          <w:sz w:val="24"/>
          <w:szCs w:val="24"/>
        </w:rPr>
        <w:t>购本理财</w:t>
      </w:r>
      <w:r>
        <w:rPr>
          <w:rFonts w:ascii="宋体" w:eastAsia="宋体" w:hAnsi="宋体" w:cs="Times New Roman" w:hint="eastAsia"/>
          <w:b/>
          <w:sz w:val="24"/>
          <w:szCs w:val="24"/>
        </w:rPr>
        <w:t>产品，投资风险由甲方承担。投资风险包括但不限于市场风险、信用风险等，具体详见《风险揭示书》。</w:t>
      </w:r>
    </w:p>
    <w:p w:rsidR="0077147C" w14:paraId="7DA6E45C" w14:textId="2294B8F6">
      <w:pPr>
        <w:adjustRightInd w:val="0"/>
        <w:snapToGrid w:val="0"/>
        <w:spacing w:line="312" w:lineRule="auto"/>
        <w:ind w:firstLine="480" w:firstLineChars="200"/>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w:t>
      </w:r>
      <w:r w:rsidR="00DD1ED4">
        <w:rPr>
          <w:rFonts w:ascii="宋体" w:eastAsia="宋体" w:hAnsi="宋体" w:cs="Times New Roman" w:hint="eastAsia"/>
          <w:b/>
          <w:sz w:val="24"/>
          <w:szCs w:val="24"/>
          <w:u w:val="single"/>
        </w:rPr>
        <w:t>五</w:t>
      </w:r>
      <w:r>
        <w:rPr>
          <w:rFonts w:ascii="宋体" w:eastAsia="宋体" w:hAnsi="宋体" w:cs="Times New Roman" w:hint="eastAsia"/>
          <w:b/>
          <w:sz w:val="24"/>
          <w:szCs w:val="24"/>
          <w:u w:val="single"/>
        </w:rPr>
        <w:t>个风险等级，与甲方在乙方评估的风险承受能力等级</w:t>
      </w:r>
      <w:r w:rsidR="00DD1ED4">
        <w:rPr>
          <w:rFonts w:ascii="宋体" w:eastAsia="宋体" w:hAnsi="宋体" w:cs="Times New Roman" w:hint="eastAsia"/>
          <w:b/>
          <w:sz w:val="24"/>
          <w:szCs w:val="24"/>
          <w:u w:val="single"/>
        </w:rPr>
        <w:t>五</w:t>
      </w:r>
      <w:r>
        <w:rPr>
          <w:rFonts w:ascii="宋体" w:eastAsia="宋体" w:hAnsi="宋体" w:cs="Times New Roman" w:hint="eastAsia"/>
          <w:b/>
          <w:sz w:val="24"/>
          <w:szCs w:val="24"/>
          <w:u w:val="single"/>
        </w:rPr>
        <w:t>个等级一一对应。甲方需根据风险承受能力评估结果选择风险承受能力相匹配的产品。</w:t>
      </w:r>
      <w:r w:rsidR="003A3BD8">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7147C" w14:paraId="0693A499"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w:t>
      </w:r>
      <w:r>
        <w:rPr>
          <w:rFonts w:ascii="宋体" w:eastAsia="宋体" w:hAnsi="宋体" w:cs="Times New Roman" w:hint="eastAsia"/>
          <w:b/>
          <w:bCs/>
          <w:sz w:val="24"/>
          <w:szCs w:val="24"/>
        </w:rPr>
        <w:t>购投资</w:t>
      </w:r>
      <w:r>
        <w:rPr>
          <w:rFonts w:ascii="宋体" w:eastAsia="宋体" w:hAnsi="宋体" w:cs="Times New Roman" w:hint="eastAsia"/>
          <w:b/>
          <w:bCs/>
          <w:sz w:val="24"/>
          <w:szCs w:val="24"/>
        </w:rPr>
        <w:t>本金划付</w:t>
      </w:r>
      <w:r>
        <w:rPr>
          <w:rFonts w:ascii="宋体" w:eastAsia="宋体" w:hAnsi="宋体" w:cs="Times New Roman" w:hint="eastAsia"/>
          <w:b/>
          <w:bCs/>
          <w:sz w:val="24"/>
          <w:szCs w:val="24"/>
        </w:rPr>
        <w:t>至产品</w:t>
      </w:r>
      <w:r>
        <w:rPr>
          <w:rFonts w:ascii="宋体" w:eastAsia="宋体" w:hAnsi="宋体" w:cs="Times New Roman" w:hint="eastAsia"/>
          <w:b/>
          <w:bCs/>
          <w:sz w:val="24"/>
          <w:szCs w:val="24"/>
        </w:rPr>
        <w:t>管理人前，对应投资本金的划付和计息方式以乙方规则为准。在产品约定的投资期内，投资本金不另计存款利息。</w:t>
      </w:r>
    </w:p>
    <w:p w:rsidR="0077147C" w14:paraId="691E28C4"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77147C" w14:paraId="450EE755"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77147C" w14:paraId="67CD7295"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color w:val="000000"/>
          <w:kern w:val="0"/>
          <w:sz w:val="24"/>
          <w:szCs w:val="24"/>
        </w:rPr>
        <w:t>第七条</w:t>
      </w:r>
      <w:r>
        <w:rPr>
          <w:rFonts w:ascii="宋体" w:eastAsia="宋体" w:hAnsi="宋体" w:cs="Times New Roman" w:hint="eastAsia"/>
          <w:color w:val="000000"/>
          <w:kern w:val="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77147C" w14:paraId="4FB19BA4"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77147C" w14:paraId="6BACB06D" w14:textId="77777777">
      <w:pPr>
        <w:adjustRightInd w:val="0"/>
        <w:snapToGrid w:val="0"/>
        <w:spacing w:line="312" w:lineRule="auto"/>
        <w:ind w:firstLine="480" w:firstLineChars="200"/>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w:t>
      </w:r>
      <w:r>
        <w:rPr>
          <w:rFonts w:ascii="宋体" w:eastAsia="宋体" w:hAnsi="宋体" w:cs="Times New Roman" w:hint="eastAsia"/>
          <w:b/>
          <w:bCs/>
          <w:sz w:val="24"/>
          <w:szCs w:val="24"/>
        </w:rPr>
        <w:t>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77147C" w14:paraId="5AF93B3C"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w:t>
      </w:r>
      <w:r>
        <w:rPr>
          <w:rFonts w:ascii="宋体" w:eastAsia="宋体" w:hAnsi="宋体" w:cs="Times New Roman" w:hint="eastAsia"/>
          <w:b/>
          <w:sz w:val="24"/>
          <w:szCs w:val="24"/>
        </w:rPr>
        <w:t>私募理财产品募集期最后一天为产品冷静期，冷静</w:t>
      </w:r>
      <w:r>
        <w:rPr>
          <w:rFonts w:ascii="宋体" w:eastAsia="宋体" w:hAnsi="宋体" w:cs="Times New Roman" w:hint="eastAsia"/>
          <w:b/>
          <w:sz w:val="24"/>
          <w:szCs w:val="24"/>
        </w:rPr>
        <w:t>期具体</w:t>
      </w:r>
      <w:r>
        <w:rPr>
          <w:rFonts w:ascii="宋体" w:eastAsia="宋体" w:hAnsi="宋体" w:cs="Times New Roman" w:hint="eastAsia"/>
          <w:b/>
          <w:sz w:val="24"/>
          <w:szCs w:val="24"/>
        </w:rPr>
        <w:t>设置规则以《理财产品说明书》为准</w:t>
      </w:r>
      <w:r>
        <w:rPr>
          <w:rFonts w:ascii="宋体" w:eastAsia="宋体" w:hAnsi="宋体" w:cs="Times New Roman"/>
          <w:b/>
          <w:sz w:val="24"/>
          <w:szCs w:val="24"/>
        </w:rPr>
        <w:t>。在冷静期内，如甲方改变投</w:t>
      </w:r>
      <w:r>
        <w:rPr>
          <w:rFonts w:ascii="宋体" w:eastAsia="宋体" w:hAnsi="宋体" w:cs="Times New Roman" w:hint="eastAsia"/>
          <w:b/>
          <w:sz w:val="24"/>
          <w:szCs w:val="24"/>
        </w:rPr>
        <w:t>资决定，应立即撤销认</w:t>
      </w:r>
      <w:r>
        <w:rPr>
          <w:rFonts w:ascii="宋体" w:eastAsia="宋体" w:hAnsi="宋体" w:cs="Times New Roman"/>
          <w:b/>
          <w:sz w:val="24"/>
          <w:szCs w:val="24"/>
        </w:rPr>
        <w:t>购的申请或</w:t>
      </w:r>
      <w:r>
        <w:rPr>
          <w:rFonts w:ascii="宋体" w:eastAsia="宋体" w:hAnsi="宋体" w:cs="Times New Roman" w:hint="eastAsia"/>
          <w:b/>
          <w:sz w:val="24"/>
          <w:szCs w:val="24"/>
        </w:rPr>
        <w:t>通过乙方向乙方和产品管理人提出解除相应理财产品销售文件，乙方和产品管理人应当遵从甲方意愿，解除已签订的理财产品销售文件，并及时退还甲方的全部投资款项。</w:t>
      </w:r>
    </w:p>
    <w:p w:rsidR="0077147C" w14:paraId="26624D88" w14:textId="77777777">
      <w:pPr>
        <w:adjustRightInd w:val="0"/>
        <w:snapToGrid w:val="0"/>
        <w:spacing w:line="312" w:lineRule="auto"/>
        <w:ind w:firstLine="480" w:firstLineChars="200"/>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77147C" w14:paraId="244520F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77147C" w14:paraId="0B0F67CD"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Pr>
          <w:rFonts w:ascii="宋体" w:eastAsia="宋体" w:hAnsi="宋体" w:cs="Times New Roman" w:hint="eastAsia"/>
          <w:b/>
          <w:sz w:val="24"/>
          <w:szCs w:val="24"/>
        </w:rPr>
        <w:t>从到期日到</w:t>
      </w:r>
      <w:bookmarkStart w:id="13" w:name="OLE_LINK3_0"/>
      <w:bookmarkStart w:id="14" w:name="OLE_LINK4_0"/>
      <w:r>
        <w:rPr>
          <w:rFonts w:ascii="宋体" w:eastAsia="宋体" w:hAnsi="宋体" w:cs="Times New Roman" w:hint="eastAsia"/>
          <w:b/>
          <w:sz w:val="24"/>
          <w:szCs w:val="24"/>
        </w:rPr>
        <w:t>资金清算日</w:t>
      </w:r>
      <w:bookmarkEnd w:id="13"/>
      <w:bookmarkEnd w:id="14"/>
      <w:r>
        <w:rPr>
          <w:rFonts w:ascii="宋体" w:eastAsia="宋体" w:hAnsi="宋体" w:cs="Times New Roman" w:hint="eastAsia"/>
          <w:b/>
          <w:sz w:val="24"/>
          <w:szCs w:val="24"/>
        </w:rPr>
        <w:t>的期间不计付利息。</w:t>
      </w:r>
    </w:p>
    <w:p w:rsidR="0077147C" w14:paraId="690DC770"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sz w:val="24"/>
          <w:szCs w:val="24"/>
        </w:rPr>
        <w:t>若发生因甲方注销</w:t>
      </w:r>
      <w:r>
        <w:rPr>
          <w:rFonts w:ascii="宋体" w:eastAsia="宋体" w:hAnsi="宋体" w:cs="Times New Roman" w:hint="eastAsia"/>
          <w:b/>
          <w:bCs/>
          <w:sz w:val="24"/>
          <w:szCs w:val="24"/>
        </w:rPr>
        <w:t>账户</w:t>
      </w:r>
      <w:r>
        <w:rPr>
          <w:rFonts w:ascii="宋体" w:eastAsia="宋体" w:hAnsi="宋体" w:cs="Times New Roman" w:hint="eastAsia"/>
          <w:b/>
          <w:sz w:val="24"/>
          <w:szCs w:val="24"/>
        </w:rPr>
        <w:t>造成资金无法入账，乙方和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不承担任何责任。</w:t>
      </w:r>
    </w:p>
    <w:p w:rsidR="0077147C" w14:paraId="50A8F4B8"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77147C" w14:paraId="7CC1194C"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不承担责任，但乙方应在条件允许的情况下通知甲方，并采取一切必要的补救措施以减小不可抗力因素造成的损失。</w:t>
      </w:r>
    </w:p>
    <w:p w:rsidR="0077147C" w14:paraId="16F46C60"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77147C" w14:paraId="39EE6AC7"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w:t>
      </w:r>
      <w:r>
        <w:rPr>
          <w:rFonts w:ascii="宋体" w:eastAsia="宋体" w:hAnsi="宋体" w:cs="Times New Roman" w:hint="eastAsia"/>
          <w:b/>
          <w:sz w:val="24"/>
          <w:szCs w:val="24"/>
        </w:rPr>
        <w:t>如遇非工作日</w:t>
      </w:r>
      <w:r>
        <w:rPr>
          <w:rFonts w:ascii="宋体" w:eastAsia="宋体" w:hAnsi="宋体" w:cs="Times New Roman" w:hint="eastAsia"/>
          <w:b/>
          <w:sz w:val="24"/>
          <w:szCs w:val="24"/>
        </w:rPr>
        <w:t>，则延至下一个工作日，由此导致的风险，乙方和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77147C" w14:paraId="0A832E3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77147C" w14:paraId="65907FE4"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77147C" w14:paraId="73874975" w14:textId="77777777">
      <w:pPr>
        <w:adjustRightInd w:val="0"/>
        <w:snapToGrid w:val="0"/>
        <w:spacing w:line="312" w:lineRule="auto"/>
        <w:ind w:firstLine="408" w:firstLineChars="17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77147C" w14:paraId="281A0278" w14:textId="77777777">
      <w:pPr>
        <w:adjustRightInd w:val="0"/>
        <w:snapToGrid w:val="0"/>
        <w:spacing w:line="312" w:lineRule="auto"/>
        <w:ind w:firstLine="410" w:firstLineChars="171"/>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77147C" w14:paraId="08DD7DE7" w14:textId="77777777">
      <w:pPr>
        <w:adjustRightInd w:val="0"/>
        <w:snapToGrid w:val="0"/>
        <w:spacing w:line="312" w:lineRule="auto"/>
        <w:ind w:firstLine="410" w:firstLineChars="171"/>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77147C" w14:paraId="56E072D8" w14:textId="168B1E9A">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color w:val="000000"/>
          <w:sz w:val="24"/>
          <w:szCs w:val="24"/>
        </w:rPr>
        <w:t>（四）基</w:t>
      </w:r>
      <w:r>
        <w:rPr>
          <w:rFonts w:ascii="宋体" w:eastAsia="宋体" w:hAnsi="宋体" w:cs="Times New Roman"/>
          <w:b/>
          <w:sz w:val="24"/>
          <w:szCs w:val="24"/>
        </w:rPr>
        <w:t>于</w:t>
      </w:r>
      <w:r>
        <w:rPr>
          <w:rFonts w:ascii="宋体" w:eastAsia="宋体" w:hAnsi="宋体" w:cs="Times New Roman" w:hint="eastAsia"/>
          <w:b/>
          <w:sz w:val="24"/>
          <w:szCs w:val="24"/>
        </w:rPr>
        <w:t>产品管理人及乙方</w:t>
      </w:r>
      <w:r>
        <w:rPr>
          <w:rFonts w:ascii="宋体" w:eastAsia="宋体" w:hAnsi="宋体" w:cs="Times New Roman"/>
          <w:b/>
          <w:sz w:val="24"/>
          <w:szCs w:val="24"/>
        </w:rPr>
        <w:t>履行</w:t>
      </w:r>
      <w:r>
        <w:rPr>
          <w:rFonts w:ascii="宋体" w:eastAsia="宋体" w:hAnsi="宋体" w:cs="Times New Roman" w:hint="eastAsia"/>
          <w:b/>
          <w:sz w:val="24"/>
          <w:szCs w:val="24"/>
        </w:rPr>
        <w:t>理财产品</w:t>
      </w:r>
      <w:r>
        <w:rPr>
          <w:rFonts w:ascii="宋体" w:eastAsia="宋体" w:hAnsi="宋体" w:cs="Times New Roman"/>
          <w:b/>
          <w:sz w:val="24"/>
          <w:szCs w:val="24"/>
        </w:rPr>
        <w:t>销售文件所载明的各项</w:t>
      </w:r>
      <w:r>
        <w:rPr>
          <w:rFonts w:ascii="宋体" w:eastAsia="宋体" w:hAnsi="宋体" w:cs="Times New Roman" w:hint="eastAsia"/>
          <w:b/>
          <w:sz w:val="24"/>
          <w:szCs w:val="24"/>
        </w:rPr>
        <w:t>义务</w:t>
      </w:r>
      <w:r>
        <w:rPr>
          <w:rFonts w:ascii="宋体" w:eastAsia="宋体" w:hAnsi="宋体" w:cs="Times New Roman"/>
          <w:b/>
          <w:sz w:val="24"/>
          <w:szCs w:val="24"/>
        </w:rPr>
        <w:t>、进行服务管理和风险管理、报送监管信息</w:t>
      </w:r>
      <w:r>
        <w:rPr>
          <w:rFonts w:ascii="宋体" w:eastAsia="宋体" w:hAnsi="宋体" w:cs="Times New Roman" w:hint="eastAsia"/>
          <w:b/>
          <w:sz w:val="24"/>
          <w:szCs w:val="24"/>
        </w:rPr>
        <w:t>、</w:t>
      </w:r>
      <w:r>
        <w:rPr>
          <w:rFonts w:ascii="宋体" w:eastAsia="宋体" w:hAnsi="宋体" w:cs="Times New Roman"/>
          <w:b/>
          <w:sz w:val="24"/>
          <w:szCs w:val="24"/>
        </w:rPr>
        <w:t>履行反洗钱、</w:t>
      </w:r>
      <w:r>
        <w:rPr>
          <w:rFonts w:ascii="宋体" w:eastAsia="宋体" w:hAnsi="宋体" w:cs="Times New Roman" w:hint="eastAsia"/>
          <w:b/>
          <w:sz w:val="24"/>
          <w:szCs w:val="24"/>
        </w:rPr>
        <w:t>反恐怖融资、非居民金融账户涉税信息尽职调查、</w:t>
      </w:r>
      <w:r>
        <w:rPr>
          <w:rFonts w:ascii="宋体" w:eastAsia="宋体" w:hAnsi="宋体" w:cs="Times New Roman"/>
          <w:b/>
          <w:sz w:val="24"/>
          <w:szCs w:val="24"/>
        </w:rPr>
        <w:t>投资者资质审核和销售适当性等法律法规和监管要求的义务</w:t>
      </w:r>
      <w:r>
        <w:rPr>
          <w:rFonts w:ascii="宋体" w:eastAsia="宋体" w:hAnsi="宋体" w:cs="Times New Roman" w:hint="eastAsia"/>
          <w:b/>
          <w:sz w:val="24"/>
          <w:szCs w:val="24"/>
        </w:rPr>
        <w:t>的</w:t>
      </w:r>
      <w:r>
        <w:rPr>
          <w:rFonts w:ascii="宋体" w:eastAsia="宋体" w:hAnsi="宋体" w:cs="Times New Roman"/>
          <w:b/>
          <w:sz w:val="24"/>
          <w:szCs w:val="24"/>
        </w:rPr>
        <w:t>需要，甲方授权</w:t>
      </w:r>
      <w:r>
        <w:rPr>
          <w:rFonts w:ascii="宋体" w:eastAsia="宋体" w:hAnsi="宋体" w:cs="Times New Roman" w:hint="eastAsia"/>
          <w:b/>
          <w:sz w:val="24"/>
          <w:szCs w:val="24"/>
        </w:rPr>
        <w:t>乙方</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获取并报送、处理甲方个人信息，授权产品管理人</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直接</w:t>
      </w:r>
      <w:r>
        <w:rPr>
          <w:rFonts w:ascii="宋体" w:eastAsia="宋体" w:hAnsi="宋体" w:cs="Times New Roman"/>
          <w:b/>
          <w:sz w:val="24"/>
          <w:szCs w:val="24"/>
        </w:rPr>
        <w:t>或</w:t>
      </w:r>
      <w:r>
        <w:rPr>
          <w:rFonts w:ascii="宋体" w:eastAsia="宋体" w:hAnsi="宋体" w:cs="Times New Roman" w:hint="eastAsia"/>
          <w:b/>
          <w:sz w:val="24"/>
          <w:szCs w:val="24"/>
        </w:rPr>
        <w:t>通过乙方间接获取并报送、处理甲方</w:t>
      </w:r>
      <w:r w:rsidR="00047C5B">
        <w:rPr>
          <w:rFonts w:ascii="宋体" w:eastAsia="宋体" w:hAnsi="宋体" w:cs="Times New Roman" w:hint="eastAsia"/>
          <w:b/>
          <w:sz w:val="24"/>
          <w:szCs w:val="24"/>
        </w:rPr>
        <w:t>或甲方相关人员的</w:t>
      </w:r>
      <w:r>
        <w:rPr>
          <w:rFonts w:ascii="宋体" w:eastAsia="宋体" w:hAnsi="宋体" w:cs="Times New Roman" w:hint="eastAsia"/>
          <w:b/>
          <w:sz w:val="24"/>
          <w:szCs w:val="24"/>
        </w:rPr>
        <w:t>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themeColor="text1"/>
          <w:sz w:val="24"/>
          <w:szCs w:val="24"/>
        </w:rPr>
        <w:t>风险承受能力等级、理财产品交易时间等金融交易信息，</w:t>
      </w:r>
      <w:r>
        <w:rPr>
          <w:rFonts w:ascii="宋体" w:eastAsia="宋体" w:hAnsi="宋体" w:cs="Times New Roman" w:hint="eastAsia"/>
          <w:b/>
          <w:sz w:val="24"/>
          <w:szCs w:val="24"/>
        </w:rPr>
        <w:t>持有理财产品信息等财产信息，及法律法规、监管要求或行业自律准则规定的其他信息；</w:t>
      </w:r>
      <w:r>
        <w:rPr>
          <w:rFonts w:ascii="宋体" w:eastAsia="宋体" w:hAnsi="宋体" w:cs="Times New Roman" w:hint="eastAsia"/>
          <w:b/>
          <w:bCs/>
          <w:color w:val="000000" w:themeColor="text1"/>
          <w:sz w:val="24"/>
          <w:szCs w:val="24"/>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b/>
          <w:sz w:val="24"/>
          <w:szCs w:val="24"/>
        </w:rPr>
        <w:t>在</w:t>
      </w:r>
      <w:r>
        <w:rPr>
          <w:rFonts w:ascii="宋体" w:eastAsia="宋体" w:hAnsi="宋体" w:cs="Times New Roman" w:hint="eastAsia"/>
          <w:b/>
          <w:sz w:val="24"/>
          <w:szCs w:val="24"/>
        </w:rPr>
        <w:t>产品</w:t>
      </w:r>
      <w:r>
        <w:rPr>
          <w:rFonts w:ascii="宋体" w:eastAsia="宋体" w:hAnsi="宋体" w:cs="Times New Roman"/>
          <w:b/>
          <w:sz w:val="24"/>
          <w:szCs w:val="24"/>
        </w:rPr>
        <w:t>管理人</w:t>
      </w:r>
      <w:r>
        <w:rPr>
          <w:rFonts w:ascii="宋体" w:eastAsia="宋体" w:hAnsi="宋体" w:cs="Times New Roman" w:hint="eastAsia"/>
          <w:b/>
          <w:sz w:val="24"/>
          <w:szCs w:val="24"/>
        </w:rPr>
        <w:t>及乙方</w:t>
      </w:r>
      <w:r>
        <w:rPr>
          <w:rFonts w:ascii="宋体" w:eastAsia="宋体" w:hAnsi="宋体" w:cs="Times New Roman"/>
          <w:b/>
          <w:sz w:val="24"/>
          <w:szCs w:val="24"/>
        </w:rPr>
        <w:t>办理本</w:t>
      </w:r>
      <w:r>
        <w:rPr>
          <w:rFonts w:ascii="宋体" w:eastAsia="宋体" w:hAnsi="宋体" w:cs="Times New Roman" w:hint="eastAsia"/>
          <w:b/>
          <w:sz w:val="24"/>
          <w:szCs w:val="24"/>
        </w:rPr>
        <w:t>协议</w:t>
      </w:r>
      <w:r>
        <w:rPr>
          <w:rFonts w:ascii="宋体" w:eastAsia="宋体" w:hAnsi="宋体" w:cs="Times New Roman"/>
          <w:b/>
          <w:sz w:val="24"/>
          <w:szCs w:val="24"/>
        </w:rPr>
        <w:t>项下相关事项所必需的情形下，甲方同意并授权</w:t>
      </w:r>
      <w:r>
        <w:rPr>
          <w:rFonts w:ascii="宋体" w:eastAsia="宋体" w:hAnsi="宋体" w:cs="Times New Roman" w:hint="eastAsia"/>
          <w:b/>
          <w:sz w:val="24"/>
          <w:szCs w:val="24"/>
        </w:rPr>
        <w:t>产品</w:t>
      </w:r>
      <w:r>
        <w:rPr>
          <w:rFonts w:ascii="宋体" w:eastAsia="宋体" w:hAnsi="宋体" w:cs="Times New Roman"/>
          <w:b/>
          <w:sz w:val="24"/>
          <w:szCs w:val="24"/>
        </w:rPr>
        <w:t>管理人</w:t>
      </w:r>
      <w:r>
        <w:rPr>
          <w:rFonts w:ascii="宋体" w:eastAsia="宋体" w:hAnsi="宋体" w:cs="Times New Roman" w:hint="eastAsia"/>
          <w:b/>
          <w:sz w:val="24"/>
          <w:szCs w:val="24"/>
        </w:rPr>
        <w:t>及乙方</w:t>
      </w:r>
      <w:r>
        <w:rPr>
          <w:rFonts w:ascii="宋体" w:eastAsia="宋体" w:hAnsi="宋体" w:cs="Times New Roman"/>
          <w:b/>
          <w:sz w:val="24"/>
          <w:szCs w:val="24"/>
        </w:rPr>
        <w:t>向</w:t>
      </w:r>
      <w:r>
        <w:rPr>
          <w:rFonts w:ascii="宋体" w:eastAsia="宋体" w:hAnsi="宋体" w:cs="Times New Roman" w:hint="eastAsia"/>
          <w:b/>
          <w:sz w:val="24"/>
          <w:szCs w:val="24"/>
        </w:rPr>
        <w:t>其</w:t>
      </w:r>
      <w:r>
        <w:rPr>
          <w:rFonts w:ascii="宋体" w:eastAsia="宋体" w:hAnsi="宋体" w:cs="Times New Roman"/>
          <w:b/>
          <w:sz w:val="24"/>
          <w:szCs w:val="24"/>
        </w:rPr>
        <w:t>集团成员、服务机构及其他</w:t>
      </w:r>
      <w:r>
        <w:rPr>
          <w:rFonts w:ascii="宋体" w:eastAsia="宋体" w:hAnsi="宋体" w:cs="Times New Roman" w:hint="eastAsia"/>
          <w:b/>
          <w:sz w:val="24"/>
          <w:szCs w:val="24"/>
        </w:rPr>
        <w:t>产品管理人或</w:t>
      </w:r>
      <w:r>
        <w:rPr>
          <w:rFonts w:ascii="宋体" w:eastAsia="宋体" w:hAnsi="宋体" w:cs="Times New Roman"/>
          <w:b/>
          <w:sz w:val="24"/>
          <w:szCs w:val="24"/>
        </w:rPr>
        <w:t>乙方认为必要的业务合作机构</w:t>
      </w:r>
      <w:r w:rsidR="00745E89">
        <w:rPr>
          <w:rFonts w:ascii="宋体" w:eastAsia="宋体" w:hAnsi="宋体" w:cs="Times New Roman" w:hint="eastAsia"/>
          <w:b/>
          <w:sz w:val="24"/>
          <w:szCs w:val="24"/>
        </w:rPr>
        <w:t>（包括但不限于清算服务机构等）</w:t>
      </w:r>
      <w:r>
        <w:rPr>
          <w:rFonts w:ascii="宋体" w:eastAsia="宋体" w:hAnsi="宋体" w:cs="Times New Roman"/>
          <w:b/>
          <w:sz w:val="24"/>
          <w:szCs w:val="24"/>
        </w:rPr>
        <w:t>提供</w:t>
      </w:r>
      <w:r>
        <w:rPr>
          <w:rFonts w:ascii="宋体" w:eastAsia="宋体" w:hAnsi="宋体" w:cs="Times New Roman" w:hint="eastAsia"/>
          <w:b/>
          <w:sz w:val="24"/>
          <w:szCs w:val="24"/>
        </w:rPr>
        <w:t>其</w:t>
      </w:r>
      <w:r>
        <w:rPr>
          <w:rFonts w:ascii="宋体" w:eastAsia="宋体" w:hAnsi="宋体" w:cs="Times New Roman"/>
          <w:b/>
          <w:sz w:val="24"/>
          <w:szCs w:val="24"/>
        </w:rPr>
        <w:t>获取的</w:t>
      </w:r>
      <w:r>
        <w:rPr>
          <w:rFonts w:ascii="宋体" w:eastAsia="宋体" w:hAnsi="宋体" w:cs="Times New Roman" w:hint="eastAsia"/>
          <w:b/>
          <w:sz w:val="24"/>
          <w:szCs w:val="24"/>
        </w:rPr>
        <w:t>上述</w:t>
      </w:r>
      <w:r>
        <w:rPr>
          <w:rFonts w:ascii="宋体" w:eastAsia="宋体" w:hAnsi="宋体" w:cs="Times New Roman"/>
          <w:b/>
          <w:sz w:val="24"/>
          <w:szCs w:val="24"/>
        </w:rPr>
        <w:t>甲方信息，</w:t>
      </w:r>
      <w:r>
        <w:rPr>
          <w:rFonts w:ascii="宋体" w:eastAsia="宋体" w:hAnsi="宋体" w:cs="Times New Roman" w:hint="eastAsia"/>
          <w:b/>
          <w:sz w:val="24"/>
          <w:szCs w:val="24"/>
        </w:rPr>
        <w:t>授权使用时限与提供前述服务及履行相关法律法规和监管要求义务的必要时限一致。</w:t>
      </w:r>
      <w:r>
        <w:rPr>
          <w:rFonts w:ascii="宋体" w:eastAsia="宋体" w:hAnsi="宋体" w:cs="Times New Roman"/>
          <w:b/>
          <w:sz w:val="24"/>
          <w:szCs w:val="24"/>
        </w:rPr>
        <w:t>接收信息的</w:t>
      </w:r>
      <w:r>
        <w:rPr>
          <w:rFonts w:ascii="宋体" w:eastAsia="宋体" w:hAnsi="宋体" w:cs="Times New Roman"/>
          <w:b/>
          <w:sz w:val="24"/>
          <w:szCs w:val="24"/>
        </w:rPr>
        <w:t>上述第三</w:t>
      </w:r>
      <w:r>
        <w:rPr>
          <w:rFonts w:ascii="宋体" w:eastAsia="宋体" w:hAnsi="宋体" w:cs="Times New Roman"/>
          <w:b/>
          <w:sz w:val="24"/>
          <w:szCs w:val="24"/>
        </w:rPr>
        <w:t>方将为处理本协议项下事务之目的接触并按照</w:t>
      </w:r>
      <w:r>
        <w:rPr>
          <w:rFonts w:ascii="宋体" w:eastAsia="宋体" w:hAnsi="宋体" w:cs="Times New Roman" w:hint="eastAsia"/>
          <w:b/>
          <w:sz w:val="24"/>
          <w:szCs w:val="24"/>
        </w:rPr>
        <w:t>产品管理人或乙方</w:t>
      </w:r>
      <w:r>
        <w:rPr>
          <w:rFonts w:ascii="宋体" w:eastAsia="宋体" w:hAnsi="宋体" w:cs="Times New Roman"/>
          <w:b/>
          <w:sz w:val="24"/>
          <w:szCs w:val="24"/>
        </w:rPr>
        <w:t>的业务需要</w:t>
      </w:r>
      <w:r>
        <w:rPr>
          <w:rFonts w:ascii="宋体" w:eastAsia="宋体" w:hAnsi="宋体" w:cs="Times New Roman" w:hint="eastAsia"/>
          <w:b/>
          <w:sz w:val="24"/>
          <w:szCs w:val="24"/>
        </w:rPr>
        <w:t>处理</w:t>
      </w:r>
      <w:r>
        <w:rPr>
          <w:rFonts w:ascii="宋体" w:eastAsia="宋体" w:hAnsi="宋体" w:cs="Times New Roman"/>
          <w:b/>
          <w:sz w:val="24"/>
          <w:szCs w:val="24"/>
        </w:rPr>
        <w:t>甲方信息</w:t>
      </w:r>
      <w:r>
        <w:rPr>
          <w:rFonts w:ascii="宋体" w:eastAsia="宋体" w:hAnsi="宋体" w:cs="Times New Roman" w:hint="eastAsia"/>
          <w:b/>
          <w:sz w:val="24"/>
          <w:szCs w:val="24"/>
        </w:rPr>
        <w:t>，</w:t>
      </w:r>
      <w:r>
        <w:rPr>
          <w:rFonts w:ascii="宋体" w:eastAsia="宋体" w:hAnsi="宋体" w:cs="Times New Roman" w:hint="eastAsia"/>
          <w:b/>
          <w:bCs/>
          <w:color w:val="000000" w:themeColor="text1"/>
          <w:sz w:val="24"/>
          <w:szCs w:val="24"/>
        </w:rPr>
        <w:t>处理方式包括但不限于存储、使用、加工、传输、提供等</w:t>
      </w:r>
      <w:r>
        <w:rPr>
          <w:rFonts w:ascii="宋体" w:eastAsia="宋体" w:hAnsi="宋体" w:cs="Times New Roman"/>
          <w:b/>
          <w:sz w:val="24"/>
          <w:szCs w:val="24"/>
        </w:rPr>
        <w:t>。</w:t>
      </w:r>
      <w:r w:rsidR="00011561">
        <w:rPr>
          <w:rFonts w:ascii="宋体" w:eastAsia="宋体" w:hAnsi="宋体" w:cs="Times New Roman" w:hint="eastAsia"/>
          <w:b/>
          <w:bCs/>
          <w:color w:val="000000" w:themeColor="text1"/>
          <w:sz w:val="24"/>
          <w:szCs w:val="24"/>
        </w:rPr>
        <w:t>上述约定的甲方</w:t>
      </w:r>
      <w:r w:rsidR="00047C5B">
        <w:rPr>
          <w:rFonts w:ascii="宋体" w:eastAsia="宋体" w:hAnsi="宋体" w:cs="Times New Roman" w:hint="eastAsia"/>
          <w:b/>
          <w:bCs/>
          <w:color w:val="000000" w:themeColor="text1"/>
          <w:sz w:val="24"/>
          <w:szCs w:val="24"/>
        </w:rPr>
        <w:t>或甲方相关人员的</w:t>
      </w:r>
      <w:r w:rsidR="00011561">
        <w:rPr>
          <w:rFonts w:ascii="宋体" w:eastAsia="宋体" w:hAnsi="宋体" w:cs="Times New Roman" w:hint="eastAsia"/>
          <w:b/>
          <w:bCs/>
          <w:color w:val="000000" w:themeColor="text1"/>
          <w:sz w:val="24"/>
          <w:szCs w:val="24"/>
        </w:rPr>
        <w:t>个人信息包括敏感个人信息，敏感个人信息一旦泄露或非法使用，容易导致甲方</w:t>
      </w:r>
      <w:r w:rsidR="00047C5B">
        <w:rPr>
          <w:rFonts w:ascii="宋体" w:eastAsia="宋体" w:hAnsi="宋体" w:cs="Times New Roman" w:hint="eastAsia"/>
          <w:b/>
          <w:bCs/>
          <w:color w:val="000000" w:themeColor="text1"/>
          <w:sz w:val="24"/>
          <w:szCs w:val="24"/>
        </w:rPr>
        <w:t>或甲方相关人员</w:t>
      </w:r>
      <w:r w:rsidR="00011561">
        <w:rPr>
          <w:rFonts w:ascii="宋体" w:eastAsia="宋体" w:hAnsi="宋体" w:cs="Times New Roman" w:hint="eastAsia"/>
          <w:b/>
          <w:bCs/>
          <w:color w:val="000000" w:themeColor="text1"/>
          <w:sz w:val="24"/>
          <w:szCs w:val="24"/>
        </w:rPr>
        <w:t>的人格尊严受到侵害或者人身、财产安全受到危害。</w:t>
      </w:r>
      <w:r>
        <w:rPr>
          <w:rFonts w:ascii="宋体" w:eastAsia="宋体" w:hAnsi="宋体" w:cs="Times New Roman" w:hint="eastAsia"/>
          <w:b/>
          <w:sz w:val="24"/>
          <w:szCs w:val="24"/>
        </w:rPr>
        <w:t>产品管理人及乙方</w:t>
      </w:r>
      <w:r>
        <w:rPr>
          <w:rFonts w:ascii="宋体" w:eastAsia="宋体" w:hAnsi="宋体" w:cs="Times New Roman"/>
          <w:b/>
          <w:sz w:val="24"/>
          <w:szCs w:val="24"/>
        </w:rPr>
        <w:t>将向有关第三</w:t>
      </w:r>
      <w:r>
        <w:rPr>
          <w:rFonts w:ascii="宋体" w:eastAsia="宋体" w:hAnsi="宋体" w:cs="Times New Roman"/>
          <w:b/>
          <w:sz w:val="24"/>
          <w:szCs w:val="24"/>
        </w:rPr>
        <w:t>方明确</w:t>
      </w:r>
      <w:r>
        <w:rPr>
          <w:rFonts w:ascii="宋体" w:eastAsia="宋体" w:hAnsi="宋体" w:cs="Times New Roman"/>
          <w:b/>
          <w:sz w:val="24"/>
          <w:szCs w:val="24"/>
        </w:rPr>
        <w:t>其保护甲</w:t>
      </w:r>
      <w:r>
        <w:rPr>
          <w:rFonts w:ascii="宋体" w:eastAsia="宋体" w:hAnsi="宋体" w:cs="Times New Roman" w:hint="eastAsia"/>
          <w:b/>
          <w:sz w:val="24"/>
          <w:szCs w:val="24"/>
        </w:rPr>
        <w:t>方信息的职责并要求第三方承担相应保密义务</w:t>
      </w:r>
      <w:r w:rsidR="00C23727">
        <w:rPr>
          <w:rFonts w:ascii="宋体" w:eastAsia="宋体" w:hAnsi="宋体" w:cs="Times New Roman" w:hint="eastAsia"/>
          <w:b/>
          <w:sz w:val="24"/>
          <w:szCs w:val="24"/>
        </w:rPr>
        <w:t>，</w:t>
      </w:r>
      <w:bookmarkStart w:id="15" w:name="OLE_LINK99"/>
      <w:bookmarkStart w:id="16" w:name="OLE_LINK100"/>
      <w:r w:rsidR="00C23727">
        <w:rPr>
          <w:rFonts w:ascii="宋体" w:eastAsia="宋体" w:hAnsi="宋体" w:cs="Times New Roman" w:hint="eastAsia"/>
          <w:b/>
          <w:bCs/>
          <w:color w:val="000000" w:themeColor="text1"/>
          <w:sz w:val="24"/>
          <w:szCs w:val="24"/>
        </w:rPr>
        <w:t>严格按照相关法律法规及上述约定开展信息处理行为并采取安全保护措施</w:t>
      </w:r>
      <w:bookmarkEnd w:id="15"/>
      <w:bookmarkEnd w:id="16"/>
      <w:r>
        <w:rPr>
          <w:rFonts w:ascii="宋体" w:eastAsia="宋体" w:hAnsi="宋体" w:cs="Times New Roman" w:hint="eastAsia"/>
          <w:b/>
          <w:sz w:val="24"/>
          <w:szCs w:val="24"/>
        </w:rPr>
        <w:t>。</w:t>
      </w:r>
      <w:r>
        <w:rPr>
          <w:rFonts w:ascii="宋体" w:eastAsia="宋体" w:hAnsi="宋体" w:cs="Times New Roman" w:hint="eastAsia"/>
          <w:b/>
          <w:bCs/>
          <w:color w:val="000000"/>
          <w:sz w:val="24"/>
          <w:szCs w:val="24"/>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w:t>
      </w:r>
      <w:r>
        <w:rPr>
          <w:rFonts w:ascii="宋体" w:eastAsia="宋体" w:hAnsi="宋体" w:cs="Times New Roman" w:hint="eastAsia"/>
          <w:b/>
          <w:bCs/>
          <w:color w:val="000000"/>
          <w:sz w:val="24"/>
          <w:szCs w:val="24"/>
        </w:rPr>
        <w:t>甲方可以通过《理财产品说明书》、甲方与乙方的相关协议（如有）、第三方机构的官方网站（如有）、第三方机构的官方公众号（如有）等渠道获取相应的联系方式以行使甲方的个人信息权利，或者直接联系产品管理人或乙方。</w:t>
      </w:r>
    </w:p>
    <w:p w:rsidR="0077147C" w14:paraId="034B7153" w14:textId="77777777">
      <w:pPr>
        <w:adjustRightInd w:val="0"/>
        <w:snapToGrid w:val="0"/>
        <w:spacing w:line="312" w:lineRule="auto"/>
        <w:ind w:firstLine="408" w:firstLineChars="17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w:t>
      </w:r>
      <w:r>
        <w:rPr>
          <w:rFonts w:ascii="宋体" w:eastAsia="宋体" w:hAnsi="宋体" w:cs="Times New Roman" w:hint="eastAsia"/>
          <w:b/>
          <w:bCs/>
          <w:color w:val="000000"/>
          <w:sz w:val="24"/>
          <w:szCs w:val="24"/>
        </w:rPr>
        <w:t>非机构</w:t>
      </w:r>
      <w:r>
        <w:rPr>
          <w:rFonts w:ascii="宋体" w:eastAsia="宋体" w:hAnsi="宋体" w:cs="Times New Roman" w:hint="eastAsia"/>
          <w:b/>
          <w:bCs/>
          <w:color w:val="000000"/>
          <w:sz w:val="24"/>
          <w:szCs w:val="24"/>
        </w:rPr>
        <w:t>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77147C" w14:paraId="004734FA"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77147C" w14:paraId="46C81AA9"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本协议适用中华人民共和国法律。本协议履行过程中所发生的一切争议，双方应本着诚实信用的原则友好协商解决。若协商不成，双方均同意选择</w:t>
      </w:r>
      <w:r>
        <w:rPr>
          <w:rFonts w:ascii="宋体" w:eastAsia="宋体" w:hAnsi="宋体" w:cs="Times New Roman" w:hint="eastAsia"/>
          <w:b/>
          <w:sz w:val="24"/>
          <w:szCs w:val="24"/>
        </w:rPr>
        <w:t>如下第</w:t>
      </w:r>
      <w:r>
        <w:rPr>
          <w:rFonts w:ascii="宋体" w:eastAsia="宋体" w:hAnsi="宋体" w:cs="Times New Roman"/>
          <w:b/>
          <w:sz w:val="24"/>
          <w:szCs w:val="24"/>
          <w:u w:val="single"/>
        </w:rPr>
        <w:t xml:space="preserve"> 2 </w:t>
      </w:r>
      <w:r>
        <w:rPr>
          <w:rFonts w:ascii="宋体" w:eastAsia="宋体" w:hAnsi="宋体" w:cs="Times New Roman"/>
          <w:b/>
          <w:sz w:val="24"/>
          <w:szCs w:val="24"/>
        </w:rPr>
        <w:t>种方式解决</w:t>
      </w:r>
      <w:r>
        <w:rPr>
          <w:rFonts w:ascii="宋体" w:eastAsia="宋体" w:hAnsi="宋体" w:cs="Times New Roman" w:hint="eastAsia"/>
          <w:b/>
          <w:sz w:val="24"/>
          <w:szCs w:val="24"/>
        </w:rPr>
        <w:t>：</w:t>
      </w:r>
    </w:p>
    <w:p w:rsidR="0077147C" w14:paraId="05B3ACF2"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提交【/】仲裁委员会仲裁。仲裁应按照该仲裁机构现行有效的仲裁规则进行。仲裁裁决是终局的，对双方均有约束力。</w:t>
      </w:r>
    </w:p>
    <w:p w:rsidR="0077147C" w14:paraId="58FE642E"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任何一方均有权向被告方所在地或合同履行地有管辖权的人民法院提起诉讼。</w:t>
      </w:r>
    </w:p>
    <w:p w:rsidR="0077147C" w14:paraId="32560F41"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在争议解决期间，若该争议不影响本协议其他条款及其他理财产品</w:t>
      </w:r>
      <w:r>
        <w:rPr>
          <w:rFonts w:ascii="宋体" w:eastAsia="宋体" w:hAnsi="宋体" w:cs="Times New Roman"/>
          <w:b/>
          <w:sz w:val="24"/>
          <w:szCs w:val="24"/>
        </w:rPr>
        <w:t>销售文件</w:t>
      </w:r>
      <w:r>
        <w:rPr>
          <w:rFonts w:ascii="宋体" w:eastAsia="宋体" w:hAnsi="宋体" w:cs="Times New Roman" w:hint="eastAsia"/>
          <w:b/>
          <w:sz w:val="24"/>
          <w:szCs w:val="24"/>
        </w:rPr>
        <w:t>各条款的履行，前述条款应继续履行。因处理争议产生的费用（包括但不限于律师费、诉讼费等），除法院判决</w:t>
      </w:r>
      <w:r>
        <w:rPr>
          <w:rFonts w:ascii="宋体" w:eastAsia="宋体" w:hAnsi="宋体" w:cs="Times New Roman"/>
          <w:b/>
          <w:sz w:val="24"/>
          <w:szCs w:val="24"/>
        </w:rPr>
        <w:t>/裁定另有规定，</w:t>
      </w:r>
      <w:r>
        <w:rPr>
          <w:rFonts w:ascii="宋体" w:eastAsia="宋体" w:hAnsi="宋体" w:cs="Times New Roman" w:hint="eastAsia"/>
          <w:b/>
          <w:sz w:val="24"/>
          <w:szCs w:val="24"/>
        </w:rPr>
        <w:t>由败诉方承担。</w:t>
      </w:r>
    </w:p>
    <w:p w:rsidR="0077147C" w14:paraId="2A94029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第十八条</w:t>
      </w:r>
      <w:r>
        <w:rPr>
          <w:rFonts w:ascii="宋体" w:eastAsia="宋体" w:hAnsi="宋体" w:cs="Times New Roman" w:hint="eastAsia"/>
          <w:b/>
          <w:sz w:val="24"/>
          <w:szCs w:val="24"/>
        </w:rPr>
        <w:t xml:space="preserve"> 协议的生效</w:t>
      </w:r>
    </w:p>
    <w:p w:rsidR="0077147C" w14:paraId="0B340365"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77147C" w14:paraId="6572F76E"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Times New Roman" w:hint="eastAsia"/>
          <w:sz w:val="24"/>
          <w:szCs w:val="24"/>
        </w:rPr>
        <w:t>甲方通过乙方网上银行、手机银行等线</w:t>
      </w:r>
      <w:r>
        <w:rPr>
          <w:rFonts w:ascii="宋体" w:eastAsia="宋体" w:hAnsi="宋体" w:cs="Times New Roman" w:hint="eastAsia"/>
          <w:sz w:val="24"/>
          <w:szCs w:val="24"/>
        </w:rPr>
        <w:t>上渠道</w:t>
      </w:r>
      <w:r>
        <w:rPr>
          <w:rFonts w:ascii="宋体" w:eastAsia="宋体" w:hAnsi="宋体" w:cs="Times New Roman" w:hint="eastAsia"/>
          <w:sz w:val="24"/>
          <w:szCs w:val="24"/>
        </w:rPr>
        <w:t>购买理财产品，本协议经甲方点击同意本协议且产品管理人确认甲方成功认（申）购并收到甲方缴付的全部投资款项之日起生效。双方认可线上点击同意具有与书面签署同等的法律效力。</w:t>
      </w:r>
    </w:p>
    <w:p w:rsidR="0077147C" w14:paraId="068B2A94" w14:textId="70CB6134">
      <w:pPr>
        <w:widowControl/>
        <w:spacing w:line="312" w:lineRule="auto"/>
        <w:ind w:firstLine="422"/>
        <w:jc w:val="left"/>
        <w:rPr>
          <w:rFonts w:ascii="微软雅黑" w:eastAsia="微软雅黑" w:hAnsi="微软雅黑" w:cs="宋体" w:hint="eastAsia"/>
          <w:b/>
          <w:color w:val="666666"/>
          <w:kern w:val="0"/>
          <w:szCs w:val="21"/>
        </w:rPr>
      </w:pPr>
      <w:r>
        <w:rPr>
          <w:rFonts w:ascii="宋体" w:eastAsia="宋体" w:hAnsi="宋体" w:cs="Times New Roman" w:hint="eastAsia"/>
          <w:b/>
          <w:sz w:val="24"/>
          <w:szCs w:val="24"/>
        </w:rPr>
        <w:t>如甲方对所购买的产品或服务有任何疑问、意见或建议，可通过拨打乙方</w:t>
      </w:r>
      <w:r>
        <w:rPr>
          <w:rFonts w:ascii="宋体" w:eastAsia="宋体" w:hAnsi="宋体" w:cs="Times New Roman"/>
          <w:b/>
          <w:sz w:val="24"/>
          <w:szCs w:val="24"/>
        </w:rPr>
        <w:t>客户服务与投诉热线</w:t>
      </w:r>
      <w:r>
        <w:rPr>
          <w:rFonts w:ascii="宋体" w:eastAsia="宋体" w:hAnsi="宋体" w:cs="Times New Roman" w:hint="eastAsia"/>
          <w:b/>
          <w:sz w:val="24"/>
          <w:szCs w:val="24"/>
        </w:rPr>
        <w:t>（</w:t>
      </w:r>
      <w:r w:rsidRPr="00322831" w:rsidR="00322831">
        <w:rPr>
          <w:rFonts w:ascii="宋体" w:eastAsia="宋体" w:hAnsi="宋体" w:cs="Times New Roman"/>
          <w:b/>
          <w:sz w:val="24"/>
          <w:szCs w:val="24"/>
        </w:rPr>
        <w:t>0317-96328</w:t>
      </w:r>
      <w:r>
        <w:rPr>
          <w:rFonts w:ascii="宋体" w:eastAsia="宋体" w:hAnsi="宋体" w:cs="Times New Roman" w:hint="eastAsia"/>
          <w:b/>
          <w:sz w:val="24"/>
          <w:szCs w:val="24"/>
        </w:rPr>
        <w:t>）</w:t>
      </w:r>
      <w:r>
        <w:rPr>
          <w:rFonts w:ascii="宋体" w:eastAsia="宋体" w:hAnsi="宋体" w:cs="Times New Roman"/>
          <w:b/>
          <w:sz w:val="24"/>
          <w:szCs w:val="24"/>
        </w:rPr>
        <w:t>咨询与反映。</w:t>
      </w:r>
    </w:p>
    <w:p w:rsidR="0077147C" w14:paraId="23ED2DA9"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w:t>
      </w:r>
      <w:r>
        <w:rPr>
          <w:rFonts w:ascii="宋体" w:eastAsia="宋体" w:hAnsi="宋体" w:cs="Times New Roman"/>
          <w:b/>
          <w:sz w:val="24"/>
          <w:szCs w:val="24"/>
        </w:rPr>
        <w:t>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w:t>
      </w:r>
      <w:r>
        <w:rPr>
          <w:rFonts w:ascii="宋体" w:eastAsia="宋体" w:hAnsi="宋体" w:cs="Times New Roman"/>
          <w:b/>
          <w:sz w:val="24"/>
          <w:szCs w:val="24"/>
        </w:rPr>
        <w:t>名、证件号码、手机号码、密码、数字证书、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w:t>
      </w:r>
      <w:r>
        <w:rPr>
          <w:rFonts w:ascii="宋体" w:eastAsia="宋体" w:hAnsi="宋体" w:cs="Times New Roman"/>
          <w:b/>
          <w:sz w:val="24"/>
          <w:szCs w:val="24"/>
        </w:rPr>
        <w:t>、动态密码等）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77147C" w14:paraId="0BEF8DF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双方一致同意本协议履行地为</w:t>
      </w:r>
      <w:r>
        <w:rPr>
          <w:rFonts w:ascii="宋体" w:eastAsia="宋体" w:hAnsi="宋体" w:cs="Times New Roman" w:hint="eastAsia"/>
          <w:b/>
          <w:sz w:val="24"/>
          <w:szCs w:val="24"/>
          <w:u w:val="single"/>
        </w:rPr>
        <w:t xml:space="preserve">             </w:t>
      </w:r>
      <w:r>
        <w:rPr>
          <w:rFonts w:ascii="宋体" w:eastAsia="宋体" w:hAnsi="宋体" w:cs="Times New Roman" w:hint="eastAsia"/>
          <w:b/>
          <w:sz w:val="24"/>
          <w:szCs w:val="24"/>
        </w:rPr>
        <w:t>。</w:t>
      </w:r>
    </w:p>
    <w:p w:rsidR="0077147C" w14:paraId="5CFD6138"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w:t>
      </w:r>
      <w:r>
        <w:rPr>
          <w:rFonts w:ascii="宋体" w:eastAsia="宋体" w:hAnsi="宋体" w:cs="Times New Roman" w:hint="eastAsia"/>
          <w:b/>
          <w:sz w:val="24"/>
          <w:szCs w:val="24"/>
        </w:rPr>
        <w:t>的全部协议。本协议与《理财产品说明书》不一致的，以《理财产品说明书》为准。如果因任何原因使本协议项下的任何条款或内容无效或被依法撤销，本协议其他条款或内容的合法性、有效性和</w:t>
      </w:r>
      <w:r>
        <w:rPr>
          <w:rFonts w:ascii="宋体" w:eastAsia="宋体" w:hAnsi="宋体" w:cs="Times New Roman" w:hint="eastAsia"/>
          <w:b/>
          <w:sz w:val="24"/>
          <w:szCs w:val="24"/>
        </w:rPr>
        <w:t>可</w:t>
      </w:r>
      <w:r>
        <w:rPr>
          <w:rFonts w:ascii="宋体" w:eastAsia="宋体" w:hAnsi="宋体" w:cs="Times New Roman" w:hint="eastAsia"/>
          <w:b/>
          <w:sz w:val="24"/>
          <w:szCs w:val="24"/>
        </w:rPr>
        <w:t>执行性不受影响。</w:t>
      </w:r>
    </w:p>
    <w:p w:rsidR="0077147C" w14:paraId="7F877D5A" w14:textId="77777777">
      <w:pPr>
        <w:adjustRightInd w:val="0"/>
        <w:snapToGrid w:val="0"/>
        <w:spacing w:line="312" w:lineRule="auto"/>
        <w:rPr>
          <w:rFonts w:ascii="宋体" w:eastAsia="宋体" w:hAnsi="宋体" w:cs="Times New Roman" w:hint="eastAsia"/>
          <w:bCs/>
          <w:sz w:val="24"/>
          <w:szCs w:val="24"/>
        </w:rPr>
      </w:pPr>
    </w:p>
    <w:p w:rsidR="0077147C" w14:paraId="0BE0E800"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w:t>
      </w:r>
      <w:r>
        <w:rPr>
          <w:rFonts w:ascii="宋体" w:eastAsia="宋体" w:hAnsi="宋体" w:cs="Times New Roman" w:hint="eastAsia"/>
          <w:b/>
          <w:sz w:val="24"/>
          <w:szCs w:val="24"/>
        </w:rPr>
        <w:t>购金额</w:t>
      </w:r>
      <w:r>
        <w:rPr>
          <w:rFonts w:ascii="宋体" w:eastAsia="宋体" w:hAnsi="宋体" w:cs="Times New Roman" w:hint="eastAsia"/>
          <w:b/>
          <w:sz w:val="24"/>
          <w:szCs w:val="24"/>
        </w:rPr>
        <w:t>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77147C" w14:paraId="4E30F6AE" w14:textId="77777777">
      <w:pPr>
        <w:spacing w:line="312" w:lineRule="auto"/>
        <w:ind w:left="63" w:leftChars="30"/>
        <w:jc w:val="left"/>
        <w:rPr>
          <w:rFonts w:ascii="宋体" w:eastAsia="宋体" w:hAnsi="宋体" w:cs="宋体" w:hint="eastAsia"/>
          <w:b/>
          <w:bCs/>
          <w:kern w:val="0"/>
          <w:sz w:val="24"/>
          <w:szCs w:val="24"/>
        </w:rPr>
      </w:pPr>
    </w:p>
    <w:p w:rsidR="0077147C" w14:paraId="34309E7E"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（自然人签署适用）</w:t>
      </w:r>
    </w:p>
    <w:p w:rsidR="0077147C" w14:paraId="47745145"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甲方签字   ____________</w:t>
      </w:r>
    </w:p>
    <w:p w:rsidR="0077147C" w14:paraId="545E98A9" w14:textId="77777777">
      <w:pPr>
        <w:spacing w:line="312" w:lineRule="auto"/>
        <w:ind w:left="63" w:leftChars="30"/>
        <w:jc w:val="left"/>
        <w:rPr>
          <w:rFonts w:ascii="宋体" w:eastAsia="宋体" w:hAnsi="宋体" w:cs="宋体" w:hint="eastAsia"/>
          <w:b/>
          <w:bCs/>
          <w:kern w:val="0"/>
          <w:sz w:val="24"/>
          <w:szCs w:val="24"/>
        </w:rPr>
      </w:pPr>
    </w:p>
    <w:p w:rsidR="0077147C" w14:paraId="4C136801"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机构投资者</w:t>
      </w:r>
      <w:r>
        <w:rPr>
          <w:rFonts w:ascii="宋体" w:eastAsia="宋体" w:hAnsi="宋体" w:cs="宋体" w:hint="eastAsia"/>
          <w:b/>
          <w:bCs/>
          <w:kern w:val="0"/>
          <w:sz w:val="24"/>
          <w:szCs w:val="24"/>
        </w:rPr>
        <w:t>签署适用</w:t>
      </w:r>
      <w:r>
        <w:rPr>
          <w:rFonts w:ascii="宋体" w:eastAsia="宋体" w:hAnsi="宋体" w:cs="宋体"/>
          <w:b/>
          <w:bCs/>
          <w:kern w:val="0"/>
          <w:sz w:val="24"/>
          <w:szCs w:val="24"/>
        </w:rPr>
        <w:t>）</w:t>
      </w:r>
    </w:p>
    <w:p w:rsidR="0077147C" w14:paraId="0DB695E5" w14:textId="77777777">
      <w:pPr>
        <w:spacing w:line="360"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公章（或经公章授权的其他有效印鉴）：</w:t>
      </w:r>
    </w:p>
    <w:p w:rsidR="0077147C" w14:paraId="18FB08AA" w14:textId="77777777">
      <w:pPr>
        <w:spacing w:line="360"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法定代表人（负责人）或授权代理人签字/签章：</w:t>
      </w:r>
    </w:p>
    <w:p w:rsidR="0077147C" w14:paraId="1F89DBB0" w14:textId="77777777">
      <w:pPr>
        <w:spacing w:line="312" w:lineRule="auto"/>
        <w:ind w:left="63" w:leftChars="30"/>
        <w:jc w:val="left"/>
        <w:rPr>
          <w:rFonts w:ascii="宋体" w:eastAsia="宋体" w:hAnsi="宋体" w:cs="宋体" w:hint="eastAsia"/>
          <w:b/>
          <w:bCs/>
          <w:kern w:val="0"/>
          <w:sz w:val="24"/>
          <w:szCs w:val="24"/>
        </w:rPr>
      </w:pPr>
    </w:p>
    <w:p w:rsidR="0077147C" w14:paraId="06BDA2F1" w14:textId="77777777">
      <w:pPr>
        <w:spacing w:line="312" w:lineRule="auto"/>
        <w:ind w:left="63" w:leftChars="30"/>
        <w:jc w:val="left"/>
        <w:rPr>
          <w:rFonts w:ascii="宋体" w:eastAsia="宋体" w:hAnsi="宋体" w:cs="Times New Roman" w:hint="eastAsia"/>
          <w:sz w:val="24"/>
          <w:szCs w:val="24"/>
        </w:rPr>
      </w:pPr>
      <w:r>
        <w:rPr>
          <w:rFonts w:ascii="宋体" w:eastAsia="宋体" w:hAnsi="宋体" w:cs="宋体" w:hint="eastAsia"/>
          <w:b/>
          <w:bCs/>
          <w:kern w:val="0"/>
          <w:sz w:val="24"/>
          <w:szCs w:val="24"/>
        </w:rPr>
        <w:t>日期         ____________</w:t>
      </w:r>
    </w:p>
    <w:sectPr>
      <w:footerReference w:type="even" r:id="rId14"/>
      <w:footerReference w:type="default" r:id="rId15"/>
      <w:pgSz w:w="11906" w:h="16838"/>
      <w:pgMar w:top="1418" w:right="926" w:bottom="680" w:left="900" w:header="851" w:footer="119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ËÎÌå">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3390607"/>
      <w:richText/>
    </w:sdtPr>
    <w:sdtEndPr>
      <w:rPr>
        <w:rFonts w:ascii="Times New Roman" w:hAnsi="Times New Roman" w:cs="Times New Roman"/>
      </w:rPr>
    </w:sdtEndPr>
    <w:sdtContent>
      <w:p w:rsidR="00156F5C" w14:paraId="29A4E1F6" w14:textId="51B8551D">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912602" w:rsidR="00912602">
          <w:rPr>
            <w:rFonts w:ascii="Times New Roman" w:hAnsi="Times New Roman" w:cs="Times New Roman"/>
            <w:noProof/>
            <w:lang w:val="zh-CN"/>
          </w:rPr>
          <w:t>-</w:t>
        </w:r>
        <w:r w:rsidR="00912602">
          <w:rPr>
            <w:rFonts w:ascii="Times New Roman" w:hAnsi="Times New Roman" w:cs="Times New Roman"/>
            <w:noProof/>
          </w:rPr>
          <w:t xml:space="preserve"> 10 -</w:t>
        </w:r>
        <w:r>
          <w:rPr>
            <w:rFonts w:ascii="Times New Roman" w:hAnsi="Times New Roman" w:cs="Times New Roman"/>
          </w:rPr>
          <w:fldChar w:fldCharType="end"/>
        </w:r>
      </w:p>
    </w:sdtContent>
  </w:sdt>
  <w:p w:rsidR="00156F5C" w14:paraId="357D7063" w14:textId="7777777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7052479"/>
      <w:docPartObj>
        <w:docPartGallery w:val="Page Numbers (Bottom of Page)"/>
        <w:docPartUnique/>
      </w:docPartObj>
    </w:sdtPr>
    <w:sdtEndPr>
      <w:rPr>
        <w:rFonts w:ascii="Times New Roman" w:hAnsi="Times New Roman" w:cs="Times New Roman"/>
      </w:rPr>
    </w:sdtEndPr>
    <w:sdtContent>
      <w:p w:rsidR="0064281F" w:rsidRPr="00FD76A9" w14:paraId="383C3B4F" w14:textId="16140FC2">
        <w:pPr>
          <w:pStyle w:val="Footer"/>
          <w:jc w:val="center"/>
          <w:rPr>
            <w:rFonts w:ascii="Times New Roman" w:hAnsi="Times New Roman" w:cs="Times New Roman"/>
          </w:rPr>
        </w:pPr>
        <w:r w:rsidRPr="00FD76A9">
          <w:rPr>
            <w:rFonts w:ascii="Times New Roman" w:hAnsi="Times New Roman" w:cs="Times New Roman"/>
          </w:rPr>
          <w:fldChar w:fldCharType="begin"/>
        </w:r>
        <w:r w:rsidRPr="00FD76A9">
          <w:rPr>
            <w:rFonts w:ascii="Times New Roman" w:hAnsi="Times New Roman" w:cs="Times New Roman"/>
          </w:rPr>
          <w:instrText>PAGE   \* MERGEFORMAT</w:instrText>
        </w:r>
        <w:r w:rsidRPr="00FD76A9">
          <w:rPr>
            <w:rFonts w:ascii="Times New Roman" w:hAnsi="Times New Roman" w:cs="Times New Roman"/>
          </w:rPr>
          <w:fldChar w:fldCharType="separate"/>
        </w:r>
        <w:r w:rsidRPr="0075585E" w:rsidR="0075585E">
          <w:rPr>
            <w:rFonts w:ascii="Times New Roman" w:hAnsi="Times New Roman" w:cs="Times New Roman"/>
            <w:noProof/>
            <w:lang w:val="zh-CN"/>
          </w:rPr>
          <w:t>5</w:t>
        </w:r>
        <w:r w:rsidRPr="00FD76A9">
          <w:rPr>
            <w:rFonts w:ascii="Times New Roman" w:hAnsi="Times New Roman" w:cs="Times New Roman"/>
          </w:rPr>
          <w:fldChar w:fldCharType="end"/>
        </w:r>
      </w:p>
    </w:sdtContent>
  </w:sdt>
  <w:p w:rsidR="0064281F" w14:paraId="0F667E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2B45" w14:paraId="26205F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7529895"/>
      <w:richText/>
    </w:sdtPr>
    <w:sdtContent>
      <w:p w:rsidR="00D41301" w14:paraId="21611ECD" w14:textId="179A3159">
        <w:pPr>
          <w:pStyle w:val="Footer"/>
          <w:jc w:val="center"/>
        </w:pPr>
        <w:r>
          <w:fldChar w:fldCharType="begin"/>
        </w:r>
        <w:r>
          <w:instrText>PAGE   \* MERGEFORMAT</w:instrText>
        </w:r>
        <w:r>
          <w:fldChar w:fldCharType="separate"/>
        </w:r>
        <w:r w:rsidRPr="00152C4E" w:rsidR="00152C4E">
          <w:rPr>
            <w:noProof/>
            <w:lang w:val="zh-CN"/>
          </w:rPr>
          <w:t>-</w:t>
        </w:r>
        <w:r w:rsidR="00152C4E">
          <w:rPr>
            <w:noProof/>
          </w:rPr>
          <w:t xml:space="preserve"> 2 -</w:t>
        </w:r>
        <w:r>
          <w:fldChar w:fldCharType="end"/>
        </w:r>
      </w:p>
    </w:sdtContent>
  </w:sdt>
  <w:p w:rsidR="00D41301" w14:paraId="25E7729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2B45" w14:paraId="0C10046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47C" w14:paraId="0EE774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147C" w14:paraId="605F895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47C" w14:paraId="4C2FE84C" w14:textId="31032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ED4">
      <w:rPr>
        <w:rStyle w:val="PageNumber"/>
        <w:noProof/>
      </w:rPr>
      <w:t>1</w:t>
    </w:r>
    <w:r>
      <w:rPr>
        <w:rStyle w:val="PageNumber"/>
      </w:rPr>
      <w:fldChar w:fldCharType="end"/>
    </w:r>
  </w:p>
  <w:p w:rsidR="0077147C" w14:paraId="64EF7A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2B45" w14:paraId="2C12FC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2B45" w14:paraId="44E1B5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2B45" w14:paraId="45EF2A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C2256"/>
    <w:multiLevelType w:val="multilevel"/>
    <w:tmpl w:val="051C2256"/>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1F134D0F"/>
    <w:multiLevelType w:val="hybridMultilevel"/>
    <w:tmpl w:val="81D09790"/>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3">
    <w:nsid w:val="6A5E63FA"/>
    <w:multiLevelType w:val="hybridMultilevel"/>
    <w:tmpl w:val="15941262"/>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4">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C6"/>
    <w:rsid w:val="00001F60"/>
    <w:rsid w:val="0000308A"/>
    <w:rsid w:val="00003AA1"/>
    <w:rsid w:val="00003B2C"/>
    <w:rsid w:val="00003DDD"/>
    <w:rsid w:val="00003EBD"/>
    <w:rsid w:val="0000412A"/>
    <w:rsid w:val="0000451F"/>
    <w:rsid w:val="000048EA"/>
    <w:rsid w:val="000059A3"/>
    <w:rsid w:val="000063C3"/>
    <w:rsid w:val="00006BE4"/>
    <w:rsid w:val="00006C6F"/>
    <w:rsid w:val="000072A2"/>
    <w:rsid w:val="00007EAF"/>
    <w:rsid w:val="00007FC6"/>
    <w:rsid w:val="00011315"/>
    <w:rsid w:val="00011561"/>
    <w:rsid w:val="000119B6"/>
    <w:rsid w:val="00011D4A"/>
    <w:rsid w:val="00012739"/>
    <w:rsid w:val="0001457A"/>
    <w:rsid w:val="00014E32"/>
    <w:rsid w:val="00015ABD"/>
    <w:rsid w:val="000174F6"/>
    <w:rsid w:val="00017722"/>
    <w:rsid w:val="0002024B"/>
    <w:rsid w:val="0002347D"/>
    <w:rsid w:val="00033946"/>
    <w:rsid w:val="00034C41"/>
    <w:rsid w:val="00037259"/>
    <w:rsid w:val="00040291"/>
    <w:rsid w:val="000402BB"/>
    <w:rsid w:val="000416B9"/>
    <w:rsid w:val="00043ABA"/>
    <w:rsid w:val="00043BBE"/>
    <w:rsid w:val="00044F8E"/>
    <w:rsid w:val="00047C5B"/>
    <w:rsid w:val="00050371"/>
    <w:rsid w:val="000507E2"/>
    <w:rsid w:val="000511B2"/>
    <w:rsid w:val="00051282"/>
    <w:rsid w:val="0005319F"/>
    <w:rsid w:val="000540E5"/>
    <w:rsid w:val="00054C2E"/>
    <w:rsid w:val="00056B97"/>
    <w:rsid w:val="00056F08"/>
    <w:rsid w:val="000575B7"/>
    <w:rsid w:val="00057968"/>
    <w:rsid w:val="00060D71"/>
    <w:rsid w:val="0006281F"/>
    <w:rsid w:val="0006336D"/>
    <w:rsid w:val="00065818"/>
    <w:rsid w:val="000668D2"/>
    <w:rsid w:val="00066F0A"/>
    <w:rsid w:val="000672A3"/>
    <w:rsid w:val="000700ED"/>
    <w:rsid w:val="00070DF8"/>
    <w:rsid w:val="000719F8"/>
    <w:rsid w:val="00071BC1"/>
    <w:rsid w:val="00072C1A"/>
    <w:rsid w:val="00072EDB"/>
    <w:rsid w:val="00074994"/>
    <w:rsid w:val="0008044C"/>
    <w:rsid w:val="000807F8"/>
    <w:rsid w:val="00080B03"/>
    <w:rsid w:val="00080D59"/>
    <w:rsid w:val="00081EF8"/>
    <w:rsid w:val="000832F5"/>
    <w:rsid w:val="000838F2"/>
    <w:rsid w:val="000853EA"/>
    <w:rsid w:val="000858AF"/>
    <w:rsid w:val="0008630C"/>
    <w:rsid w:val="000867AF"/>
    <w:rsid w:val="00086A32"/>
    <w:rsid w:val="000901A3"/>
    <w:rsid w:val="00093CC7"/>
    <w:rsid w:val="00094FE4"/>
    <w:rsid w:val="000A0D40"/>
    <w:rsid w:val="000A1A09"/>
    <w:rsid w:val="000A1F14"/>
    <w:rsid w:val="000A20F2"/>
    <w:rsid w:val="000A2637"/>
    <w:rsid w:val="000A2DFC"/>
    <w:rsid w:val="000A3190"/>
    <w:rsid w:val="000A3C26"/>
    <w:rsid w:val="000A3C98"/>
    <w:rsid w:val="000A5153"/>
    <w:rsid w:val="000A5F27"/>
    <w:rsid w:val="000B02CD"/>
    <w:rsid w:val="000B1821"/>
    <w:rsid w:val="000B21CB"/>
    <w:rsid w:val="000B2737"/>
    <w:rsid w:val="000B2A16"/>
    <w:rsid w:val="000B3114"/>
    <w:rsid w:val="000B543E"/>
    <w:rsid w:val="000B7689"/>
    <w:rsid w:val="000B7949"/>
    <w:rsid w:val="000B7DE5"/>
    <w:rsid w:val="000C1E53"/>
    <w:rsid w:val="000C2CF5"/>
    <w:rsid w:val="000C3606"/>
    <w:rsid w:val="000C49D6"/>
    <w:rsid w:val="000C5178"/>
    <w:rsid w:val="000C69AD"/>
    <w:rsid w:val="000C7747"/>
    <w:rsid w:val="000C7D50"/>
    <w:rsid w:val="000D1718"/>
    <w:rsid w:val="000D1CA8"/>
    <w:rsid w:val="000D3970"/>
    <w:rsid w:val="000D3EE3"/>
    <w:rsid w:val="000E358E"/>
    <w:rsid w:val="000E373F"/>
    <w:rsid w:val="000E5045"/>
    <w:rsid w:val="000E7012"/>
    <w:rsid w:val="000E7147"/>
    <w:rsid w:val="000E7390"/>
    <w:rsid w:val="000E7BD9"/>
    <w:rsid w:val="000E7C3C"/>
    <w:rsid w:val="000F0F60"/>
    <w:rsid w:val="000F2A9F"/>
    <w:rsid w:val="000F3242"/>
    <w:rsid w:val="000F51E1"/>
    <w:rsid w:val="000F6758"/>
    <w:rsid w:val="000F7074"/>
    <w:rsid w:val="000F7233"/>
    <w:rsid w:val="0010039D"/>
    <w:rsid w:val="001016C0"/>
    <w:rsid w:val="00101E49"/>
    <w:rsid w:val="0010274C"/>
    <w:rsid w:val="001039E7"/>
    <w:rsid w:val="00103D06"/>
    <w:rsid w:val="0010532B"/>
    <w:rsid w:val="0010663D"/>
    <w:rsid w:val="0010696D"/>
    <w:rsid w:val="00107202"/>
    <w:rsid w:val="001076A7"/>
    <w:rsid w:val="001129D6"/>
    <w:rsid w:val="00113D82"/>
    <w:rsid w:val="00113FE0"/>
    <w:rsid w:val="00116FC4"/>
    <w:rsid w:val="00117548"/>
    <w:rsid w:val="00117F12"/>
    <w:rsid w:val="00121306"/>
    <w:rsid w:val="001237FC"/>
    <w:rsid w:val="0012480E"/>
    <w:rsid w:val="00124E6A"/>
    <w:rsid w:val="00124F53"/>
    <w:rsid w:val="001252E8"/>
    <w:rsid w:val="0012546B"/>
    <w:rsid w:val="00125B58"/>
    <w:rsid w:val="00125DEA"/>
    <w:rsid w:val="00131131"/>
    <w:rsid w:val="001311DC"/>
    <w:rsid w:val="001317D4"/>
    <w:rsid w:val="001328D4"/>
    <w:rsid w:val="00132C8B"/>
    <w:rsid w:val="00133F37"/>
    <w:rsid w:val="00133FDA"/>
    <w:rsid w:val="00134602"/>
    <w:rsid w:val="00134D6F"/>
    <w:rsid w:val="001369B6"/>
    <w:rsid w:val="001402C1"/>
    <w:rsid w:val="001417C3"/>
    <w:rsid w:val="00141F64"/>
    <w:rsid w:val="00144026"/>
    <w:rsid w:val="00152567"/>
    <w:rsid w:val="00152867"/>
    <w:rsid w:val="00152999"/>
    <w:rsid w:val="00152C4E"/>
    <w:rsid w:val="00152F10"/>
    <w:rsid w:val="00155222"/>
    <w:rsid w:val="00156F5C"/>
    <w:rsid w:val="00160ED2"/>
    <w:rsid w:val="001615E8"/>
    <w:rsid w:val="00161939"/>
    <w:rsid w:val="0016334D"/>
    <w:rsid w:val="0016488B"/>
    <w:rsid w:val="00166B41"/>
    <w:rsid w:val="00167B42"/>
    <w:rsid w:val="0017051E"/>
    <w:rsid w:val="00171724"/>
    <w:rsid w:val="00173E67"/>
    <w:rsid w:val="001746F2"/>
    <w:rsid w:val="00175069"/>
    <w:rsid w:val="0017557E"/>
    <w:rsid w:val="00175DE9"/>
    <w:rsid w:val="00176878"/>
    <w:rsid w:val="0018080E"/>
    <w:rsid w:val="00181355"/>
    <w:rsid w:val="00181C3F"/>
    <w:rsid w:val="001823C7"/>
    <w:rsid w:val="00183646"/>
    <w:rsid w:val="00184ACA"/>
    <w:rsid w:val="001858D0"/>
    <w:rsid w:val="001873E0"/>
    <w:rsid w:val="0018779E"/>
    <w:rsid w:val="00187D02"/>
    <w:rsid w:val="0019031D"/>
    <w:rsid w:val="001907F3"/>
    <w:rsid w:val="00190B0F"/>
    <w:rsid w:val="00190D09"/>
    <w:rsid w:val="0019188B"/>
    <w:rsid w:val="00193C46"/>
    <w:rsid w:val="00195204"/>
    <w:rsid w:val="00195C53"/>
    <w:rsid w:val="00195E32"/>
    <w:rsid w:val="00196BF3"/>
    <w:rsid w:val="001A122F"/>
    <w:rsid w:val="001A3354"/>
    <w:rsid w:val="001A33B3"/>
    <w:rsid w:val="001A3512"/>
    <w:rsid w:val="001A3721"/>
    <w:rsid w:val="001A4405"/>
    <w:rsid w:val="001A4B84"/>
    <w:rsid w:val="001A51C6"/>
    <w:rsid w:val="001A7628"/>
    <w:rsid w:val="001A7B24"/>
    <w:rsid w:val="001B2D03"/>
    <w:rsid w:val="001B359A"/>
    <w:rsid w:val="001B6116"/>
    <w:rsid w:val="001B666C"/>
    <w:rsid w:val="001B7FF3"/>
    <w:rsid w:val="001C01B2"/>
    <w:rsid w:val="001C21F1"/>
    <w:rsid w:val="001C2CE1"/>
    <w:rsid w:val="001C35FA"/>
    <w:rsid w:val="001C3804"/>
    <w:rsid w:val="001C4162"/>
    <w:rsid w:val="001C4E46"/>
    <w:rsid w:val="001C5892"/>
    <w:rsid w:val="001C7891"/>
    <w:rsid w:val="001D144E"/>
    <w:rsid w:val="001D195C"/>
    <w:rsid w:val="001D30BF"/>
    <w:rsid w:val="001D3856"/>
    <w:rsid w:val="001D6428"/>
    <w:rsid w:val="001D71C2"/>
    <w:rsid w:val="001D77D2"/>
    <w:rsid w:val="001D7957"/>
    <w:rsid w:val="001E0A8C"/>
    <w:rsid w:val="001E1446"/>
    <w:rsid w:val="001E1673"/>
    <w:rsid w:val="001E26B2"/>
    <w:rsid w:val="001E3CC2"/>
    <w:rsid w:val="001E45F1"/>
    <w:rsid w:val="001E62C1"/>
    <w:rsid w:val="001E6407"/>
    <w:rsid w:val="001E6FA5"/>
    <w:rsid w:val="001E7610"/>
    <w:rsid w:val="001F024E"/>
    <w:rsid w:val="001F0CE5"/>
    <w:rsid w:val="001F116D"/>
    <w:rsid w:val="001F1357"/>
    <w:rsid w:val="001F3912"/>
    <w:rsid w:val="001F3A8D"/>
    <w:rsid w:val="001F3FFF"/>
    <w:rsid w:val="001F42EA"/>
    <w:rsid w:val="001F4934"/>
    <w:rsid w:val="001F58C3"/>
    <w:rsid w:val="002007C4"/>
    <w:rsid w:val="0020101B"/>
    <w:rsid w:val="00203D36"/>
    <w:rsid w:val="00203F64"/>
    <w:rsid w:val="00205345"/>
    <w:rsid w:val="00205434"/>
    <w:rsid w:val="00205ECE"/>
    <w:rsid w:val="002065E9"/>
    <w:rsid w:val="00207B15"/>
    <w:rsid w:val="002101D5"/>
    <w:rsid w:val="00210DC4"/>
    <w:rsid w:val="00211642"/>
    <w:rsid w:val="002126EC"/>
    <w:rsid w:val="00213D0A"/>
    <w:rsid w:val="00215376"/>
    <w:rsid w:val="002169BC"/>
    <w:rsid w:val="00216AFF"/>
    <w:rsid w:val="00216E08"/>
    <w:rsid w:val="002205DE"/>
    <w:rsid w:val="00220EC7"/>
    <w:rsid w:val="0022328B"/>
    <w:rsid w:val="00223C9C"/>
    <w:rsid w:val="002244DC"/>
    <w:rsid w:val="0022538B"/>
    <w:rsid w:val="002259AB"/>
    <w:rsid w:val="002262A4"/>
    <w:rsid w:val="002262E3"/>
    <w:rsid w:val="00226DCD"/>
    <w:rsid w:val="00227432"/>
    <w:rsid w:val="00227B0A"/>
    <w:rsid w:val="002302D3"/>
    <w:rsid w:val="00231179"/>
    <w:rsid w:val="00231AA6"/>
    <w:rsid w:val="002323BA"/>
    <w:rsid w:val="00232773"/>
    <w:rsid w:val="00232D90"/>
    <w:rsid w:val="00234150"/>
    <w:rsid w:val="002369D6"/>
    <w:rsid w:val="00237695"/>
    <w:rsid w:val="00237D61"/>
    <w:rsid w:val="0024003D"/>
    <w:rsid w:val="002401F5"/>
    <w:rsid w:val="0024206F"/>
    <w:rsid w:val="00244558"/>
    <w:rsid w:val="0024515F"/>
    <w:rsid w:val="00245591"/>
    <w:rsid w:val="00246D8C"/>
    <w:rsid w:val="00246E07"/>
    <w:rsid w:val="002477AC"/>
    <w:rsid w:val="00250351"/>
    <w:rsid w:val="00250802"/>
    <w:rsid w:val="00250C8A"/>
    <w:rsid w:val="00250CF7"/>
    <w:rsid w:val="00250E9B"/>
    <w:rsid w:val="00253DDA"/>
    <w:rsid w:val="00256619"/>
    <w:rsid w:val="00256C1A"/>
    <w:rsid w:val="00257067"/>
    <w:rsid w:val="00260773"/>
    <w:rsid w:val="002616BB"/>
    <w:rsid w:val="002619BF"/>
    <w:rsid w:val="00261B8A"/>
    <w:rsid w:val="00262BAD"/>
    <w:rsid w:val="00264DF3"/>
    <w:rsid w:val="002657C9"/>
    <w:rsid w:val="002666C6"/>
    <w:rsid w:val="00267E61"/>
    <w:rsid w:val="002710DA"/>
    <w:rsid w:val="00271E95"/>
    <w:rsid w:val="00272D1A"/>
    <w:rsid w:val="0027328B"/>
    <w:rsid w:val="00273D95"/>
    <w:rsid w:val="0027427C"/>
    <w:rsid w:val="00274AA1"/>
    <w:rsid w:val="002764EE"/>
    <w:rsid w:val="00276AC3"/>
    <w:rsid w:val="00276E35"/>
    <w:rsid w:val="00276FEB"/>
    <w:rsid w:val="00277CE8"/>
    <w:rsid w:val="00281DEF"/>
    <w:rsid w:val="00282084"/>
    <w:rsid w:val="002828F6"/>
    <w:rsid w:val="00284546"/>
    <w:rsid w:val="002852E1"/>
    <w:rsid w:val="00285479"/>
    <w:rsid w:val="00285590"/>
    <w:rsid w:val="002864DE"/>
    <w:rsid w:val="002905AF"/>
    <w:rsid w:val="00290B53"/>
    <w:rsid w:val="002926F4"/>
    <w:rsid w:val="0029736A"/>
    <w:rsid w:val="00297860"/>
    <w:rsid w:val="002A0522"/>
    <w:rsid w:val="002A0B18"/>
    <w:rsid w:val="002A0EA0"/>
    <w:rsid w:val="002A1185"/>
    <w:rsid w:val="002A1B8E"/>
    <w:rsid w:val="002A2866"/>
    <w:rsid w:val="002A2BE3"/>
    <w:rsid w:val="002A30FE"/>
    <w:rsid w:val="002A39E8"/>
    <w:rsid w:val="002A47B2"/>
    <w:rsid w:val="002A7438"/>
    <w:rsid w:val="002A7B5F"/>
    <w:rsid w:val="002B150C"/>
    <w:rsid w:val="002B155E"/>
    <w:rsid w:val="002B1EDC"/>
    <w:rsid w:val="002B2BE3"/>
    <w:rsid w:val="002B319B"/>
    <w:rsid w:val="002B3764"/>
    <w:rsid w:val="002B5A63"/>
    <w:rsid w:val="002B5ACC"/>
    <w:rsid w:val="002B7E01"/>
    <w:rsid w:val="002C1E71"/>
    <w:rsid w:val="002C2083"/>
    <w:rsid w:val="002C24D9"/>
    <w:rsid w:val="002C3619"/>
    <w:rsid w:val="002C3825"/>
    <w:rsid w:val="002C3837"/>
    <w:rsid w:val="002C3D1E"/>
    <w:rsid w:val="002C4EAE"/>
    <w:rsid w:val="002C55F0"/>
    <w:rsid w:val="002C5710"/>
    <w:rsid w:val="002C6D29"/>
    <w:rsid w:val="002C6F2A"/>
    <w:rsid w:val="002C7DCC"/>
    <w:rsid w:val="002C7FCB"/>
    <w:rsid w:val="002D009D"/>
    <w:rsid w:val="002D0671"/>
    <w:rsid w:val="002D06C2"/>
    <w:rsid w:val="002D0871"/>
    <w:rsid w:val="002D1074"/>
    <w:rsid w:val="002D2644"/>
    <w:rsid w:val="002D31F7"/>
    <w:rsid w:val="002D3554"/>
    <w:rsid w:val="002D3D50"/>
    <w:rsid w:val="002D4315"/>
    <w:rsid w:val="002D4EEC"/>
    <w:rsid w:val="002D5E8C"/>
    <w:rsid w:val="002D611F"/>
    <w:rsid w:val="002D61AC"/>
    <w:rsid w:val="002D7CB2"/>
    <w:rsid w:val="002D7D6A"/>
    <w:rsid w:val="002E0BCA"/>
    <w:rsid w:val="002E1429"/>
    <w:rsid w:val="002E29B6"/>
    <w:rsid w:val="002E2EBF"/>
    <w:rsid w:val="002E3D53"/>
    <w:rsid w:val="002E4915"/>
    <w:rsid w:val="002E49C3"/>
    <w:rsid w:val="002E5377"/>
    <w:rsid w:val="002E54FB"/>
    <w:rsid w:val="002E5FD5"/>
    <w:rsid w:val="002E68A5"/>
    <w:rsid w:val="002E6913"/>
    <w:rsid w:val="002E6E7D"/>
    <w:rsid w:val="002E7AED"/>
    <w:rsid w:val="002E7B0D"/>
    <w:rsid w:val="002F0C18"/>
    <w:rsid w:val="002F0D3C"/>
    <w:rsid w:val="002F0D51"/>
    <w:rsid w:val="002F1222"/>
    <w:rsid w:val="002F1652"/>
    <w:rsid w:val="002F1E79"/>
    <w:rsid w:val="002F299C"/>
    <w:rsid w:val="002F3807"/>
    <w:rsid w:val="002F4839"/>
    <w:rsid w:val="002F48AE"/>
    <w:rsid w:val="002F4B7F"/>
    <w:rsid w:val="002F5F20"/>
    <w:rsid w:val="002F7882"/>
    <w:rsid w:val="002F7917"/>
    <w:rsid w:val="00300F96"/>
    <w:rsid w:val="00301699"/>
    <w:rsid w:val="003030DF"/>
    <w:rsid w:val="003038F6"/>
    <w:rsid w:val="00304C19"/>
    <w:rsid w:val="0030538E"/>
    <w:rsid w:val="00306635"/>
    <w:rsid w:val="00310FD3"/>
    <w:rsid w:val="003115AF"/>
    <w:rsid w:val="00314FCB"/>
    <w:rsid w:val="003163FA"/>
    <w:rsid w:val="00317607"/>
    <w:rsid w:val="00317998"/>
    <w:rsid w:val="00320910"/>
    <w:rsid w:val="00320B2F"/>
    <w:rsid w:val="00322831"/>
    <w:rsid w:val="003233B0"/>
    <w:rsid w:val="003252B9"/>
    <w:rsid w:val="00325389"/>
    <w:rsid w:val="00325E46"/>
    <w:rsid w:val="00326CCE"/>
    <w:rsid w:val="00326DCF"/>
    <w:rsid w:val="003277AC"/>
    <w:rsid w:val="00327BFF"/>
    <w:rsid w:val="003313CC"/>
    <w:rsid w:val="003317AD"/>
    <w:rsid w:val="00331B10"/>
    <w:rsid w:val="00332AF0"/>
    <w:rsid w:val="00332C31"/>
    <w:rsid w:val="00333043"/>
    <w:rsid w:val="003336C3"/>
    <w:rsid w:val="003348CF"/>
    <w:rsid w:val="00334A6D"/>
    <w:rsid w:val="00334C88"/>
    <w:rsid w:val="0033540B"/>
    <w:rsid w:val="003373F0"/>
    <w:rsid w:val="00337A48"/>
    <w:rsid w:val="003402F1"/>
    <w:rsid w:val="003403BB"/>
    <w:rsid w:val="0034089A"/>
    <w:rsid w:val="00340D3D"/>
    <w:rsid w:val="00341235"/>
    <w:rsid w:val="003424FC"/>
    <w:rsid w:val="00342F4E"/>
    <w:rsid w:val="00346277"/>
    <w:rsid w:val="00346812"/>
    <w:rsid w:val="0034794B"/>
    <w:rsid w:val="00350774"/>
    <w:rsid w:val="00351D8F"/>
    <w:rsid w:val="00354A14"/>
    <w:rsid w:val="00354EAF"/>
    <w:rsid w:val="00356D8A"/>
    <w:rsid w:val="00357D3B"/>
    <w:rsid w:val="00360D01"/>
    <w:rsid w:val="00363C68"/>
    <w:rsid w:val="00366987"/>
    <w:rsid w:val="00366B34"/>
    <w:rsid w:val="0036709D"/>
    <w:rsid w:val="003670AA"/>
    <w:rsid w:val="003674F9"/>
    <w:rsid w:val="00367EC6"/>
    <w:rsid w:val="003747CA"/>
    <w:rsid w:val="003749B0"/>
    <w:rsid w:val="00376166"/>
    <w:rsid w:val="00376725"/>
    <w:rsid w:val="003776C6"/>
    <w:rsid w:val="00380486"/>
    <w:rsid w:val="00382B06"/>
    <w:rsid w:val="003833E2"/>
    <w:rsid w:val="00384313"/>
    <w:rsid w:val="003844F3"/>
    <w:rsid w:val="00384794"/>
    <w:rsid w:val="00384987"/>
    <w:rsid w:val="00384E61"/>
    <w:rsid w:val="00385148"/>
    <w:rsid w:val="003851BD"/>
    <w:rsid w:val="003856C9"/>
    <w:rsid w:val="003859ED"/>
    <w:rsid w:val="003869AA"/>
    <w:rsid w:val="00390560"/>
    <w:rsid w:val="00390D57"/>
    <w:rsid w:val="0039105F"/>
    <w:rsid w:val="003914A2"/>
    <w:rsid w:val="00392645"/>
    <w:rsid w:val="0039320D"/>
    <w:rsid w:val="00393852"/>
    <w:rsid w:val="003940C3"/>
    <w:rsid w:val="003940D1"/>
    <w:rsid w:val="00394313"/>
    <w:rsid w:val="00394695"/>
    <w:rsid w:val="00394732"/>
    <w:rsid w:val="00394865"/>
    <w:rsid w:val="003956C5"/>
    <w:rsid w:val="003966D9"/>
    <w:rsid w:val="0039746A"/>
    <w:rsid w:val="003A1877"/>
    <w:rsid w:val="003A3A28"/>
    <w:rsid w:val="003A3BD8"/>
    <w:rsid w:val="003A44B7"/>
    <w:rsid w:val="003A50C5"/>
    <w:rsid w:val="003A517F"/>
    <w:rsid w:val="003A5AEA"/>
    <w:rsid w:val="003A6329"/>
    <w:rsid w:val="003A6E40"/>
    <w:rsid w:val="003A6F20"/>
    <w:rsid w:val="003A752B"/>
    <w:rsid w:val="003A79F4"/>
    <w:rsid w:val="003A7B4A"/>
    <w:rsid w:val="003B0725"/>
    <w:rsid w:val="003B3DFD"/>
    <w:rsid w:val="003B4E9B"/>
    <w:rsid w:val="003B662F"/>
    <w:rsid w:val="003C0140"/>
    <w:rsid w:val="003C1603"/>
    <w:rsid w:val="003C209C"/>
    <w:rsid w:val="003C45E6"/>
    <w:rsid w:val="003C5A30"/>
    <w:rsid w:val="003C62AC"/>
    <w:rsid w:val="003C6E4C"/>
    <w:rsid w:val="003C7279"/>
    <w:rsid w:val="003C73C4"/>
    <w:rsid w:val="003C76A1"/>
    <w:rsid w:val="003C7AC0"/>
    <w:rsid w:val="003C7F03"/>
    <w:rsid w:val="003D00F7"/>
    <w:rsid w:val="003D111E"/>
    <w:rsid w:val="003D13B9"/>
    <w:rsid w:val="003D393A"/>
    <w:rsid w:val="003D457E"/>
    <w:rsid w:val="003D4E47"/>
    <w:rsid w:val="003D53C1"/>
    <w:rsid w:val="003D56A8"/>
    <w:rsid w:val="003D61FB"/>
    <w:rsid w:val="003D6705"/>
    <w:rsid w:val="003D6A0C"/>
    <w:rsid w:val="003D7F87"/>
    <w:rsid w:val="003E0304"/>
    <w:rsid w:val="003E035E"/>
    <w:rsid w:val="003E1807"/>
    <w:rsid w:val="003E1D6E"/>
    <w:rsid w:val="003E40EC"/>
    <w:rsid w:val="003E4423"/>
    <w:rsid w:val="003E4641"/>
    <w:rsid w:val="003E4C64"/>
    <w:rsid w:val="003F2DC2"/>
    <w:rsid w:val="003F3A2D"/>
    <w:rsid w:val="003F4068"/>
    <w:rsid w:val="003F5155"/>
    <w:rsid w:val="003F5263"/>
    <w:rsid w:val="003F5953"/>
    <w:rsid w:val="003F5DF5"/>
    <w:rsid w:val="003F63B1"/>
    <w:rsid w:val="003F6C1B"/>
    <w:rsid w:val="003F7820"/>
    <w:rsid w:val="003F7A4D"/>
    <w:rsid w:val="003F7AAB"/>
    <w:rsid w:val="00400436"/>
    <w:rsid w:val="004015E4"/>
    <w:rsid w:val="004025AA"/>
    <w:rsid w:val="00402937"/>
    <w:rsid w:val="00404521"/>
    <w:rsid w:val="00404EFD"/>
    <w:rsid w:val="004068D4"/>
    <w:rsid w:val="0040793A"/>
    <w:rsid w:val="0041033E"/>
    <w:rsid w:val="00412E71"/>
    <w:rsid w:val="00416D97"/>
    <w:rsid w:val="00417569"/>
    <w:rsid w:val="00420528"/>
    <w:rsid w:val="00420C22"/>
    <w:rsid w:val="004215D2"/>
    <w:rsid w:val="00421F02"/>
    <w:rsid w:val="00425409"/>
    <w:rsid w:val="00430470"/>
    <w:rsid w:val="00430E48"/>
    <w:rsid w:val="0043119F"/>
    <w:rsid w:val="00432F42"/>
    <w:rsid w:val="00433F94"/>
    <w:rsid w:val="004348E0"/>
    <w:rsid w:val="00434E4A"/>
    <w:rsid w:val="00436920"/>
    <w:rsid w:val="00437AE7"/>
    <w:rsid w:val="004419AD"/>
    <w:rsid w:val="00441D0B"/>
    <w:rsid w:val="0044281A"/>
    <w:rsid w:val="00442D29"/>
    <w:rsid w:val="00443AAE"/>
    <w:rsid w:val="00445DB0"/>
    <w:rsid w:val="00446264"/>
    <w:rsid w:val="00451DC8"/>
    <w:rsid w:val="00452140"/>
    <w:rsid w:val="0045346B"/>
    <w:rsid w:val="0045381B"/>
    <w:rsid w:val="00455F8E"/>
    <w:rsid w:val="0045683D"/>
    <w:rsid w:val="00456876"/>
    <w:rsid w:val="004568E5"/>
    <w:rsid w:val="00456D13"/>
    <w:rsid w:val="004576AA"/>
    <w:rsid w:val="00457A6E"/>
    <w:rsid w:val="004600C1"/>
    <w:rsid w:val="00460C31"/>
    <w:rsid w:val="00461A64"/>
    <w:rsid w:val="00462979"/>
    <w:rsid w:val="00462F3C"/>
    <w:rsid w:val="00463AC1"/>
    <w:rsid w:val="00464806"/>
    <w:rsid w:val="00465A2E"/>
    <w:rsid w:val="004672D0"/>
    <w:rsid w:val="00467C8F"/>
    <w:rsid w:val="00472A50"/>
    <w:rsid w:val="00473D12"/>
    <w:rsid w:val="00474424"/>
    <w:rsid w:val="00475FB9"/>
    <w:rsid w:val="00476056"/>
    <w:rsid w:val="0047755C"/>
    <w:rsid w:val="004802C3"/>
    <w:rsid w:val="004807CA"/>
    <w:rsid w:val="0048181C"/>
    <w:rsid w:val="00481922"/>
    <w:rsid w:val="0048352F"/>
    <w:rsid w:val="0048441A"/>
    <w:rsid w:val="004844BD"/>
    <w:rsid w:val="0048612B"/>
    <w:rsid w:val="0048676B"/>
    <w:rsid w:val="0048750D"/>
    <w:rsid w:val="0048798E"/>
    <w:rsid w:val="00487DB6"/>
    <w:rsid w:val="004908EA"/>
    <w:rsid w:val="00491182"/>
    <w:rsid w:val="0049124D"/>
    <w:rsid w:val="0049406B"/>
    <w:rsid w:val="00494246"/>
    <w:rsid w:val="00494FE7"/>
    <w:rsid w:val="004953C6"/>
    <w:rsid w:val="004958A9"/>
    <w:rsid w:val="0049610D"/>
    <w:rsid w:val="004A08B6"/>
    <w:rsid w:val="004A30A4"/>
    <w:rsid w:val="004A3460"/>
    <w:rsid w:val="004A3A2F"/>
    <w:rsid w:val="004A5448"/>
    <w:rsid w:val="004A549A"/>
    <w:rsid w:val="004A65C8"/>
    <w:rsid w:val="004A72AC"/>
    <w:rsid w:val="004B04B2"/>
    <w:rsid w:val="004B06CB"/>
    <w:rsid w:val="004B2788"/>
    <w:rsid w:val="004B2D64"/>
    <w:rsid w:val="004B3C86"/>
    <w:rsid w:val="004B69F5"/>
    <w:rsid w:val="004C07F4"/>
    <w:rsid w:val="004C097A"/>
    <w:rsid w:val="004C1017"/>
    <w:rsid w:val="004C32A4"/>
    <w:rsid w:val="004C5339"/>
    <w:rsid w:val="004C5D44"/>
    <w:rsid w:val="004C6CD4"/>
    <w:rsid w:val="004C7751"/>
    <w:rsid w:val="004C7D66"/>
    <w:rsid w:val="004D0351"/>
    <w:rsid w:val="004D3E9D"/>
    <w:rsid w:val="004D4A6E"/>
    <w:rsid w:val="004D4D4F"/>
    <w:rsid w:val="004D5F88"/>
    <w:rsid w:val="004D6A55"/>
    <w:rsid w:val="004E0B73"/>
    <w:rsid w:val="004E1493"/>
    <w:rsid w:val="004E1542"/>
    <w:rsid w:val="004E26C4"/>
    <w:rsid w:val="004E296F"/>
    <w:rsid w:val="004E393F"/>
    <w:rsid w:val="004E45D8"/>
    <w:rsid w:val="004E4E1C"/>
    <w:rsid w:val="004E5205"/>
    <w:rsid w:val="004E7E00"/>
    <w:rsid w:val="004F0777"/>
    <w:rsid w:val="004F0B7C"/>
    <w:rsid w:val="004F2420"/>
    <w:rsid w:val="004F262B"/>
    <w:rsid w:val="004F63A6"/>
    <w:rsid w:val="004F77F6"/>
    <w:rsid w:val="00500404"/>
    <w:rsid w:val="0050086C"/>
    <w:rsid w:val="00500F80"/>
    <w:rsid w:val="00501A09"/>
    <w:rsid w:val="0050286A"/>
    <w:rsid w:val="0050323C"/>
    <w:rsid w:val="00505F42"/>
    <w:rsid w:val="00506097"/>
    <w:rsid w:val="00507B3B"/>
    <w:rsid w:val="00507BF1"/>
    <w:rsid w:val="005107C5"/>
    <w:rsid w:val="005112E6"/>
    <w:rsid w:val="005116B8"/>
    <w:rsid w:val="00512092"/>
    <w:rsid w:val="0051247B"/>
    <w:rsid w:val="00513F65"/>
    <w:rsid w:val="005159CE"/>
    <w:rsid w:val="005177DA"/>
    <w:rsid w:val="00517942"/>
    <w:rsid w:val="00517BAE"/>
    <w:rsid w:val="00520832"/>
    <w:rsid w:val="0052226A"/>
    <w:rsid w:val="0052397C"/>
    <w:rsid w:val="00523BFA"/>
    <w:rsid w:val="005242C0"/>
    <w:rsid w:val="00524905"/>
    <w:rsid w:val="00525515"/>
    <w:rsid w:val="00526F63"/>
    <w:rsid w:val="00530442"/>
    <w:rsid w:val="0053053F"/>
    <w:rsid w:val="005317F5"/>
    <w:rsid w:val="00533982"/>
    <w:rsid w:val="00533ABB"/>
    <w:rsid w:val="00534A3E"/>
    <w:rsid w:val="005353D7"/>
    <w:rsid w:val="00535732"/>
    <w:rsid w:val="00535FDE"/>
    <w:rsid w:val="00536787"/>
    <w:rsid w:val="005372B7"/>
    <w:rsid w:val="00537D3F"/>
    <w:rsid w:val="00540254"/>
    <w:rsid w:val="005419A3"/>
    <w:rsid w:val="00542B83"/>
    <w:rsid w:val="00542F1B"/>
    <w:rsid w:val="00543007"/>
    <w:rsid w:val="00543D78"/>
    <w:rsid w:val="00544897"/>
    <w:rsid w:val="00544B94"/>
    <w:rsid w:val="00544D38"/>
    <w:rsid w:val="0054509C"/>
    <w:rsid w:val="005468EB"/>
    <w:rsid w:val="00547BD8"/>
    <w:rsid w:val="00551B1D"/>
    <w:rsid w:val="00552C34"/>
    <w:rsid w:val="005532AC"/>
    <w:rsid w:val="0055376C"/>
    <w:rsid w:val="005543C3"/>
    <w:rsid w:val="00554A7C"/>
    <w:rsid w:val="00555479"/>
    <w:rsid w:val="00555CD8"/>
    <w:rsid w:val="00557E54"/>
    <w:rsid w:val="00557EC9"/>
    <w:rsid w:val="005605BC"/>
    <w:rsid w:val="00560C06"/>
    <w:rsid w:val="00560EA6"/>
    <w:rsid w:val="005618C5"/>
    <w:rsid w:val="005622D2"/>
    <w:rsid w:val="005628B4"/>
    <w:rsid w:val="00563200"/>
    <w:rsid w:val="00564040"/>
    <w:rsid w:val="005649E1"/>
    <w:rsid w:val="005651EB"/>
    <w:rsid w:val="00565ADB"/>
    <w:rsid w:val="005663FB"/>
    <w:rsid w:val="00566C72"/>
    <w:rsid w:val="00570320"/>
    <w:rsid w:val="00571A11"/>
    <w:rsid w:val="005720BB"/>
    <w:rsid w:val="00572383"/>
    <w:rsid w:val="0057457A"/>
    <w:rsid w:val="0057531E"/>
    <w:rsid w:val="00575E9B"/>
    <w:rsid w:val="00576573"/>
    <w:rsid w:val="00580069"/>
    <w:rsid w:val="00580CBF"/>
    <w:rsid w:val="0058125D"/>
    <w:rsid w:val="00582B53"/>
    <w:rsid w:val="00584E59"/>
    <w:rsid w:val="0058605A"/>
    <w:rsid w:val="005869B8"/>
    <w:rsid w:val="00590FA8"/>
    <w:rsid w:val="00591FA7"/>
    <w:rsid w:val="005921C3"/>
    <w:rsid w:val="005924BC"/>
    <w:rsid w:val="00594144"/>
    <w:rsid w:val="00594645"/>
    <w:rsid w:val="0059561D"/>
    <w:rsid w:val="00596860"/>
    <w:rsid w:val="00597B25"/>
    <w:rsid w:val="005A083E"/>
    <w:rsid w:val="005A085B"/>
    <w:rsid w:val="005A0C71"/>
    <w:rsid w:val="005A1092"/>
    <w:rsid w:val="005A1501"/>
    <w:rsid w:val="005A2313"/>
    <w:rsid w:val="005A31AD"/>
    <w:rsid w:val="005A4496"/>
    <w:rsid w:val="005A45A0"/>
    <w:rsid w:val="005A489F"/>
    <w:rsid w:val="005A49BD"/>
    <w:rsid w:val="005A5D5D"/>
    <w:rsid w:val="005A6B84"/>
    <w:rsid w:val="005A7579"/>
    <w:rsid w:val="005A7CED"/>
    <w:rsid w:val="005B032C"/>
    <w:rsid w:val="005B0F16"/>
    <w:rsid w:val="005B1272"/>
    <w:rsid w:val="005B4197"/>
    <w:rsid w:val="005B4A21"/>
    <w:rsid w:val="005B58CA"/>
    <w:rsid w:val="005B5D8E"/>
    <w:rsid w:val="005B7004"/>
    <w:rsid w:val="005C2282"/>
    <w:rsid w:val="005C23D2"/>
    <w:rsid w:val="005C2D24"/>
    <w:rsid w:val="005C3232"/>
    <w:rsid w:val="005C4DA9"/>
    <w:rsid w:val="005C675E"/>
    <w:rsid w:val="005C7063"/>
    <w:rsid w:val="005D0926"/>
    <w:rsid w:val="005D0FDD"/>
    <w:rsid w:val="005D2180"/>
    <w:rsid w:val="005D22CF"/>
    <w:rsid w:val="005D266C"/>
    <w:rsid w:val="005D46A2"/>
    <w:rsid w:val="005D4DF6"/>
    <w:rsid w:val="005D51D0"/>
    <w:rsid w:val="005D610E"/>
    <w:rsid w:val="005D677B"/>
    <w:rsid w:val="005E116E"/>
    <w:rsid w:val="005E356E"/>
    <w:rsid w:val="005E35DA"/>
    <w:rsid w:val="005E3E65"/>
    <w:rsid w:val="005E430E"/>
    <w:rsid w:val="005E5833"/>
    <w:rsid w:val="005E6293"/>
    <w:rsid w:val="005E6A57"/>
    <w:rsid w:val="005E791E"/>
    <w:rsid w:val="005E7D98"/>
    <w:rsid w:val="005F03A9"/>
    <w:rsid w:val="005F08B9"/>
    <w:rsid w:val="005F12FA"/>
    <w:rsid w:val="005F1B9C"/>
    <w:rsid w:val="005F2BE7"/>
    <w:rsid w:val="005F4715"/>
    <w:rsid w:val="005F4888"/>
    <w:rsid w:val="005F4CFC"/>
    <w:rsid w:val="005F4E11"/>
    <w:rsid w:val="005F5913"/>
    <w:rsid w:val="005F683F"/>
    <w:rsid w:val="0060086C"/>
    <w:rsid w:val="00601F1B"/>
    <w:rsid w:val="00602A90"/>
    <w:rsid w:val="00602E74"/>
    <w:rsid w:val="00603B90"/>
    <w:rsid w:val="00604159"/>
    <w:rsid w:val="00604BEC"/>
    <w:rsid w:val="00604CB1"/>
    <w:rsid w:val="00604DF1"/>
    <w:rsid w:val="00605387"/>
    <w:rsid w:val="006053C8"/>
    <w:rsid w:val="00607B20"/>
    <w:rsid w:val="00607C2A"/>
    <w:rsid w:val="0061176A"/>
    <w:rsid w:val="00611AFA"/>
    <w:rsid w:val="00613C4A"/>
    <w:rsid w:val="00613DCB"/>
    <w:rsid w:val="00614B4D"/>
    <w:rsid w:val="00616B02"/>
    <w:rsid w:val="00616B32"/>
    <w:rsid w:val="00616F1D"/>
    <w:rsid w:val="00621887"/>
    <w:rsid w:val="00622C9F"/>
    <w:rsid w:val="0062300A"/>
    <w:rsid w:val="006238FE"/>
    <w:rsid w:val="0062579E"/>
    <w:rsid w:val="00627855"/>
    <w:rsid w:val="00630DC3"/>
    <w:rsid w:val="006319BC"/>
    <w:rsid w:val="00631F6E"/>
    <w:rsid w:val="00632C12"/>
    <w:rsid w:val="006330A0"/>
    <w:rsid w:val="0063340B"/>
    <w:rsid w:val="006349BC"/>
    <w:rsid w:val="00634D8A"/>
    <w:rsid w:val="006362EC"/>
    <w:rsid w:val="006379ED"/>
    <w:rsid w:val="00637DD0"/>
    <w:rsid w:val="00640E97"/>
    <w:rsid w:val="0064281F"/>
    <w:rsid w:val="00643FED"/>
    <w:rsid w:val="006501B1"/>
    <w:rsid w:val="00650B85"/>
    <w:rsid w:val="006513C3"/>
    <w:rsid w:val="00653050"/>
    <w:rsid w:val="00654B7E"/>
    <w:rsid w:val="006562EF"/>
    <w:rsid w:val="00656D36"/>
    <w:rsid w:val="00662662"/>
    <w:rsid w:val="00662A06"/>
    <w:rsid w:val="0066304B"/>
    <w:rsid w:val="00663914"/>
    <w:rsid w:val="00663B22"/>
    <w:rsid w:val="00664AD8"/>
    <w:rsid w:val="00664B50"/>
    <w:rsid w:val="0066564A"/>
    <w:rsid w:val="006666CB"/>
    <w:rsid w:val="00666C39"/>
    <w:rsid w:val="00666D4D"/>
    <w:rsid w:val="00670B0D"/>
    <w:rsid w:val="006725F1"/>
    <w:rsid w:val="0067339D"/>
    <w:rsid w:val="00673A63"/>
    <w:rsid w:val="00674A37"/>
    <w:rsid w:val="00675838"/>
    <w:rsid w:val="00675DA2"/>
    <w:rsid w:val="00675E0F"/>
    <w:rsid w:val="00675FBE"/>
    <w:rsid w:val="006766CA"/>
    <w:rsid w:val="006776C3"/>
    <w:rsid w:val="00680B27"/>
    <w:rsid w:val="00680C01"/>
    <w:rsid w:val="0068161E"/>
    <w:rsid w:val="006819BF"/>
    <w:rsid w:val="006831E3"/>
    <w:rsid w:val="00683763"/>
    <w:rsid w:val="00684022"/>
    <w:rsid w:val="0068519F"/>
    <w:rsid w:val="00685BDC"/>
    <w:rsid w:val="006865FE"/>
    <w:rsid w:val="00686859"/>
    <w:rsid w:val="00686F34"/>
    <w:rsid w:val="00690119"/>
    <w:rsid w:val="0069122C"/>
    <w:rsid w:val="006915E9"/>
    <w:rsid w:val="0069161E"/>
    <w:rsid w:val="00691920"/>
    <w:rsid w:val="00691E12"/>
    <w:rsid w:val="00692D20"/>
    <w:rsid w:val="00692DB3"/>
    <w:rsid w:val="00696B4B"/>
    <w:rsid w:val="00697140"/>
    <w:rsid w:val="006A185E"/>
    <w:rsid w:val="006A1893"/>
    <w:rsid w:val="006A3381"/>
    <w:rsid w:val="006A34EF"/>
    <w:rsid w:val="006A3858"/>
    <w:rsid w:val="006A385F"/>
    <w:rsid w:val="006A5D5E"/>
    <w:rsid w:val="006A6664"/>
    <w:rsid w:val="006A7707"/>
    <w:rsid w:val="006B4C7F"/>
    <w:rsid w:val="006B6952"/>
    <w:rsid w:val="006C1F64"/>
    <w:rsid w:val="006C3A7A"/>
    <w:rsid w:val="006C4BDD"/>
    <w:rsid w:val="006C5462"/>
    <w:rsid w:val="006C6D8A"/>
    <w:rsid w:val="006C6EE3"/>
    <w:rsid w:val="006D0A7C"/>
    <w:rsid w:val="006D1891"/>
    <w:rsid w:val="006D2B41"/>
    <w:rsid w:val="006D3F24"/>
    <w:rsid w:val="006D4A4B"/>
    <w:rsid w:val="006D4DFC"/>
    <w:rsid w:val="006D764B"/>
    <w:rsid w:val="006E1788"/>
    <w:rsid w:val="006E1F91"/>
    <w:rsid w:val="006E27CF"/>
    <w:rsid w:val="006E3111"/>
    <w:rsid w:val="006E4550"/>
    <w:rsid w:val="006E4E67"/>
    <w:rsid w:val="006E7547"/>
    <w:rsid w:val="006E7DD6"/>
    <w:rsid w:val="006F1968"/>
    <w:rsid w:val="006F305E"/>
    <w:rsid w:val="006F3B78"/>
    <w:rsid w:val="006F4D1C"/>
    <w:rsid w:val="006F636A"/>
    <w:rsid w:val="006F7F26"/>
    <w:rsid w:val="00700DAB"/>
    <w:rsid w:val="00701679"/>
    <w:rsid w:val="00701D71"/>
    <w:rsid w:val="00702A4C"/>
    <w:rsid w:val="00703700"/>
    <w:rsid w:val="00704C74"/>
    <w:rsid w:val="007062F2"/>
    <w:rsid w:val="0070752E"/>
    <w:rsid w:val="007078EB"/>
    <w:rsid w:val="0071048B"/>
    <w:rsid w:val="007108EA"/>
    <w:rsid w:val="00710C63"/>
    <w:rsid w:val="00713811"/>
    <w:rsid w:val="00714058"/>
    <w:rsid w:val="00715950"/>
    <w:rsid w:val="00716006"/>
    <w:rsid w:val="00716AC6"/>
    <w:rsid w:val="00720244"/>
    <w:rsid w:val="007210D2"/>
    <w:rsid w:val="007221AC"/>
    <w:rsid w:val="00722732"/>
    <w:rsid w:val="00723063"/>
    <w:rsid w:val="007231B5"/>
    <w:rsid w:val="0072347F"/>
    <w:rsid w:val="007234EC"/>
    <w:rsid w:val="007240B9"/>
    <w:rsid w:val="00725ED3"/>
    <w:rsid w:val="00726D24"/>
    <w:rsid w:val="00727CC7"/>
    <w:rsid w:val="00727CE5"/>
    <w:rsid w:val="00730B77"/>
    <w:rsid w:val="00730F29"/>
    <w:rsid w:val="00731559"/>
    <w:rsid w:val="00732D37"/>
    <w:rsid w:val="00734605"/>
    <w:rsid w:val="00736248"/>
    <w:rsid w:val="0073693A"/>
    <w:rsid w:val="00737E68"/>
    <w:rsid w:val="0074033B"/>
    <w:rsid w:val="0074040D"/>
    <w:rsid w:val="007408F5"/>
    <w:rsid w:val="007421D5"/>
    <w:rsid w:val="0074222D"/>
    <w:rsid w:val="00743178"/>
    <w:rsid w:val="007443B1"/>
    <w:rsid w:val="00745DBF"/>
    <w:rsid w:val="00745E89"/>
    <w:rsid w:val="00746248"/>
    <w:rsid w:val="00746CDA"/>
    <w:rsid w:val="007472EE"/>
    <w:rsid w:val="00747CCE"/>
    <w:rsid w:val="0075053F"/>
    <w:rsid w:val="00751147"/>
    <w:rsid w:val="00751A3F"/>
    <w:rsid w:val="00751CD1"/>
    <w:rsid w:val="00751F3F"/>
    <w:rsid w:val="007521AC"/>
    <w:rsid w:val="007524EE"/>
    <w:rsid w:val="007540DB"/>
    <w:rsid w:val="0075585E"/>
    <w:rsid w:val="00756717"/>
    <w:rsid w:val="00756987"/>
    <w:rsid w:val="00756CB7"/>
    <w:rsid w:val="00757D25"/>
    <w:rsid w:val="00757D54"/>
    <w:rsid w:val="0076009F"/>
    <w:rsid w:val="007605A3"/>
    <w:rsid w:val="00760BA6"/>
    <w:rsid w:val="00761A6C"/>
    <w:rsid w:val="00764144"/>
    <w:rsid w:val="00764224"/>
    <w:rsid w:val="00764B71"/>
    <w:rsid w:val="0076514F"/>
    <w:rsid w:val="007661D0"/>
    <w:rsid w:val="00766C65"/>
    <w:rsid w:val="00770BFB"/>
    <w:rsid w:val="00770CD3"/>
    <w:rsid w:val="007710B4"/>
    <w:rsid w:val="0077147C"/>
    <w:rsid w:val="007734BE"/>
    <w:rsid w:val="007746CD"/>
    <w:rsid w:val="00774754"/>
    <w:rsid w:val="00774CAB"/>
    <w:rsid w:val="00775F8A"/>
    <w:rsid w:val="00776F73"/>
    <w:rsid w:val="00777537"/>
    <w:rsid w:val="00777633"/>
    <w:rsid w:val="0078165B"/>
    <w:rsid w:val="00784218"/>
    <w:rsid w:val="00785997"/>
    <w:rsid w:val="00786F0F"/>
    <w:rsid w:val="007873C1"/>
    <w:rsid w:val="00787539"/>
    <w:rsid w:val="00787F9F"/>
    <w:rsid w:val="0079040A"/>
    <w:rsid w:val="007907B7"/>
    <w:rsid w:val="00790FEF"/>
    <w:rsid w:val="00791C3A"/>
    <w:rsid w:val="007939FD"/>
    <w:rsid w:val="00794BB7"/>
    <w:rsid w:val="00795F3A"/>
    <w:rsid w:val="00796136"/>
    <w:rsid w:val="007A0A48"/>
    <w:rsid w:val="007A196E"/>
    <w:rsid w:val="007A1A77"/>
    <w:rsid w:val="007A1D0E"/>
    <w:rsid w:val="007A2041"/>
    <w:rsid w:val="007A3349"/>
    <w:rsid w:val="007A40C9"/>
    <w:rsid w:val="007A472D"/>
    <w:rsid w:val="007A5140"/>
    <w:rsid w:val="007A562B"/>
    <w:rsid w:val="007A5EE5"/>
    <w:rsid w:val="007A60D4"/>
    <w:rsid w:val="007B0F59"/>
    <w:rsid w:val="007B16F9"/>
    <w:rsid w:val="007B21E8"/>
    <w:rsid w:val="007B2851"/>
    <w:rsid w:val="007B351C"/>
    <w:rsid w:val="007B3B4E"/>
    <w:rsid w:val="007B4886"/>
    <w:rsid w:val="007B56B3"/>
    <w:rsid w:val="007B5801"/>
    <w:rsid w:val="007B6C06"/>
    <w:rsid w:val="007B7E03"/>
    <w:rsid w:val="007C1D4D"/>
    <w:rsid w:val="007C20C7"/>
    <w:rsid w:val="007C3D4F"/>
    <w:rsid w:val="007C416B"/>
    <w:rsid w:val="007C5188"/>
    <w:rsid w:val="007C7765"/>
    <w:rsid w:val="007D2800"/>
    <w:rsid w:val="007D2B2B"/>
    <w:rsid w:val="007D45DE"/>
    <w:rsid w:val="007D4B04"/>
    <w:rsid w:val="007D4F3F"/>
    <w:rsid w:val="007D51ED"/>
    <w:rsid w:val="007D57C7"/>
    <w:rsid w:val="007E0426"/>
    <w:rsid w:val="007E2D0E"/>
    <w:rsid w:val="007E518E"/>
    <w:rsid w:val="007E5998"/>
    <w:rsid w:val="007E59DA"/>
    <w:rsid w:val="007E5F44"/>
    <w:rsid w:val="007F0CBB"/>
    <w:rsid w:val="007F1283"/>
    <w:rsid w:val="007F1AFF"/>
    <w:rsid w:val="007F24AE"/>
    <w:rsid w:val="007F3C82"/>
    <w:rsid w:val="007F428C"/>
    <w:rsid w:val="007F57FE"/>
    <w:rsid w:val="007F5B63"/>
    <w:rsid w:val="007F71E9"/>
    <w:rsid w:val="007F760C"/>
    <w:rsid w:val="007F7AD7"/>
    <w:rsid w:val="00800E82"/>
    <w:rsid w:val="008016C0"/>
    <w:rsid w:val="00802B93"/>
    <w:rsid w:val="00803C6C"/>
    <w:rsid w:val="008045AF"/>
    <w:rsid w:val="00804EAB"/>
    <w:rsid w:val="00805318"/>
    <w:rsid w:val="00806723"/>
    <w:rsid w:val="00806964"/>
    <w:rsid w:val="00806E23"/>
    <w:rsid w:val="00813255"/>
    <w:rsid w:val="008135E7"/>
    <w:rsid w:val="008154CB"/>
    <w:rsid w:val="008163C2"/>
    <w:rsid w:val="0082015D"/>
    <w:rsid w:val="00821019"/>
    <w:rsid w:val="00821605"/>
    <w:rsid w:val="0082251F"/>
    <w:rsid w:val="00824509"/>
    <w:rsid w:val="00824840"/>
    <w:rsid w:val="00826E1F"/>
    <w:rsid w:val="0082704C"/>
    <w:rsid w:val="00827E10"/>
    <w:rsid w:val="00830693"/>
    <w:rsid w:val="00832148"/>
    <w:rsid w:val="00832551"/>
    <w:rsid w:val="00833A89"/>
    <w:rsid w:val="008340F3"/>
    <w:rsid w:val="0083525C"/>
    <w:rsid w:val="00835692"/>
    <w:rsid w:val="00836BCF"/>
    <w:rsid w:val="008400A3"/>
    <w:rsid w:val="008408ED"/>
    <w:rsid w:val="00840A1F"/>
    <w:rsid w:val="00840C6F"/>
    <w:rsid w:val="00841362"/>
    <w:rsid w:val="00841BAD"/>
    <w:rsid w:val="00841E95"/>
    <w:rsid w:val="008424E9"/>
    <w:rsid w:val="00843232"/>
    <w:rsid w:val="00843257"/>
    <w:rsid w:val="00843E13"/>
    <w:rsid w:val="00844CC8"/>
    <w:rsid w:val="00844EDF"/>
    <w:rsid w:val="008452A7"/>
    <w:rsid w:val="008454EF"/>
    <w:rsid w:val="00846771"/>
    <w:rsid w:val="00847001"/>
    <w:rsid w:val="0085318D"/>
    <w:rsid w:val="00853890"/>
    <w:rsid w:val="00855A27"/>
    <w:rsid w:val="0085663E"/>
    <w:rsid w:val="00856D00"/>
    <w:rsid w:val="00857448"/>
    <w:rsid w:val="0085799D"/>
    <w:rsid w:val="00857D8D"/>
    <w:rsid w:val="00863C06"/>
    <w:rsid w:val="00864752"/>
    <w:rsid w:val="00867F31"/>
    <w:rsid w:val="00870146"/>
    <w:rsid w:val="00870478"/>
    <w:rsid w:val="00872ACC"/>
    <w:rsid w:val="0087350E"/>
    <w:rsid w:val="00873CE6"/>
    <w:rsid w:val="008745BC"/>
    <w:rsid w:val="00875B80"/>
    <w:rsid w:val="00876AF1"/>
    <w:rsid w:val="00877F31"/>
    <w:rsid w:val="008803F2"/>
    <w:rsid w:val="00880F50"/>
    <w:rsid w:val="00882F0F"/>
    <w:rsid w:val="00883E3B"/>
    <w:rsid w:val="00884F7A"/>
    <w:rsid w:val="0088518F"/>
    <w:rsid w:val="0088577A"/>
    <w:rsid w:val="00890F1B"/>
    <w:rsid w:val="00891E02"/>
    <w:rsid w:val="0089246E"/>
    <w:rsid w:val="00892E08"/>
    <w:rsid w:val="008938BB"/>
    <w:rsid w:val="00893FBF"/>
    <w:rsid w:val="008941DC"/>
    <w:rsid w:val="00895437"/>
    <w:rsid w:val="008958AE"/>
    <w:rsid w:val="00895E06"/>
    <w:rsid w:val="00896111"/>
    <w:rsid w:val="008961EA"/>
    <w:rsid w:val="008A0821"/>
    <w:rsid w:val="008A10C0"/>
    <w:rsid w:val="008A1870"/>
    <w:rsid w:val="008A39E3"/>
    <w:rsid w:val="008A481A"/>
    <w:rsid w:val="008A4904"/>
    <w:rsid w:val="008A716F"/>
    <w:rsid w:val="008A7378"/>
    <w:rsid w:val="008A75F5"/>
    <w:rsid w:val="008B06BF"/>
    <w:rsid w:val="008B527E"/>
    <w:rsid w:val="008B542E"/>
    <w:rsid w:val="008B7462"/>
    <w:rsid w:val="008C0295"/>
    <w:rsid w:val="008C05CE"/>
    <w:rsid w:val="008C3C9C"/>
    <w:rsid w:val="008C3F31"/>
    <w:rsid w:val="008C4602"/>
    <w:rsid w:val="008C5357"/>
    <w:rsid w:val="008C61A1"/>
    <w:rsid w:val="008C7332"/>
    <w:rsid w:val="008D0429"/>
    <w:rsid w:val="008D0A4C"/>
    <w:rsid w:val="008D2519"/>
    <w:rsid w:val="008D292B"/>
    <w:rsid w:val="008D297C"/>
    <w:rsid w:val="008D3A11"/>
    <w:rsid w:val="008E020C"/>
    <w:rsid w:val="008E2C29"/>
    <w:rsid w:val="008E2F07"/>
    <w:rsid w:val="008E393C"/>
    <w:rsid w:val="008E5068"/>
    <w:rsid w:val="008E684A"/>
    <w:rsid w:val="008E6CE7"/>
    <w:rsid w:val="008E6F3C"/>
    <w:rsid w:val="008F0352"/>
    <w:rsid w:val="008F037A"/>
    <w:rsid w:val="008F1EA2"/>
    <w:rsid w:val="008F4B52"/>
    <w:rsid w:val="008F5C60"/>
    <w:rsid w:val="008F6B8C"/>
    <w:rsid w:val="008F6C27"/>
    <w:rsid w:val="008F7D56"/>
    <w:rsid w:val="0090020E"/>
    <w:rsid w:val="009004F2"/>
    <w:rsid w:val="00900A7F"/>
    <w:rsid w:val="00900CFB"/>
    <w:rsid w:val="00900FF2"/>
    <w:rsid w:val="00902E70"/>
    <w:rsid w:val="009032A4"/>
    <w:rsid w:val="00903431"/>
    <w:rsid w:val="00904C0A"/>
    <w:rsid w:val="0090613C"/>
    <w:rsid w:val="009067C5"/>
    <w:rsid w:val="00906E19"/>
    <w:rsid w:val="009104D1"/>
    <w:rsid w:val="0091182A"/>
    <w:rsid w:val="00912602"/>
    <w:rsid w:val="00912EAB"/>
    <w:rsid w:val="00913B83"/>
    <w:rsid w:val="00913BCC"/>
    <w:rsid w:val="0091403B"/>
    <w:rsid w:val="00914C5D"/>
    <w:rsid w:val="00914C83"/>
    <w:rsid w:val="00915707"/>
    <w:rsid w:val="00920423"/>
    <w:rsid w:val="009219A3"/>
    <w:rsid w:val="009243A5"/>
    <w:rsid w:val="009246AC"/>
    <w:rsid w:val="0092508F"/>
    <w:rsid w:val="00926599"/>
    <w:rsid w:val="009268B6"/>
    <w:rsid w:val="0092699F"/>
    <w:rsid w:val="0092743A"/>
    <w:rsid w:val="00930350"/>
    <w:rsid w:val="009309DA"/>
    <w:rsid w:val="00930EB8"/>
    <w:rsid w:val="0093278D"/>
    <w:rsid w:val="0093427A"/>
    <w:rsid w:val="0093479E"/>
    <w:rsid w:val="009352A6"/>
    <w:rsid w:val="009356D7"/>
    <w:rsid w:val="00936070"/>
    <w:rsid w:val="0093646B"/>
    <w:rsid w:val="00936773"/>
    <w:rsid w:val="00937E8C"/>
    <w:rsid w:val="0094257F"/>
    <w:rsid w:val="00943A82"/>
    <w:rsid w:val="00945B3E"/>
    <w:rsid w:val="00946895"/>
    <w:rsid w:val="009469FA"/>
    <w:rsid w:val="00946EDC"/>
    <w:rsid w:val="00947D0B"/>
    <w:rsid w:val="00947DDE"/>
    <w:rsid w:val="00947FFB"/>
    <w:rsid w:val="00952839"/>
    <w:rsid w:val="00952C69"/>
    <w:rsid w:val="00955801"/>
    <w:rsid w:val="00956077"/>
    <w:rsid w:val="00960D3E"/>
    <w:rsid w:val="00962B6A"/>
    <w:rsid w:val="00963E21"/>
    <w:rsid w:val="009643DE"/>
    <w:rsid w:val="00966655"/>
    <w:rsid w:val="00966696"/>
    <w:rsid w:val="00966A1F"/>
    <w:rsid w:val="0096726D"/>
    <w:rsid w:val="00970E05"/>
    <w:rsid w:val="009711CF"/>
    <w:rsid w:val="009719C6"/>
    <w:rsid w:val="009725D5"/>
    <w:rsid w:val="00973383"/>
    <w:rsid w:val="00976DFC"/>
    <w:rsid w:val="00977EF7"/>
    <w:rsid w:val="00980218"/>
    <w:rsid w:val="00980B3C"/>
    <w:rsid w:val="00981C55"/>
    <w:rsid w:val="00982031"/>
    <w:rsid w:val="0098225F"/>
    <w:rsid w:val="00982667"/>
    <w:rsid w:val="0098436F"/>
    <w:rsid w:val="00985040"/>
    <w:rsid w:val="0098522B"/>
    <w:rsid w:val="00986E7F"/>
    <w:rsid w:val="00990504"/>
    <w:rsid w:val="00990D94"/>
    <w:rsid w:val="009914DC"/>
    <w:rsid w:val="00991CE7"/>
    <w:rsid w:val="00991F93"/>
    <w:rsid w:val="00993B39"/>
    <w:rsid w:val="009A082B"/>
    <w:rsid w:val="009A16E6"/>
    <w:rsid w:val="009A1C14"/>
    <w:rsid w:val="009A2048"/>
    <w:rsid w:val="009A2F57"/>
    <w:rsid w:val="009A2FD0"/>
    <w:rsid w:val="009A3081"/>
    <w:rsid w:val="009A3BA0"/>
    <w:rsid w:val="009A5CEF"/>
    <w:rsid w:val="009A5EB6"/>
    <w:rsid w:val="009A7B3C"/>
    <w:rsid w:val="009B0276"/>
    <w:rsid w:val="009B25E7"/>
    <w:rsid w:val="009B272D"/>
    <w:rsid w:val="009B37AC"/>
    <w:rsid w:val="009B42A5"/>
    <w:rsid w:val="009B43B3"/>
    <w:rsid w:val="009B4404"/>
    <w:rsid w:val="009B5618"/>
    <w:rsid w:val="009B6014"/>
    <w:rsid w:val="009B633E"/>
    <w:rsid w:val="009B6CE0"/>
    <w:rsid w:val="009B6F24"/>
    <w:rsid w:val="009C0C9D"/>
    <w:rsid w:val="009C1E3E"/>
    <w:rsid w:val="009C2D33"/>
    <w:rsid w:val="009C583F"/>
    <w:rsid w:val="009C5889"/>
    <w:rsid w:val="009C5895"/>
    <w:rsid w:val="009C5DE7"/>
    <w:rsid w:val="009C7338"/>
    <w:rsid w:val="009C7F3C"/>
    <w:rsid w:val="009D0F32"/>
    <w:rsid w:val="009D0F4E"/>
    <w:rsid w:val="009D2021"/>
    <w:rsid w:val="009D2667"/>
    <w:rsid w:val="009D3717"/>
    <w:rsid w:val="009D6EC2"/>
    <w:rsid w:val="009D7046"/>
    <w:rsid w:val="009D754B"/>
    <w:rsid w:val="009D7B2A"/>
    <w:rsid w:val="009E06E2"/>
    <w:rsid w:val="009E0D4D"/>
    <w:rsid w:val="009E1E14"/>
    <w:rsid w:val="009E310D"/>
    <w:rsid w:val="009E3922"/>
    <w:rsid w:val="009E4039"/>
    <w:rsid w:val="009E4D88"/>
    <w:rsid w:val="009E5773"/>
    <w:rsid w:val="009E5C19"/>
    <w:rsid w:val="009E6BAB"/>
    <w:rsid w:val="009F177A"/>
    <w:rsid w:val="009F3A10"/>
    <w:rsid w:val="009F3A52"/>
    <w:rsid w:val="009F4B59"/>
    <w:rsid w:val="009F6BE6"/>
    <w:rsid w:val="009F7D44"/>
    <w:rsid w:val="00A0029C"/>
    <w:rsid w:val="00A009BC"/>
    <w:rsid w:val="00A00E27"/>
    <w:rsid w:val="00A01D79"/>
    <w:rsid w:val="00A03CC8"/>
    <w:rsid w:val="00A03F3F"/>
    <w:rsid w:val="00A041A6"/>
    <w:rsid w:val="00A04FBC"/>
    <w:rsid w:val="00A05345"/>
    <w:rsid w:val="00A069DC"/>
    <w:rsid w:val="00A06ACD"/>
    <w:rsid w:val="00A06C86"/>
    <w:rsid w:val="00A06E5F"/>
    <w:rsid w:val="00A0745E"/>
    <w:rsid w:val="00A11776"/>
    <w:rsid w:val="00A11E1B"/>
    <w:rsid w:val="00A1346F"/>
    <w:rsid w:val="00A13E72"/>
    <w:rsid w:val="00A141CA"/>
    <w:rsid w:val="00A15329"/>
    <w:rsid w:val="00A164B1"/>
    <w:rsid w:val="00A1708A"/>
    <w:rsid w:val="00A20246"/>
    <w:rsid w:val="00A21AA1"/>
    <w:rsid w:val="00A22198"/>
    <w:rsid w:val="00A236EA"/>
    <w:rsid w:val="00A23F6D"/>
    <w:rsid w:val="00A251A5"/>
    <w:rsid w:val="00A26ADD"/>
    <w:rsid w:val="00A30506"/>
    <w:rsid w:val="00A3488C"/>
    <w:rsid w:val="00A3503F"/>
    <w:rsid w:val="00A35D0A"/>
    <w:rsid w:val="00A3652C"/>
    <w:rsid w:val="00A375B2"/>
    <w:rsid w:val="00A37B8D"/>
    <w:rsid w:val="00A37C22"/>
    <w:rsid w:val="00A37F7A"/>
    <w:rsid w:val="00A42593"/>
    <w:rsid w:val="00A44FE3"/>
    <w:rsid w:val="00A45CAB"/>
    <w:rsid w:val="00A470E1"/>
    <w:rsid w:val="00A47199"/>
    <w:rsid w:val="00A479CF"/>
    <w:rsid w:val="00A47B91"/>
    <w:rsid w:val="00A50795"/>
    <w:rsid w:val="00A51221"/>
    <w:rsid w:val="00A51823"/>
    <w:rsid w:val="00A52803"/>
    <w:rsid w:val="00A54AC3"/>
    <w:rsid w:val="00A552B8"/>
    <w:rsid w:val="00A559D4"/>
    <w:rsid w:val="00A579CB"/>
    <w:rsid w:val="00A603D2"/>
    <w:rsid w:val="00A60678"/>
    <w:rsid w:val="00A60B60"/>
    <w:rsid w:val="00A61550"/>
    <w:rsid w:val="00A61C78"/>
    <w:rsid w:val="00A61D2D"/>
    <w:rsid w:val="00A63680"/>
    <w:rsid w:val="00A6508E"/>
    <w:rsid w:val="00A65B99"/>
    <w:rsid w:val="00A70556"/>
    <w:rsid w:val="00A725FB"/>
    <w:rsid w:val="00A72ACC"/>
    <w:rsid w:val="00A74ABC"/>
    <w:rsid w:val="00A76C23"/>
    <w:rsid w:val="00A77773"/>
    <w:rsid w:val="00A807BB"/>
    <w:rsid w:val="00A81C48"/>
    <w:rsid w:val="00A8297F"/>
    <w:rsid w:val="00A83E51"/>
    <w:rsid w:val="00A83FEF"/>
    <w:rsid w:val="00A84783"/>
    <w:rsid w:val="00A85114"/>
    <w:rsid w:val="00A85823"/>
    <w:rsid w:val="00A85A5A"/>
    <w:rsid w:val="00A8689F"/>
    <w:rsid w:val="00A87B82"/>
    <w:rsid w:val="00A9055C"/>
    <w:rsid w:val="00A91792"/>
    <w:rsid w:val="00A93C14"/>
    <w:rsid w:val="00A94B07"/>
    <w:rsid w:val="00A94D8A"/>
    <w:rsid w:val="00A95EF1"/>
    <w:rsid w:val="00A9680A"/>
    <w:rsid w:val="00A9684D"/>
    <w:rsid w:val="00A97048"/>
    <w:rsid w:val="00A9747F"/>
    <w:rsid w:val="00A979A7"/>
    <w:rsid w:val="00AA25C4"/>
    <w:rsid w:val="00AA2C2A"/>
    <w:rsid w:val="00AA2EAD"/>
    <w:rsid w:val="00AA5460"/>
    <w:rsid w:val="00AA58FA"/>
    <w:rsid w:val="00AA6EE8"/>
    <w:rsid w:val="00AA7113"/>
    <w:rsid w:val="00AB2920"/>
    <w:rsid w:val="00AB361B"/>
    <w:rsid w:val="00AB4940"/>
    <w:rsid w:val="00AB4F54"/>
    <w:rsid w:val="00AB4FDD"/>
    <w:rsid w:val="00AB5EFB"/>
    <w:rsid w:val="00AB652F"/>
    <w:rsid w:val="00AB6E3C"/>
    <w:rsid w:val="00AC176B"/>
    <w:rsid w:val="00AC206A"/>
    <w:rsid w:val="00AC23EE"/>
    <w:rsid w:val="00AC2CDB"/>
    <w:rsid w:val="00AC2E6C"/>
    <w:rsid w:val="00AC359A"/>
    <w:rsid w:val="00AC46CE"/>
    <w:rsid w:val="00AC5C72"/>
    <w:rsid w:val="00AC5DF3"/>
    <w:rsid w:val="00AC667B"/>
    <w:rsid w:val="00AC7250"/>
    <w:rsid w:val="00AC78D9"/>
    <w:rsid w:val="00AC7D74"/>
    <w:rsid w:val="00AD0501"/>
    <w:rsid w:val="00AD0E75"/>
    <w:rsid w:val="00AD2E5C"/>
    <w:rsid w:val="00AD3923"/>
    <w:rsid w:val="00AD3C1F"/>
    <w:rsid w:val="00AD4036"/>
    <w:rsid w:val="00AD4276"/>
    <w:rsid w:val="00AD78EB"/>
    <w:rsid w:val="00AE0A90"/>
    <w:rsid w:val="00AE0AD4"/>
    <w:rsid w:val="00AE0F7D"/>
    <w:rsid w:val="00AE29D7"/>
    <w:rsid w:val="00AE3C39"/>
    <w:rsid w:val="00AE68A9"/>
    <w:rsid w:val="00AE73C5"/>
    <w:rsid w:val="00AF055E"/>
    <w:rsid w:val="00AF0C2D"/>
    <w:rsid w:val="00AF110A"/>
    <w:rsid w:val="00AF1297"/>
    <w:rsid w:val="00AF18FC"/>
    <w:rsid w:val="00AF32BD"/>
    <w:rsid w:val="00AF34FA"/>
    <w:rsid w:val="00AF39EF"/>
    <w:rsid w:val="00AF486C"/>
    <w:rsid w:val="00AF4CF2"/>
    <w:rsid w:val="00AF5093"/>
    <w:rsid w:val="00AF5D8B"/>
    <w:rsid w:val="00AF6542"/>
    <w:rsid w:val="00AF6E67"/>
    <w:rsid w:val="00AF7B5C"/>
    <w:rsid w:val="00AF7D8F"/>
    <w:rsid w:val="00B018FB"/>
    <w:rsid w:val="00B01C60"/>
    <w:rsid w:val="00B0275A"/>
    <w:rsid w:val="00B02E35"/>
    <w:rsid w:val="00B0323A"/>
    <w:rsid w:val="00B04A14"/>
    <w:rsid w:val="00B0799A"/>
    <w:rsid w:val="00B10C28"/>
    <w:rsid w:val="00B11B78"/>
    <w:rsid w:val="00B11CE3"/>
    <w:rsid w:val="00B11D1D"/>
    <w:rsid w:val="00B1219B"/>
    <w:rsid w:val="00B13FED"/>
    <w:rsid w:val="00B146AD"/>
    <w:rsid w:val="00B14A50"/>
    <w:rsid w:val="00B1514A"/>
    <w:rsid w:val="00B15754"/>
    <w:rsid w:val="00B159F3"/>
    <w:rsid w:val="00B15B31"/>
    <w:rsid w:val="00B16178"/>
    <w:rsid w:val="00B16D8C"/>
    <w:rsid w:val="00B171F8"/>
    <w:rsid w:val="00B17272"/>
    <w:rsid w:val="00B23B4C"/>
    <w:rsid w:val="00B23C1D"/>
    <w:rsid w:val="00B2547B"/>
    <w:rsid w:val="00B278A1"/>
    <w:rsid w:val="00B301BC"/>
    <w:rsid w:val="00B318DA"/>
    <w:rsid w:val="00B3197A"/>
    <w:rsid w:val="00B33176"/>
    <w:rsid w:val="00B3321B"/>
    <w:rsid w:val="00B363D9"/>
    <w:rsid w:val="00B4191C"/>
    <w:rsid w:val="00B4213C"/>
    <w:rsid w:val="00B428D8"/>
    <w:rsid w:val="00B439B7"/>
    <w:rsid w:val="00B43C21"/>
    <w:rsid w:val="00B44770"/>
    <w:rsid w:val="00B46892"/>
    <w:rsid w:val="00B46E7C"/>
    <w:rsid w:val="00B475A6"/>
    <w:rsid w:val="00B51C81"/>
    <w:rsid w:val="00B52646"/>
    <w:rsid w:val="00B530E5"/>
    <w:rsid w:val="00B54C87"/>
    <w:rsid w:val="00B56521"/>
    <w:rsid w:val="00B57509"/>
    <w:rsid w:val="00B5787C"/>
    <w:rsid w:val="00B600FB"/>
    <w:rsid w:val="00B61569"/>
    <w:rsid w:val="00B62667"/>
    <w:rsid w:val="00B6354D"/>
    <w:rsid w:val="00B64544"/>
    <w:rsid w:val="00B65A55"/>
    <w:rsid w:val="00B666E8"/>
    <w:rsid w:val="00B67BD9"/>
    <w:rsid w:val="00B67DD2"/>
    <w:rsid w:val="00B70E33"/>
    <w:rsid w:val="00B71309"/>
    <w:rsid w:val="00B714F7"/>
    <w:rsid w:val="00B72070"/>
    <w:rsid w:val="00B72663"/>
    <w:rsid w:val="00B72A00"/>
    <w:rsid w:val="00B738BA"/>
    <w:rsid w:val="00B748A6"/>
    <w:rsid w:val="00B74E05"/>
    <w:rsid w:val="00B757D6"/>
    <w:rsid w:val="00B75F49"/>
    <w:rsid w:val="00B761E3"/>
    <w:rsid w:val="00B76C32"/>
    <w:rsid w:val="00B80662"/>
    <w:rsid w:val="00B8082D"/>
    <w:rsid w:val="00B820A8"/>
    <w:rsid w:val="00B82A05"/>
    <w:rsid w:val="00B83308"/>
    <w:rsid w:val="00B85EFA"/>
    <w:rsid w:val="00B85EFD"/>
    <w:rsid w:val="00B86E2A"/>
    <w:rsid w:val="00B910D9"/>
    <w:rsid w:val="00B9268D"/>
    <w:rsid w:val="00B92698"/>
    <w:rsid w:val="00B92891"/>
    <w:rsid w:val="00B93235"/>
    <w:rsid w:val="00B93877"/>
    <w:rsid w:val="00B94A5C"/>
    <w:rsid w:val="00B94B7B"/>
    <w:rsid w:val="00B954F7"/>
    <w:rsid w:val="00B96410"/>
    <w:rsid w:val="00BA00B2"/>
    <w:rsid w:val="00BA05F3"/>
    <w:rsid w:val="00BA39D1"/>
    <w:rsid w:val="00BA3C5F"/>
    <w:rsid w:val="00BA40C6"/>
    <w:rsid w:val="00BA4B44"/>
    <w:rsid w:val="00BA5033"/>
    <w:rsid w:val="00BA5CCC"/>
    <w:rsid w:val="00BA6929"/>
    <w:rsid w:val="00BA6D79"/>
    <w:rsid w:val="00BB0128"/>
    <w:rsid w:val="00BB0142"/>
    <w:rsid w:val="00BB085D"/>
    <w:rsid w:val="00BB0896"/>
    <w:rsid w:val="00BB0CFB"/>
    <w:rsid w:val="00BB1F2F"/>
    <w:rsid w:val="00BB3984"/>
    <w:rsid w:val="00BB3D66"/>
    <w:rsid w:val="00BB406C"/>
    <w:rsid w:val="00BB4B13"/>
    <w:rsid w:val="00BB4EEC"/>
    <w:rsid w:val="00BB7048"/>
    <w:rsid w:val="00BB7C35"/>
    <w:rsid w:val="00BC07AD"/>
    <w:rsid w:val="00BC0C6A"/>
    <w:rsid w:val="00BC18E6"/>
    <w:rsid w:val="00BC1D2C"/>
    <w:rsid w:val="00BC2080"/>
    <w:rsid w:val="00BC23C4"/>
    <w:rsid w:val="00BC2721"/>
    <w:rsid w:val="00BC2ED8"/>
    <w:rsid w:val="00BC4924"/>
    <w:rsid w:val="00BC4FD8"/>
    <w:rsid w:val="00BC643A"/>
    <w:rsid w:val="00BC6580"/>
    <w:rsid w:val="00BC674E"/>
    <w:rsid w:val="00BC7A95"/>
    <w:rsid w:val="00BD0A38"/>
    <w:rsid w:val="00BD1337"/>
    <w:rsid w:val="00BD228D"/>
    <w:rsid w:val="00BD25F7"/>
    <w:rsid w:val="00BD6F2A"/>
    <w:rsid w:val="00BD7877"/>
    <w:rsid w:val="00BD7C94"/>
    <w:rsid w:val="00BD7D4E"/>
    <w:rsid w:val="00BE0367"/>
    <w:rsid w:val="00BE3C64"/>
    <w:rsid w:val="00BE3D81"/>
    <w:rsid w:val="00BE415B"/>
    <w:rsid w:val="00BF05AB"/>
    <w:rsid w:val="00BF157F"/>
    <w:rsid w:val="00BF2563"/>
    <w:rsid w:val="00BF32D5"/>
    <w:rsid w:val="00BF38EE"/>
    <w:rsid w:val="00BF52B9"/>
    <w:rsid w:val="00BF6C7E"/>
    <w:rsid w:val="00BF7AD5"/>
    <w:rsid w:val="00C01143"/>
    <w:rsid w:val="00C02009"/>
    <w:rsid w:val="00C05168"/>
    <w:rsid w:val="00C054D4"/>
    <w:rsid w:val="00C05702"/>
    <w:rsid w:val="00C10291"/>
    <w:rsid w:val="00C10469"/>
    <w:rsid w:val="00C10E0D"/>
    <w:rsid w:val="00C10FBD"/>
    <w:rsid w:val="00C137EC"/>
    <w:rsid w:val="00C14279"/>
    <w:rsid w:val="00C15F52"/>
    <w:rsid w:val="00C20622"/>
    <w:rsid w:val="00C2088D"/>
    <w:rsid w:val="00C208B2"/>
    <w:rsid w:val="00C20D57"/>
    <w:rsid w:val="00C20EFA"/>
    <w:rsid w:val="00C21B43"/>
    <w:rsid w:val="00C2227F"/>
    <w:rsid w:val="00C22CA5"/>
    <w:rsid w:val="00C23233"/>
    <w:rsid w:val="00C23727"/>
    <w:rsid w:val="00C25009"/>
    <w:rsid w:val="00C314EE"/>
    <w:rsid w:val="00C31C3D"/>
    <w:rsid w:val="00C31FC5"/>
    <w:rsid w:val="00C31FEB"/>
    <w:rsid w:val="00C33700"/>
    <w:rsid w:val="00C3455A"/>
    <w:rsid w:val="00C34C62"/>
    <w:rsid w:val="00C3737A"/>
    <w:rsid w:val="00C4108D"/>
    <w:rsid w:val="00C44A5A"/>
    <w:rsid w:val="00C44B2F"/>
    <w:rsid w:val="00C46180"/>
    <w:rsid w:val="00C46537"/>
    <w:rsid w:val="00C473FE"/>
    <w:rsid w:val="00C47677"/>
    <w:rsid w:val="00C50473"/>
    <w:rsid w:val="00C52994"/>
    <w:rsid w:val="00C542B4"/>
    <w:rsid w:val="00C549E0"/>
    <w:rsid w:val="00C54A78"/>
    <w:rsid w:val="00C54C2A"/>
    <w:rsid w:val="00C551F2"/>
    <w:rsid w:val="00C55B65"/>
    <w:rsid w:val="00C57054"/>
    <w:rsid w:val="00C6052C"/>
    <w:rsid w:val="00C6103E"/>
    <w:rsid w:val="00C61C1F"/>
    <w:rsid w:val="00C622CF"/>
    <w:rsid w:val="00C62C8B"/>
    <w:rsid w:val="00C63B8D"/>
    <w:rsid w:val="00C6495C"/>
    <w:rsid w:val="00C6601F"/>
    <w:rsid w:val="00C6679A"/>
    <w:rsid w:val="00C70E4C"/>
    <w:rsid w:val="00C71305"/>
    <w:rsid w:val="00C72124"/>
    <w:rsid w:val="00C72CDE"/>
    <w:rsid w:val="00C734B4"/>
    <w:rsid w:val="00C74064"/>
    <w:rsid w:val="00C74DEC"/>
    <w:rsid w:val="00C82265"/>
    <w:rsid w:val="00C82AAD"/>
    <w:rsid w:val="00C8483C"/>
    <w:rsid w:val="00C8568D"/>
    <w:rsid w:val="00C87A1E"/>
    <w:rsid w:val="00C87CBC"/>
    <w:rsid w:val="00C91AAE"/>
    <w:rsid w:val="00C92121"/>
    <w:rsid w:val="00C92896"/>
    <w:rsid w:val="00C93AAC"/>
    <w:rsid w:val="00C94454"/>
    <w:rsid w:val="00C949D0"/>
    <w:rsid w:val="00C95728"/>
    <w:rsid w:val="00C962EA"/>
    <w:rsid w:val="00C96597"/>
    <w:rsid w:val="00C96E4C"/>
    <w:rsid w:val="00C97927"/>
    <w:rsid w:val="00CA2336"/>
    <w:rsid w:val="00CA241E"/>
    <w:rsid w:val="00CA25F4"/>
    <w:rsid w:val="00CA2BF1"/>
    <w:rsid w:val="00CA50EC"/>
    <w:rsid w:val="00CA5183"/>
    <w:rsid w:val="00CA53E6"/>
    <w:rsid w:val="00CA550D"/>
    <w:rsid w:val="00CA561C"/>
    <w:rsid w:val="00CA6781"/>
    <w:rsid w:val="00CA7177"/>
    <w:rsid w:val="00CA7BD7"/>
    <w:rsid w:val="00CA7BDC"/>
    <w:rsid w:val="00CB13F7"/>
    <w:rsid w:val="00CB1D0A"/>
    <w:rsid w:val="00CB2739"/>
    <w:rsid w:val="00CB3D41"/>
    <w:rsid w:val="00CB472D"/>
    <w:rsid w:val="00CB6667"/>
    <w:rsid w:val="00CB679E"/>
    <w:rsid w:val="00CB682D"/>
    <w:rsid w:val="00CB7015"/>
    <w:rsid w:val="00CB7EAD"/>
    <w:rsid w:val="00CC0094"/>
    <w:rsid w:val="00CC0237"/>
    <w:rsid w:val="00CC1305"/>
    <w:rsid w:val="00CC1358"/>
    <w:rsid w:val="00CC1920"/>
    <w:rsid w:val="00CC2311"/>
    <w:rsid w:val="00CC2811"/>
    <w:rsid w:val="00CC475B"/>
    <w:rsid w:val="00CC57FA"/>
    <w:rsid w:val="00CC586E"/>
    <w:rsid w:val="00CC5FA1"/>
    <w:rsid w:val="00CC6195"/>
    <w:rsid w:val="00CC6C07"/>
    <w:rsid w:val="00CD1939"/>
    <w:rsid w:val="00CD1CDE"/>
    <w:rsid w:val="00CD24AD"/>
    <w:rsid w:val="00CD2B43"/>
    <w:rsid w:val="00CD2C6E"/>
    <w:rsid w:val="00CD3E27"/>
    <w:rsid w:val="00CE08C9"/>
    <w:rsid w:val="00CE0F24"/>
    <w:rsid w:val="00CE1770"/>
    <w:rsid w:val="00CE1AC5"/>
    <w:rsid w:val="00CE3675"/>
    <w:rsid w:val="00CE3E03"/>
    <w:rsid w:val="00CE3F7F"/>
    <w:rsid w:val="00CE4236"/>
    <w:rsid w:val="00CE4532"/>
    <w:rsid w:val="00CE53B4"/>
    <w:rsid w:val="00CE5BE3"/>
    <w:rsid w:val="00CE741D"/>
    <w:rsid w:val="00CE7A32"/>
    <w:rsid w:val="00CF1C8A"/>
    <w:rsid w:val="00CF2C2D"/>
    <w:rsid w:val="00CF2ECC"/>
    <w:rsid w:val="00CF32FF"/>
    <w:rsid w:val="00CF3322"/>
    <w:rsid w:val="00CF3DB6"/>
    <w:rsid w:val="00CF42ED"/>
    <w:rsid w:val="00CF45A5"/>
    <w:rsid w:val="00CF5272"/>
    <w:rsid w:val="00CF67A8"/>
    <w:rsid w:val="00CF7913"/>
    <w:rsid w:val="00CF7CC6"/>
    <w:rsid w:val="00CF7FC4"/>
    <w:rsid w:val="00D02AE9"/>
    <w:rsid w:val="00D02E26"/>
    <w:rsid w:val="00D02FA6"/>
    <w:rsid w:val="00D038C5"/>
    <w:rsid w:val="00D0440C"/>
    <w:rsid w:val="00D05924"/>
    <w:rsid w:val="00D05B46"/>
    <w:rsid w:val="00D06C91"/>
    <w:rsid w:val="00D107A8"/>
    <w:rsid w:val="00D11051"/>
    <w:rsid w:val="00D116EF"/>
    <w:rsid w:val="00D1187A"/>
    <w:rsid w:val="00D118DB"/>
    <w:rsid w:val="00D129F0"/>
    <w:rsid w:val="00D22A46"/>
    <w:rsid w:val="00D22BD8"/>
    <w:rsid w:val="00D2335A"/>
    <w:rsid w:val="00D26CDC"/>
    <w:rsid w:val="00D26D55"/>
    <w:rsid w:val="00D30DE8"/>
    <w:rsid w:val="00D31A43"/>
    <w:rsid w:val="00D31EC0"/>
    <w:rsid w:val="00D31F67"/>
    <w:rsid w:val="00D33686"/>
    <w:rsid w:val="00D34D2C"/>
    <w:rsid w:val="00D34F59"/>
    <w:rsid w:val="00D35226"/>
    <w:rsid w:val="00D3554B"/>
    <w:rsid w:val="00D37609"/>
    <w:rsid w:val="00D40CF5"/>
    <w:rsid w:val="00D41301"/>
    <w:rsid w:val="00D414DA"/>
    <w:rsid w:val="00D41D82"/>
    <w:rsid w:val="00D434CB"/>
    <w:rsid w:val="00D4425D"/>
    <w:rsid w:val="00D44426"/>
    <w:rsid w:val="00D4449E"/>
    <w:rsid w:val="00D44645"/>
    <w:rsid w:val="00D45429"/>
    <w:rsid w:val="00D45D63"/>
    <w:rsid w:val="00D45DF0"/>
    <w:rsid w:val="00D50356"/>
    <w:rsid w:val="00D51283"/>
    <w:rsid w:val="00D5161D"/>
    <w:rsid w:val="00D516FD"/>
    <w:rsid w:val="00D51F15"/>
    <w:rsid w:val="00D530E2"/>
    <w:rsid w:val="00D539D4"/>
    <w:rsid w:val="00D55045"/>
    <w:rsid w:val="00D563C9"/>
    <w:rsid w:val="00D56605"/>
    <w:rsid w:val="00D578CE"/>
    <w:rsid w:val="00D6055C"/>
    <w:rsid w:val="00D61554"/>
    <w:rsid w:val="00D637F4"/>
    <w:rsid w:val="00D63D02"/>
    <w:rsid w:val="00D65F28"/>
    <w:rsid w:val="00D7099E"/>
    <w:rsid w:val="00D71E30"/>
    <w:rsid w:val="00D72673"/>
    <w:rsid w:val="00D73A0B"/>
    <w:rsid w:val="00D750D3"/>
    <w:rsid w:val="00D77697"/>
    <w:rsid w:val="00D7797A"/>
    <w:rsid w:val="00D80279"/>
    <w:rsid w:val="00D81F27"/>
    <w:rsid w:val="00D83351"/>
    <w:rsid w:val="00D833CA"/>
    <w:rsid w:val="00D8394B"/>
    <w:rsid w:val="00D839D6"/>
    <w:rsid w:val="00D85283"/>
    <w:rsid w:val="00D854CE"/>
    <w:rsid w:val="00D8605D"/>
    <w:rsid w:val="00D86A79"/>
    <w:rsid w:val="00D8735D"/>
    <w:rsid w:val="00D878DC"/>
    <w:rsid w:val="00D87947"/>
    <w:rsid w:val="00D90A62"/>
    <w:rsid w:val="00D90B61"/>
    <w:rsid w:val="00D90E1A"/>
    <w:rsid w:val="00D90FB8"/>
    <w:rsid w:val="00D92567"/>
    <w:rsid w:val="00D93014"/>
    <w:rsid w:val="00D93C68"/>
    <w:rsid w:val="00D940F1"/>
    <w:rsid w:val="00D949D7"/>
    <w:rsid w:val="00D97ACB"/>
    <w:rsid w:val="00D97F2F"/>
    <w:rsid w:val="00DA0744"/>
    <w:rsid w:val="00DA08C9"/>
    <w:rsid w:val="00DA2D96"/>
    <w:rsid w:val="00DA3AFB"/>
    <w:rsid w:val="00DA4781"/>
    <w:rsid w:val="00DA4A0E"/>
    <w:rsid w:val="00DA6336"/>
    <w:rsid w:val="00DA72ED"/>
    <w:rsid w:val="00DB154C"/>
    <w:rsid w:val="00DB1836"/>
    <w:rsid w:val="00DB25E5"/>
    <w:rsid w:val="00DB26AB"/>
    <w:rsid w:val="00DB5B06"/>
    <w:rsid w:val="00DB619A"/>
    <w:rsid w:val="00DB6D56"/>
    <w:rsid w:val="00DB7D69"/>
    <w:rsid w:val="00DC211A"/>
    <w:rsid w:val="00DC30DA"/>
    <w:rsid w:val="00DC325F"/>
    <w:rsid w:val="00DC3593"/>
    <w:rsid w:val="00DD1294"/>
    <w:rsid w:val="00DD168F"/>
    <w:rsid w:val="00DD1AA9"/>
    <w:rsid w:val="00DD1B87"/>
    <w:rsid w:val="00DD1ED4"/>
    <w:rsid w:val="00DD2406"/>
    <w:rsid w:val="00DD2DC4"/>
    <w:rsid w:val="00DD2F65"/>
    <w:rsid w:val="00DD3109"/>
    <w:rsid w:val="00DD3664"/>
    <w:rsid w:val="00DD431A"/>
    <w:rsid w:val="00DD48A7"/>
    <w:rsid w:val="00DD5526"/>
    <w:rsid w:val="00DE0491"/>
    <w:rsid w:val="00DE072C"/>
    <w:rsid w:val="00DE10C4"/>
    <w:rsid w:val="00DE1831"/>
    <w:rsid w:val="00DE1F2E"/>
    <w:rsid w:val="00DE2199"/>
    <w:rsid w:val="00DE247D"/>
    <w:rsid w:val="00DE283F"/>
    <w:rsid w:val="00DE2C14"/>
    <w:rsid w:val="00DE32DB"/>
    <w:rsid w:val="00DE42D8"/>
    <w:rsid w:val="00DE443E"/>
    <w:rsid w:val="00DE49AA"/>
    <w:rsid w:val="00DE4D5D"/>
    <w:rsid w:val="00DE5DC3"/>
    <w:rsid w:val="00DE658D"/>
    <w:rsid w:val="00DE6ACC"/>
    <w:rsid w:val="00DE7E69"/>
    <w:rsid w:val="00DF03DD"/>
    <w:rsid w:val="00DF078C"/>
    <w:rsid w:val="00DF21E3"/>
    <w:rsid w:val="00DF2318"/>
    <w:rsid w:val="00DF30BA"/>
    <w:rsid w:val="00DF3CA0"/>
    <w:rsid w:val="00DF4AB4"/>
    <w:rsid w:val="00DF5073"/>
    <w:rsid w:val="00DF674B"/>
    <w:rsid w:val="00DF746E"/>
    <w:rsid w:val="00DF7F5A"/>
    <w:rsid w:val="00E00954"/>
    <w:rsid w:val="00E01AF2"/>
    <w:rsid w:val="00E02C43"/>
    <w:rsid w:val="00E052CE"/>
    <w:rsid w:val="00E05915"/>
    <w:rsid w:val="00E060A7"/>
    <w:rsid w:val="00E06836"/>
    <w:rsid w:val="00E0717B"/>
    <w:rsid w:val="00E0718C"/>
    <w:rsid w:val="00E07FA4"/>
    <w:rsid w:val="00E105A3"/>
    <w:rsid w:val="00E1195D"/>
    <w:rsid w:val="00E13068"/>
    <w:rsid w:val="00E14885"/>
    <w:rsid w:val="00E151B1"/>
    <w:rsid w:val="00E152D9"/>
    <w:rsid w:val="00E157A5"/>
    <w:rsid w:val="00E16316"/>
    <w:rsid w:val="00E20B3B"/>
    <w:rsid w:val="00E218ED"/>
    <w:rsid w:val="00E21F3D"/>
    <w:rsid w:val="00E22DF1"/>
    <w:rsid w:val="00E23E2B"/>
    <w:rsid w:val="00E26520"/>
    <w:rsid w:val="00E26531"/>
    <w:rsid w:val="00E268B9"/>
    <w:rsid w:val="00E27DFA"/>
    <w:rsid w:val="00E31964"/>
    <w:rsid w:val="00E3267E"/>
    <w:rsid w:val="00E32CD3"/>
    <w:rsid w:val="00E33E94"/>
    <w:rsid w:val="00E34301"/>
    <w:rsid w:val="00E36F90"/>
    <w:rsid w:val="00E373DD"/>
    <w:rsid w:val="00E40998"/>
    <w:rsid w:val="00E40AD8"/>
    <w:rsid w:val="00E40B8C"/>
    <w:rsid w:val="00E42460"/>
    <w:rsid w:val="00E424B6"/>
    <w:rsid w:val="00E42BE8"/>
    <w:rsid w:val="00E439EF"/>
    <w:rsid w:val="00E46279"/>
    <w:rsid w:val="00E47363"/>
    <w:rsid w:val="00E47D21"/>
    <w:rsid w:val="00E5028B"/>
    <w:rsid w:val="00E50BAF"/>
    <w:rsid w:val="00E50F47"/>
    <w:rsid w:val="00E52009"/>
    <w:rsid w:val="00E528B9"/>
    <w:rsid w:val="00E534E3"/>
    <w:rsid w:val="00E53C0D"/>
    <w:rsid w:val="00E54025"/>
    <w:rsid w:val="00E55B66"/>
    <w:rsid w:val="00E5604B"/>
    <w:rsid w:val="00E562C3"/>
    <w:rsid w:val="00E56760"/>
    <w:rsid w:val="00E572B0"/>
    <w:rsid w:val="00E57D4D"/>
    <w:rsid w:val="00E6015F"/>
    <w:rsid w:val="00E6068E"/>
    <w:rsid w:val="00E62E44"/>
    <w:rsid w:val="00E63CD4"/>
    <w:rsid w:val="00E64A17"/>
    <w:rsid w:val="00E65962"/>
    <w:rsid w:val="00E6598E"/>
    <w:rsid w:val="00E65C0B"/>
    <w:rsid w:val="00E66D33"/>
    <w:rsid w:val="00E67376"/>
    <w:rsid w:val="00E67F41"/>
    <w:rsid w:val="00E71C2E"/>
    <w:rsid w:val="00E72B45"/>
    <w:rsid w:val="00E72D21"/>
    <w:rsid w:val="00E738C0"/>
    <w:rsid w:val="00E74FB6"/>
    <w:rsid w:val="00E764A4"/>
    <w:rsid w:val="00E7762A"/>
    <w:rsid w:val="00E77F48"/>
    <w:rsid w:val="00E80185"/>
    <w:rsid w:val="00E80CDD"/>
    <w:rsid w:val="00E84418"/>
    <w:rsid w:val="00E84795"/>
    <w:rsid w:val="00E86151"/>
    <w:rsid w:val="00E86A94"/>
    <w:rsid w:val="00E874F2"/>
    <w:rsid w:val="00E875EE"/>
    <w:rsid w:val="00E87D07"/>
    <w:rsid w:val="00E87F48"/>
    <w:rsid w:val="00E90E2F"/>
    <w:rsid w:val="00E93FD2"/>
    <w:rsid w:val="00E95713"/>
    <w:rsid w:val="00E96EA8"/>
    <w:rsid w:val="00E97722"/>
    <w:rsid w:val="00EA08CF"/>
    <w:rsid w:val="00EA1AEC"/>
    <w:rsid w:val="00EA1B27"/>
    <w:rsid w:val="00EA1BDC"/>
    <w:rsid w:val="00EA2798"/>
    <w:rsid w:val="00EA2B58"/>
    <w:rsid w:val="00EA41D8"/>
    <w:rsid w:val="00EA4B8F"/>
    <w:rsid w:val="00EA56FB"/>
    <w:rsid w:val="00EA7B1F"/>
    <w:rsid w:val="00EB0647"/>
    <w:rsid w:val="00EB0BC5"/>
    <w:rsid w:val="00EB0E6D"/>
    <w:rsid w:val="00EB13C3"/>
    <w:rsid w:val="00EB19AB"/>
    <w:rsid w:val="00EB1E67"/>
    <w:rsid w:val="00EB2B78"/>
    <w:rsid w:val="00EB3779"/>
    <w:rsid w:val="00EB61F5"/>
    <w:rsid w:val="00EC0B36"/>
    <w:rsid w:val="00EC111B"/>
    <w:rsid w:val="00EC133E"/>
    <w:rsid w:val="00EC19FC"/>
    <w:rsid w:val="00EC28B6"/>
    <w:rsid w:val="00EC3030"/>
    <w:rsid w:val="00EC31E5"/>
    <w:rsid w:val="00EC35A7"/>
    <w:rsid w:val="00EC3B79"/>
    <w:rsid w:val="00EC4D50"/>
    <w:rsid w:val="00EC57A1"/>
    <w:rsid w:val="00EC69E5"/>
    <w:rsid w:val="00ED0054"/>
    <w:rsid w:val="00ED0531"/>
    <w:rsid w:val="00ED06E1"/>
    <w:rsid w:val="00ED1C85"/>
    <w:rsid w:val="00ED1E70"/>
    <w:rsid w:val="00ED268E"/>
    <w:rsid w:val="00ED42CB"/>
    <w:rsid w:val="00ED4F4A"/>
    <w:rsid w:val="00ED617A"/>
    <w:rsid w:val="00ED68DB"/>
    <w:rsid w:val="00EE180D"/>
    <w:rsid w:val="00EE2078"/>
    <w:rsid w:val="00EE236D"/>
    <w:rsid w:val="00EE4053"/>
    <w:rsid w:val="00EE6564"/>
    <w:rsid w:val="00EE7C09"/>
    <w:rsid w:val="00EF29DA"/>
    <w:rsid w:val="00EF2ED3"/>
    <w:rsid w:val="00EF3DE0"/>
    <w:rsid w:val="00EF5C73"/>
    <w:rsid w:val="00EF5D29"/>
    <w:rsid w:val="00EF609D"/>
    <w:rsid w:val="00EF671D"/>
    <w:rsid w:val="00EF68F5"/>
    <w:rsid w:val="00EF7D7B"/>
    <w:rsid w:val="00F00513"/>
    <w:rsid w:val="00F00F03"/>
    <w:rsid w:val="00F022F2"/>
    <w:rsid w:val="00F02A35"/>
    <w:rsid w:val="00F02B9C"/>
    <w:rsid w:val="00F030A6"/>
    <w:rsid w:val="00F03849"/>
    <w:rsid w:val="00F0477B"/>
    <w:rsid w:val="00F04BC6"/>
    <w:rsid w:val="00F06DF5"/>
    <w:rsid w:val="00F07C58"/>
    <w:rsid w:val="00F10F34"/>
    <w:rsid w:val="00F116A4"/>
    <w:rsid w:val="00F129D6"/>
    <w:rsid w:val="00F13232"/>
    <w:rsid w:val="00F14FFE"/>
    <w:rsid w:val="00F15EDD"/>
    <w:rsid w:val="00F15FFD"/>
    <w:rsid w:val="00F161CB"/>
    <w:rsid w:val="00F1708F"/>
    <w:rsid w:val="00F179B1"/>
    <w:rsid w:val="00F17D1F"/>
    <w:rsid w:val="00F2007E"/>
    <w:rsid w:val="00F22E58"/>
    <w:rsid w:val="00F25370"/>
    <w:rsid w:val="00F25F39"/>
    <w:rsid w:val="00F2615E"/>
    <w:rsid w:val="00F27C25"/>
    <w:rsid w:val="00F308C9"/>
    <w:rsid w:val="00F3181F"/>
    <w:rsid w:val="00F34F12"/>
    <w:rsid w:val="00F364DA"/>
    <w:rsid w:val="00F40E46"/>
    <w:rsid w:val="00F41594"/>
    <w:rsid w:val="00F43293"/>
    <w:rsid w:val="00F44060"/>
    <w:rsid w:val="00F445B3"/>
    <w:rsid w:val="00F45BEB"/>
    <w:rsid w:val="00F45D2E"/>
    <w:rsid w:val="00F47C92"/>
    <w:rsid w:val="00F52B18"/>
    <w:rsid w:val="00F531A8"/>
    <w:rsid w:val="00F547ED"/>
    <w:rsid w:val="00F563E1"/>
    <w:rsid w:val="00F566B6"/>
    <w:rsid w:val="00F57BEF"/>
    <w:rsid w:val="00F61D46"/>
    <w:rsid w:val="00F622CD"/>
    <w:rsid w:val="00F6279C"/>
    <w:rsid w:val="00F62C8F"/>
    <w:rsid w:val="00F64C3D"/>
    <w:rsid w:val="00F65B53"/>
    <w:rsid w:val="00F66C5F"/>
    <w:rsid w:val="00F66EB8"/>
    <w:rsid w:val="00F71D95"/>
    <w:rsid w:val="00F71DFA"/>
    <w:rsid w:val="00F721B0"/>
    <w:rsid w:val="00F72FCA"/>
    <w:rsid w:val="00F73D18"/>
    <w:rsid w:val="00F7562E"/>
    <w:rsid w:val="00F75750"/>
    <w:rsid w:val="00F76751"/>
    <w:rsid w:val="00F77943"/>
    <w:rsid w:val="00F804D0"/>
    <w:rsid w:val="00F821E6"/>
    <w:rsid w:val="00F82245"/>
    <w:rsid w:val="00F82A31"/>
    <w:rsid w:val="00F838CA"/>
    <w:rsid w:val="00F860F6"/>
    <w:rsid w:val="00F918CB"/>
    <w:rsid w:val="00F9242D"/>
    <w:rsid w:val="00F936A0"/>
    <w:rsid w:val="00F94009"/>
    <w:rsid w:val="00F9617A"/>
    <w:rsid w:val="00F96FBE"/>
    <w:rsid w:val="00F978AA"/>
    <w:rsid w:val="00FA0357"/>
    <w:rsid w:val="00FA07A6"/>
    <w:rsid w:val="00FA196E"/>
    <w:rsid w:val="00FA2FCD"/>
    <w:rsid w:val="00FA40CF"/>
    <w:rsid w:val="00FA439C"/>
    <w:rsid w:val="00FA6922"/>
    <w:rsid w:val="00FA768F"/>
    <w:rsid w:val="00FA79C1"/>
    <w:rsid w:val="00FB05E2"/>
    <w:rsid w:val="00FB1962"/>
    <w:rsid w:val="00FB26B5"/>
    <w:rsid w:val="00FB366C"/>
    <w:rsid w:val="00FB4085"/>
    <w:rsid w:val="00FB4CB7"/>
    <w:rsid w:val="00FB6513"/>
    <w:rsid w:val="00FB6AC4"/>
    <w:rsid w:val="00FB7D21"/>
    <w:rsid w:val="00FC1257"/>
    <w:rsid w:val="00FC196E"/>
    <w:rsid w:val="00FC4A2C"/>
    <w:rsid w:val="00FC4ACA"/>
    <w:rsid w:val="00FC4B4D"/>
    <w:rsid w:val="00FC64C4"/>
    <w:rsid w:val="00FC6546"/>
    <w:rsid w:val="00FC7180"/>
    <w:rsid w:val="00FD062E"/>
    <w:rsid w:val="00FD186D"/>
    <w:rsid w:val="00FD24E0"/>
    <w:rsid w:val="00FD2A7F"/>
    <w:rsid w:val="00FD5086"/>
    <w:rsid w:val="00FD5209"/>
    <w:rsid w:val="00FD76A9"/>
    <w:rsid w:val="00FD79CD"/>
    <w:rsid w:val="00FE01FF"/>
    <w:rsid w:val="00FE05F7"/>
    <w:rsid w:val="00FE193C"/>
    <w:rsid w:val="00FE2273"/>
    <w:rsid w:val="00FE2AE8"/>
    <w:rsid w:val="00FE2DEC"/>
    <w:rsid w:val="00FE349E"/>
    <w:rsid w:val="00FE42AB"/>
    <w:rsid w:val="00FE70D4"/>
    <w:rsid w:val="00FF019B"/>
    <w:rsid w:val="00FF0A78"/>
    <w:rsid w:val="00FF2911"/>
    <w:rsid w:val="00FF370E"/>
    <w:rsid w:val="00FF3E32"/>
    <w:rsid w:val="00FF79B8"/>
    <w:rsid w:val="00FF7FB9"/>
    <w:rsid w:val="24CA145E"/>
    <w:rsid w:val="5C411117"/>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21870C4"/>
  <w15:docId w15:val="{0B60089E-1C11-4682-9E28-6AD9270E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75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a1"/>
    <w:uiPriority w:val="99"/>
    <w:semiHidden/>
    <w:unhideWhenUsed/>
    <w:rPr>
      <w:b/>
      <w:bCs/>
    </w:rPr>
  </w:style>
  <w:style w:type="paragraph" w:styleId="CommentText">
    <w:name w:val="annotation text"/>
    <w:basedOn w:val="Normal"/>
    <w:link w:val="a0"/>
    <w:uiPriority w:val="99"/>
    <w:unhideWhenUsed/>
    <w:qFormat/>
    <w:pPr>
      <w:jc w:val="left"/>
    </w:pPr>
  </w:style>
  <w:style w:type="paragraph" w:styleId="BalloonText">
    <w:name w:val="Balloon Text"/>
    <w:basedOn w:val="Normal"/>
    <w:link w:val="a"/>
    <w:uiPriority w:val="99"/>
    <w:semiHidden/>
    <w:unhideWhenUsed/>
    <w:qFormat/>
    <w:rPr>
      <w:sz w:val="18"/>
      <w:szCs w:val="18"/>
    </w:rPr>
  </w:style>
  <w:style w:type="paragraph" w:styleId="Footer">
    <w:name w:val="footer"/>
    <w:basedOn w:val="Normal"/>
    <w:link w:val="a3"/>
    <w:uiPriority w:val="99"/>
    <w:unhideWhenUsed/>
    <w:qFormat/>
    <w:pPr>
      <w:tabs>
        <w:tab w:val="center" w:pos="4153"/>
        <w:tab w:val="right" w:pos="8306"/>
      </w:tabs>
      <w:snapToGrid w:val="0"/>
      <w:jc w:val="left"/>
    </w:pPr>
    <w:rPr>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napToGrid w:val="0"/>
      <w:jc w:val="center"/>
    </w:pPr>
    <w:rPr>
      <w:sz w:val="18"/>
      <w:szCs w:val="18"/>
    </w:rPr>
  </w:style>
  <w:style w:type="character" w:styleId="CommentReference">
    <w:name w:val="annotation reference"/>
    <w:basedOn w:val="DefaultParagraphFont"/>
    <w:uiPriority w:val="99"/>
    <w:unhideWhenUsed/>
    <w:qFormat/>
    <w:rsid w:val="00CA561C"/>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basedOn w:val="DefaultParagraphFont"/>
    <w:link w:val="BalloonText"/>
    <w:uiPriority w:val="99"/>
    <w:semiHidden/>
    <w:qFormat/>
    <w:rPr>
      <w:sz w:val="18"/>
      <w:szCs w:val="18"/>
    </w:rPr>
  </w:style>
  <w:style w:type="character" w:customStyle="1" w:styleId="a0">
    <w:name w:val="批注文字 字符"/>
    <w:basedOn w:val="DefaultParagraphFont"/>
    <w:link w:val="CommentText"/>
    <w:uiPriority w:val="99"/>
    <w:qFormat/>
  </w:style>
  <w:style w:type="character" w:customStyle="1" w:styleId="a1">
    <w:name w:val="批注主题 字符"/>
    <w:basedOn w:val="a0"/>
    <w:link w:val="CommentSubject"/>
    <w:uiPriority w:val="99"/>
    <w:semiHidden/>
    <w:qFormat/>
    <w:rPr>
      <w:b/>
      <w:bCs/>
    </w:rPr>
  </w:style>
  <w:style w:type="character" w:customStyle="1" w:styleId="a2">
    <w:name w:val="页眉 字符"/>
    <w:basedOn w:val="DefaultParagraphFont"/>
    <w:link w:val="Header"/>
    <w:uiPriority w:val="99"/>
    <w:qFormat/>
    <w:rPr>
      <w:sz w:val="18"/>
      <w:szCs w:val="18"/>
    </w:rPr>
  </w:style>
  <w:style w:type="character" w:customStyle="1" w:styleId="a3">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 w:type="paragraph" w:customStyle="1" w:styleId="YJH-nei">
    <w:name w:val="YJH-nei"/>
    <w:basedOn w:val="Normal"/>
    <w:qFormat/>
    <w:pPr>
      <w:spacing w:line="600" w:lineRule="exact"/>
      <w:ind w:firstLine="200" w:firstLineChars="200"/>
    </w:pPr>
    <w:rPr>
      <w:rFonts w:ascii="仿宋_GB2312" w:eastAsia="仿宋_GB2312" w:hAnsi="宋体" w:cs="宋体" w:hint="eastAsia"/>
      <w:kern w:val="0"/>
      <w:sz w:val="30"/>
      <w:szCs w:val="30"/>
    </w:rPr>
  </w:style>
  <w:style w:type="paragraph" w:customStyle="1" w:styleId="1">
    <w:name w:val="修订1"/>
    <w:hidden/>
    <w:uiPriority w:val="99"/>
    <w:semiHidden/>
    <w:qFormat/>
    <w:rPr>
      <w:kern w:val="2"/>
      <w:sz w:val="21"/>
      <w:szCs w:val="22"/>
    </w:rPr>
  </w:style>
  <w:style w:type="character" w:customStyle="1" w:styleId="sect2title1">
    <w:name w:val="sect2title1"/>
    <w:qFormat/>
    <w:rPr>
      <w:rFonts w:ascii="微软雅黑" w:eastAsia="微软雅黑" w:hAnsi="微软雅黑" w:hint="eastAsia"/>
      <w:b/>
      <w:bCs/>
      <w:sz w:val="21"/>
      <w:szCs w:val="21"/>
    </w:rPr>
  </w:style>
  <w:style w:type="character" w:customStyle="1" w:styleId="title1">
    <w:name w:val="title1"/>
    <w:qFormat/>
    <w:rPr>
      <w:rFonts w:ascii="微软雅黑" w:eastAsia="微软雅黑" w:hAnsi="微软雅黑" w:hint="eastAsia"/>
      <w:sz w:val="21"/>
      <w:szCs w:val="21"/>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6C4BDD"/>
    <w:rPr>
      <w:kern w:val="2"/>
      <w:sz w:val="21"/>
      <w:szCs w:val="22"/>
    </w:rPr>
  </w:style>
  <w:style w:type="table" w:customStyle="1" w:styleId="2">
    <w:name w:val="网格型2"/>
    <w:basedOn w:val="TableNormal"/>
    <w:uiPriority w:val="39"/>
    <w:rsid w:val="005F2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rsid w:val="00112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54B"/>
    <w:rPr>
      <w:color w:val="0563C1" w:themeColor="hyperlink"/>
      <w:u w:val="single"/>
    </w:rPr>
  </w:style>
  <w:style w:type="character" w:styleId="UnresolvedMention">
    <w:name w:val="Unresolved Mention"/>
    <w:basedOn w:val="DefaultParagraphFont"/>
    <w:uiPriority w:val="99"/>
    <w:semiHidden/>
    <w:unhideWhenUsed/>
    <w:rsid w:val="00D3554B"/>
    <w:rPr>
      <w:color w:val="605E5C"/>
      <w:shd w:val="clear" w:color="auto" w:fill="E1DFDD"/>
    </w:rPr>
  </w:style>
  <w:style w:type="table" w:customStyle="1" w:styleId="TableGrid0">
    <w:name w:val="Table Grid_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DA8FFE-424E-4CCC-8D9E-8106A42303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18</Pages>
  <Words>9694</Words>
  <Characters>10180</Characters>
  <Application>Microsoft Office Word</Application>
  <DocSecurity>0</DocSecurity>
  <Lines>442</Lines>
  <Paragraphs>462</Paragraphs>
  <ScaleCrop>false</ScaleCrop>
  <Company>nbcb</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吴威</dc:creator>
  <cp:lastModifiedBy>卓鑫 楼</cp:lastModifiedBy>
  <cp:revision>59</cp:revision>
  <cp:lastPrinted>2020-06-22T00:36:00Z</cp:lastPrinted>
  <dcterms:created xsi:type="dcterms:W3CDTF">2023-02-20T01:42:00Z</dcterms:created>
  <dcterms:modified xsi:type="dcterms:W3CDTF">2026-04-28T05:54:00Z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