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pPr>
        <w:autoSpaceDE w:val="0"/>
        <w:autoSpaceDN w:val="0"/>
        <w:adjustRightInd w:val="0"/>
        <w:jc w:val="center"/>
        <w:rPr>
          <w:rFonts w:ascii="黑体" w:eastAsia="黑体" w:hAnsi="宋体"/>
          <w:b/>
          <w:sz w:val="44"/>
          <w:szCs w:val="44"/>
        </w:rPr>
      </w:pPr>
      <w:bookmarkStart w:id="0" w:name="_GoBack"/>
      <w:bookmarkEnd w:id="0"/>
      <w:r>
        <w:rPr>
          <w:rFonts w:ascii="黑体" w:eastAsia="黑体" w:hAnsi="宋体" w:hint="eastAsia"/>
          <w:b/>
          <w:sz w:val="44"/>
          <w:szCs w:val="44"/>
        </w:rPr>
        <w:t>宁银理财宁欣日日薪固定收益类日开理财84号（最短持有7天）产品说明书</w:t>
      </w:r>
    </w:p>
    <w:p>
      <w:pPr>
        <w:spacing w:line="312" w:lineRule="auto"/>
        <w:jc w:val="center"/>
        <w:rPr>
          <w:rFonts w:ascii="黑体" w:eastAsia="黑体" w:hAnsi="黑体"/>
          <w:sz w:val="44"/>
          <w:szCs w:val="44"/>
        </w:rPr>
      </w:pPr>
      <w:r>
        <w:rPr>
          <w:rFonts w:ascii="黑体" w:eastAsia="黑体" w:hAnsi="黑体" w:hint="eastAsia"/>
          <w:sz w:val="24"/>
        </w:rPr>
        <w:t>（</w:t>
      </w:r>
      <w:r>
        <w:rPr>
          <w:rFonts w:ascii="黑体" w:eastAsia="黑体" w:hAnsi="黑体"/>
          <w:sz w:val="24"/>
        </w:rPr>
        <w:t>202602</w:t>
      </w:r>
      <w:r>
        <w:rPr>
          <w:rFonts w:ascii="黑体" w:eastAsia="黑体" w:hAnsi="黑体" w:hint="eastAsia"/>
          <w:sz w:val="24"/>
        </w:rPr>
        <w:t>版</w:t>
      </w:r>
      <w:r>
        <w:rPr>
          <w:rFonts w:ascii="黑体" w:eastAsia="黑体" w:hAnsi="黑体"/>
          <w:sz w:val="24"/>
        </w:rPr>
        <w:t>/</w:t>
      </w:r>
      <w:r>
        <w:rPr>
          <w:rFonts w:ascii="黑体" w:eastAsia="黑体" w:hAnsi="黑体" w:hint="eastAsia"/>
          <w:sz w:val="24"/>
        </w:rPr>
        <w:t>适用于最短持有期开放式</w:t>
      </w:r>
      <w:r>
        <w:rPr>
          <w:rFonts w:ascii="黑体" w:eastAsia="黑体" w:hAnsi="黑体"/>
          <w:sz w:val="24"/>
        </w:rPr>
        <w:t>净值型理财</w:t>
      </w:r>
      <w:r>
        <w:rPr>
          <w:rFonts w:ascii="黑体" w:eastAsia="黑体" w:hAnsi="黑体" w:hint="eastAsia"/>
          <w:sz w:val="24"/>
        </w:rPr>
        <w:t>产品）</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一、重要说明</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、《宁银理财宁欣日日薪固定收益类日开理财84号（最短持有7天）</w:t>
      </w:r>
      <w:r>
        <w:rPr>
          <w:rFonts w:ascii="黑体" w:eastAsia="黑体" w:hAnsi="黑体" w:cs="黑体"/>
          <w:kern w:val="0"/>
          <w:szCs w:val="21"/>
        </w:rPr>
        <w:t>产品说明书</w:t>
      </w:r>
      <w:r>
        <w:rPr>
          <w:rFonts w:ascii="黑体" w:eastAsia="黑体" w:hAnsi="黑体" w:cs="黑体" w:hint="eastAsia"/>
          <w:kern w:val="0"/>
          <w:szCs w:val="21"/>
        </w:rPr>
        <w:t>》（下称</w:t>
      </w:r>
      <w:r>
        <w:rPr>
          <w:rFonts w:ascii="黑体" w:eastAsia="黑体" w:hAnsi="黑体" w:cs="黑体"/>
          <w:kern w:val="0"/>
          <w:szCs w:val="21"/>
        </w:rPr>
        <w:t>“</w:t>
      </w:r>
      <w:r>
        <w:rPr>
          <w:rFonts w:ascii="黑体" w:eastAsia="黑体" w:hAnsi="黑体" w:cs="黑体" w:hint="eastAsia"/>
          <w:kern w:val="0"/>
          <w:szCs w:val="21"/>
        </w:rPr>
        <w:t>本</w:t>
      </w:r>
      <w:r>
        <w:rPr>
          <w:rFonts w:ascii="黑体" w:eastAsia="黑体" w:hAnsi="黑体" w:cs="黑体"/>
          <w:kern w:val="0"/>
          <w:szCs w:val="21"/>
        </w:rPr>
        <w:t>说明</w:t>
      </w:r>
      <w:r>
        <w:rPr>
          <w:rFonts w:ascii="黑体" w:eastAsia="黑体" w:hAnsi="黑体" w:cs="黑体" w:hint="eastAsia"/>
          <w:kern w:val="0"/>
          <w:szCs w:val="21"/>
        </w:rPr>
        <w:t>书</w:t>
      </w:r>
      <w:r>
        <w:rPr>
          <w:rFonts w:ascii="黑体" w:eastAsia="黑体" w:hAnsi="黑体" w:cs="黑体"/>
          <w:kern w:val="0"/>
          <w:szCs w:val="21"/>
        </w:rPr>
        <w:t>”</w:t>
      </w:r>
      <w:r>
        <w:rPr>
          <w:rFonts w:ascii="黑体" w:eastAsia="黑体" w:hAnsi="黑体" w:cs="黑体" w:hint="eastAsia"/>
          <w:kern w:val="0"/>
          <w:szCs w:val="21"/>
        </w:rPr>
        <w:t>或《理财产品说明书》）与本理财产品的《风险揭示书》、《销售（代理销售）协议书》（通过代理销售机构销售的，文件具体名称以代理销售机构为准，下同）、《投资协议书》、《投资者权益须知》等理财产品销售文件共同构成一份完整且不可分割的、关于甲方所投资乙方理财产品的全部协议。若本说明书与上述</w:t>
      </w:r>
      <w:r>
        <w:rPr>
          <w:rFonts w:ascii="黑体" w:eastAsia="黑体" w:hAnsi="黑体" w:cs="黑体"/>
          <w:kern w:val="0"/>
          <w:szCs w:val="21"/>
        </w:rPr>
        <w:t>其他文本</w:t>
      </w:r>
      <w:r>
        <w:rPr>
          <w:rFonts w:ascii="黑体" w:eastAsia="黑体" w:hAnsi="黑体" w:cs="黑体" w:hint="eastAsia"/>
          <w:kern w:val="0"/>
          <w:szCs w:val="21"/>
        </w:rPr>
        <w:t>有不一致之处，以本说明书为准。</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宁银理财</w:t>
      </w:r>
      <w:r>
        <w:rPr>
          <w:rFonts w:ascii="黑体" w:eastAsia="黑体" w:hAnsi="黑体" w:cs="黑体"/>
          <w:kern w:val="0"/>
          <w:szCs w:val="21"/>
        </w:rPr>
        <w:t>有限责任</w:t>
      </w:r>
      <w:r>
        <w:rPr>
          <w:rFonts w:ascii="黑体" w:eastAsia="黑体" w:hAnsi="黑体" w:cs="黑体" w:hint="eastAsia"/>
          <w:kern w:val="0"/>
          <w:szCs w:val="21"/>
        </w:rPr>
        <w:t>公司（下称“产品</w:t>
      </w:r>
      <w:r>
        <w:rPr>
          <w:rFonts w:ascii="黑体" w:eastAsia="黑体" w:hAnsi="黑体" w:cs="黑体"/>
          <w:kern w:val="0"/>
          <w:szCs w:val="21"/>
        </w:rPr>
        <w:t>管理人”</w:t>
      </w:r>
      <w:r>
        <w:rPr>
          <w:rFonts w:ascii="黑体" w:eastAsia="黑体" w:hAnsi="黑体" w:cs="黑体" w:hint="eastAsia"/>
          <w:kern w:val="0"/>
          <w:szCs w:val="21"/>
        </w:rPr>
        <w:t>）代理投资者进行理财资金的投资和管理，并严格遵照本说明书所载的内容进行操作。</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产品</w:t>
      </w:r>
      <w:r>
        <w:rPr>
          <w:rFonts w:ascii="黑体" w:eastAsia="黑体" w:hAnsi="黑体" w:cs="黑体"/>
          <w:kern w:val="0"/>
          <w:szCs w:val="21"/>
        </w:rPr>
        <w:t>管理人</w:t>
      </w:r>
      <w:r>
        <w:rPr>
          <w:rFonts w:ascii="黑体" w:eastAsia="黑体" w:hAnsi="黑体" w:cs="黑体" w:hint="eastAsia"/>
          <w:kern w:val="0"/>
          <w:szCs w:val="21"/>
        </w:rPr>
        <w:t>对本说明书具有解释权。</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4、理财产品过往业绩不代表其未来表现，不等于理财产品实际收益，投资须谨慎。</w:t>
      </w:r>
    </w:p>
    <w:p>
      <w:pPr>
        <w:autoSpaceDE w:val="0"/>
        <w:autoSpaceDN w:val="0"/>
        <w:adjustRightInd w:val="0"/>
        <w:ind w:firstLine="447" w:firstLineChars="213"/>
        <w:jc w:val="left"/>
        <w:rPr>
          <w:rFonts w:ascii="黑体" w:eastAsia="黑体" w:hAnsi="黑体" w:cs="黑体"/>
          <w:kern w:val="0"/>
          <w:szCs w:val="21"/>
        </w:rPr>
      </w:pP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二</w:t>
      </w:r>
      <w:r>
        <w:rPr>
          <w:rFonts w:ascii="黑体" w:eastAsia="黑体" w:hAnsi="黑体" w:cs="黑体"/>
          <w:b/>
          <w:kern w:val="0"/>
          <w:szCs w:val="21"/>
        </w:rPr>
        <w:t>、</w:t>
      </w:r>
      <w:r>
        <w:rPr>
          <w:rFonts w:ascii="黑体" w:eastAsia="黑体" w:hAnsi="黑体" w:cs="黑体" w:hint="eastAsia"/>
          <w:b/>
          <w:kern w:val="0"/>
          <w:szCs w:val="21"/>
        </w:rPr>
        <w:t>产品要素</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38"/>
        <w:gridCol w:w="64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38" w:type="dxa"/>
          </w:tcPr>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产品代码</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ZGN2560084</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全国</w:t>
            </w:r>
            <w:r>
              <w:rPr>
                <w:rFonts w:ascii="黑体" w:eastAsia="黑体" w:hAnsi="黑体" w:cs="黑体"/>
                <w:kern w:val="0"/>
                <w:szCs w:val="21"/>
              </w:rPr>
              <w:t>银行业</w:t>
            </w:r>
            <w:r>
              <w:rPr>
                <w:rFonts w:ascii="黑体" w:eastAsia="黑体" w:hAnsi="黑体" w:cs="黑体" w:hint="eastAsia"/>
                <w:kern w:val="0"/>
                <w:szCs w:val="21"/>
              </w:rPr>
              <w:t>信息</w:t>
            </w:r>
            <w:r>
              <w:rPr>
                <w:rFonts w:ascii="黑体" w:eastAsia="黑体" w:hAnsi="黑体" w:cs="黑体"/>
                <w:kern w:val="0"/>
                <w:szCs w:val="21"/>
              </w:rPr>
              <w:t>登记系统编码</w:t>
            </w:r>
          </w:p>
        </w:tc>
        <w:tc>
          <w:tcPr>
            <w:tcW w:w="6458" w:type="dxa"/>
          </w:tcPr>
          <w:p>
            <w:pPr>
              <w:autoSpaceDE w:val="0"/>
              <w:autoSpaceDN w:val="0"/>
              <w:adjustRightInd w:val="0"/>
              <w:jc w:val="left"/>
              <w:rPr>
                <w:rFonts w:ascii="Arial" w:hAnsi="Arial" w:cs="Arial"/>
                <w:sz w:val="20"/>
                <w:szCs w:val="20"/>
              </w:rPr>
            </w:pPr>
            <w:r>
              <w:rPr>
                <w:rFonts w:ascii="Arial" w:hAnsi="Arial" w:cs="Arial"/>
                <w:sz w:val="20"/>
                <w:szCs w:val="20"/>
              </w:rPr>
              <w:t>Z7002125000506</w:t>
            </w:r>
          </w:p>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凭此编码可在“中国理财网（</w:t>
            </w:r>
            <w:r>
              <w:rPr>
                <w:rFonts w:ascii="黑体" w:eastAsia="黑体" w:hAnsi="黑体" w:cs="黑体"/>
                <w:kern w:val="0"/>
                <w:szCs w:val="21"/>
              </w:rPr>
              <w:t>www.chinawealth.com.cn）”上查询</w:t>
            </w:r>
            <w:r>
              <w:rPr>
                <w:rFonts w:ascii="黑体" w:eastAsia="黑体" w:hAnsi="黑体" w:cs="黑体" w:hint="eastAsia"/>
                <w:kern w:val="0"/>
                <w:szCs w:val="21"/>
              </w:rPr>
              <w:t>本产品信息</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名称</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宁银理财宁欣日日薪固定收益类日开理财84号（最短持有7天）</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类型</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固定收益类、非保本浮动收益型</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募集</w:t>
            </w:r>
            <w:r>
              <w:rPr>
                <w:rFonts w:ascii="黑体" w:eastAsia="黑体" w:hAnsi="黑体" w:cs="黑体"/>
                <w:kern w:val="0"/>
                <w:szCs w:val="21"/>
              </w:rPr>
              <w:t>方式</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公募</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评级</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PR2</w:t>
            </w:r>
          </w:p>
          <w:p>
            <w:pPr>
              <w:autoSpaceDE w:val="0"/>
              <w:autoSpaceDN w:val="0"/>
              <w:adjustRightInd w:val="0"/>
              <w:rPr>
                <w:rFonts w:ascii="黑体" w:eastAsia="黑体" w:hAnsi="黑体" w:cs="黑体"/>
                <w:b/>
                <w:kern w:val="0"/>
                <w:szCs w:val="21"/>
              </w:rPr>
            </w:pPr>
            <w:r>
              <w:rPr>
                <w:rFonts w:ascii="黑体" w:eastAsia="黑体" w:hAnsi="黑体" w:cs="黑体" w:hint="eastAsia"/>
                <w:b/>
                <w:kern w:val="0"/>
                <w:szCs w:val="21"/>
              </w:rPr>
              <w:t>在产品存续期间，当市场环境等因素发生变化时，产品管理人可能对产品风险评级进行调整，具体以届时信息披露公告为准。</w:t>
            </w:r>
          </w:p>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本评级</w:t>
            </w:r>
            <w:r>
              <w:rPr>
                <w:rFonts w:ascii="黑体" w:eastAsia="黑体" w:hAnsi="黑体" w:cs="黑体"/>
                <w:kern w:val="0"/>
                <w:szCs w:val="21"/>
              </w:rPr>
              <w:t>为</w:t>
            </w:r>
            <w:r>
              <w:rPr>
                <w:rFonts w:ascii="黑体" w:eastAsia="黑体" w:hAnsi="黑体" w:cs="黑体" w:hint="eastAsia"/>
                <w:kern w:val="0"/>
                <w:szCs w:val="21"/>
              </w:rPr>
              <w:t>产品</w:t>
            </w:r>
            <w:r>
              <w:rPr>
                <w:rFonts w:ascii="黑体" w:eastAsia="黑体" w:hAnsi="黑体" w:cs="黑体"/>
                <w:kern w:val="0"/>
                <w:szCs w:val="21"/>
              </w:rPr>
              <w:t>管理人内部评级，仅供参考</w:t>
            </w:r>
            <w:r>
              <w:rPr>
                <w:rFonts w:ascii="黑体" w:eastAsia="黑体" w:hAnsi="黑体" w:cs="黑体" w:hint="eastAsia"/>
                <w:kern w:val="0"/>
                <w:szCs w:val="21"/>
              </w:rPr>
              <w:t>。该产品通过代理销售机构渠道销售的，理财产品评级应当以代理销售机构最终披露的评级结果为准。</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bookmarkStart w:id="1" w:name="_Hlk228199013"/>
            <w:r>
              <w:rPr>
                <w:rFonts w:ascii="黑体" w:eastAsia="黑体" w:hAnsi="黑体" w:cs="黑体" w:hint="eastAsia"/>
                <w:kern w:val="0"/>
                <w:szCs w:val="21"/>
              </w:rPr>
              <w:t>目标</w:t>
            </w:r>
            <w:r>
              <w:rPr>
                <w:rFonts w:ascii="黑体" w:eastAsia="黑体" w:hAnsi="黑体" w:cs="黑体"/>
                <w:kern w:val="0"/>
                <w:szCs w:val="21"/>
              </w:rPr>
              <w:t>投资者</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风险评级为稳健型、平衡型、成长型、进取型的投资者（具体以销售机构的规则为准），其中，</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A份额（销售代码：ZGN2560084A）面向宁波银行渠道客户、广州银行渠道客户、莱商银行渠道客户、桂林银行渠道客户；</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B份额（销售代码：ZGN2560084B）面向宁银理财直销渠道预约客户、交通银行渠道客户、广州农商银行渠道客户、江南农商银行渠道客户、江阴农商银行渠道客户、常熟农商银行渠道客户、苏州银行渠道客户、泉州银行渠道客户、云南红塔银行渠道客户、大连银行渠道客户、贵阳银行渠道客户；</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D份额（销售代码：ZGN2560084D）面向宁波银行新客户、宁波银行客户新增资金、潜力私钻个人客户、宁波银行钻石卡（月日均资产达到300万）及以上个人客户、宁银理财渠道客户、广州银行渠道新开户客户、珠海华润银行渠道客户、甘肃银行渠道客户、台州银行渠道客户；</w:t>
            </w:r>
            <w:bookmarkStart w:id="2" w:name="OLE_LINK12"/>
            <w:bookmarkStart w:id="3" w:name="OLE_LINK11"/>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E份额（销售代码：ZGN2560084E）面向部分非宁波银行渠道客户、宁波银行机构客户、宁夏银行渠道客户、张家港农商银行渠道客户、苏州银行对公客户、东莞农村商业银行渠道客户、东莞银行渠道客户、内蒙古银行渠道客户、渤海银行渠道客户、潍坊银行渠道客户、吉林银行渠道客户、青岛银行渠道客户；</w:t>
            </w:r>
            <w:bookmarkStart w:id="4" w:name="OLE_LINK1"/>
            <w:bookmarkStart w:id="5" w:name="OLE_LINK2"/>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G份额（销售代码：ZGN2560084G）面向宁银理财直销渠道特邀客户</w:t>
            </w:r>
            <w:bookmarkEnd w:id="4"/>
            <w:bookmarkEnd w:id="5"/>
            <w:r>
              <w:rPr>
                <w:rFonts w:ascii="黑体" w:eastAsia="黑体" w:hAnsi="黑体" w:cs="黑体" w:hint="eastAsia"/>
                <w:b/>
                <w:kern w:val="0"/>
                <w:szCs w:val="21"/>
              </w:rPr>
              <w:t>、浦发银行机构客户；</w:t>
            </w:r>
            <w:bookmarkEnd w:id="2"/>
            <w:bookmarkEnd w:id="3"/>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J份额（销售代码：ZGN2560084J）面向广发银行渠道客户、部分非宁波银行渠道客户；</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K份额（销售代码：ZGN2560084K，销售名称：（私银稳健）宁银理财日日薪84号K）面向部分广发银行渠道客户、部分非宁波银行渠道客户；</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L份额（销售代码：ZGN2560084L）面向部分非宁波银行渠道客户、华夏银行渠道客户；</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P份额（销售代码：ZGN2560084P）面向部分非宁波银行渠道客户、沧州银行渠道客户；</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S份额（销售代码：ZGN2560084S）面向苏州银行渠道高净值客户；</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可购客群以销售机构认定为准。</w:t>
            </w:r>
          </w:p>
        </w:tc>
      </w:tr>
      <w:bookmarkEnd w:id="1"/>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本金</w:t>
            </w:r>
            <w:r>
              <w:rPr>
                <w:rFonts w:ascii="黑体" w:eastAsia="黑体" w:hAnsi="黑体" w:cs="黑体"/>
                <w:kern w:val="0"/>
                <w:szCs w:val="21"/>
              </w:rPr>
              <w:t>及收益币种</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人民币</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业绩</w:t>
            </w:r>
            <w:r>
              <w:rPr>
                <w:rFonts w:ascii="黑体" w:eastAsia="黑体" w:hAnsi="黑体" w:cs="黑体"/>
                <w:kern w:val="0"/>
                <w:szCs w:val="21"/>
              </w:rPr>
              <w:t>比较基准</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A份额：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B份额：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D份额：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0.2+10</w:t>
            </w:r>
            <w:r>
              <w:rPr>
                <w:rFonts w:ascii="黑体" w:eastAsia="黑体" w:hAnsi="黑体" w:cs="黑体" w:hint="eastAsia"/>
                <w:b/>
                <w:kern w:val="0"/>
                <w:szCs w:val="21"/>
              </w:rPr>
              <w:t>BP；</w:t>
            </w:r>
          </w:p>
          <w:p>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E份额：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G份额：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J</w:t>
            </w:r>
            <w:r>
              <w:rPr>
                <w:rFonts w:ascii="黑体" w:eastAsia="黑体" w:hAnsi="黑体" w:cs="黑体"/>
                <w:b/>
                <w:kern w:val="0"/>
                <w:szCs w:val="21"/>
              </w:rPr>
              <w:t>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K</w:t>
            </w:r>
            <w:r>
              <w:rPr>
                <w:rFonts w:ascii="黑体" w:eastAsia="黑体" w:hAnsi="黑体" w:cs="黑体"/>
                <w:b/>
                <w:kern w:val="0"/>
                <w:szCs w:val="21"/>
              </w:rPr>
              <w:t>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0.2+3</w:t>
            </w:r>
            <w:r>
              <w:rPr>
                <w:rFonts w:ascii="黑体" w:eastAsia="黑体" w:hAnsi="黑体" w:cs="黑体" w:hint="eastAsia"/>
                <w:b/>
                <w:kern w:val="0"/>
                <w:szCs w:val="21"/>
              </w:rPr>
              <w:t>BP；</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L</w:t>
            </w:r>
            <w:r>
              <w:rPr>
                <w:rFonts w:ascii="黑体" w:eastAsia="黑体" w:hAnsi="黑体" w:cs="黑体"/>
                <w:b/>
                <w:kern w:val="0"/>
                <w:szCs w:val="21"/>
              </w:rPr>
              <w:t>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0.2+20</w:t>
            </w:r>
            <w:r>
              <w:rPr>
                <w:rFonts w:ascii="黑体" w:eastAsia="黑体" w:hAnsi="黑体" w:cs="黑体" w:hint="eastAsia"/>
                <w:b/>
                <w:kern w:val="0"/>
                <w:szCs w:val="21"/>
              </w:rPr>
              <w:t>BP；</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P</w:t>
            </w:r>
            <w:r>
              <w:rPr>
                <w:rFonts w:ascii="黑体" w:eastAsia="黑体" w:hAnsi="黑体" w:cs="黑体"/>
                <w:b/>
                <w:kern w:val="0"/>
                <w:szCs w:val="21"/>
              </w:rPr>
              <w:t>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S</w:t>
            </w:r>
            <w:r>
              <w:rPr>
                <w:rFonts w:ascii="黑体" w:eastAsia="黑体" w:hAnsi="黑体" w:cs="黑体"/>
                <w:b/>
                <w:kern w:val="0"/>
                <w:szCs w:val="21"/>
              </w:rPr>
              <w:t>份额：</w:t>
            </w:r>
            <w:r>
              <w:rPr>
                <w:rFonts w:ascii="黑体" w:eastAsia="黑体" w:hAnsi="黑体" w:cs="黑体" w:hint="eastAsia"/>
                <w:b/>
                <w:kern w:val="0"/>
                <w:szCs w:val="21"/>
              </w:rPr>
              <w:t>7天通知存款利率x</w:t>
            </w:r>
            <w:r>
              <w:rPr>
                <w:rFonts w:ascii="黑体" w:eastAsia="黑体" w:hAnsi="黑体" w:cs="黑体"/>
                <w:b/>
                <w:kern w:val="0"/>
                <w:szCs w:val="21"/>
              </w:rPr>
              <w:t>0.8</w:t>
            </w:r>
            <w:r>
              <w:rPr>
                <w:rFonts w:ascii="黑体" w:eastAsia="黑体" w:hAnsi="黑体" w:cs="黑体" w:hint="eastAsia"/>
                <w:b/>
                <w:kern w:val="0"/>
                <w:szCs w:val="21"/>
              </w:rPr>
              <w:t>+中债新综合全价1年以下指数收益率x</w:t>
            </w:r>
            <w:r>
              <w:rPr>
                <w:rFonts w:ascii="黑体" w:eastAsia="黑体" w:hAnsi="黑体" w:cs="黑体"/>
                <w:b/>
                <w:kern w:val="0"/>
                <w:szCs w:val="21"/>
              </w:rPr>
              <w:t>0.2</w:t>
            </w:r>
            <w:r>
              <w:rPr>
                <w:rFonts w:ascii="黑体" w:eastAsia="黑体" w:hAnsi="黑体" w:cs="黑体" w:hint="eastAsia"/>
                <w:b/>
                <w:kern w:val="0"/>
                <w:szCs w:val="21"/>
              </w:rPr>
              <w:t>；</w:t>
            </w:r>
          </w:p>
          <w:p>
            <w:pPr>
              <w:autoSpaceDE w:val="0"/>
              <w:autoSpaceDN w:val="0"/>
              <w:adjustRightInd w:val="0"/>
              <w:jc w:val="left"/>
              <w:rPr>
                <w:rFonts w:ascii="黑体" w:eastAsia="黑体" w:hAnsi="黑体" w:cs="黑体"/>
                <w:b/>
                <w:kern w:val="0"/>
                <w:szCs w:val="21"/>
              </w:rPr>
            </w:pPr>
          </w:p>
          <w:p>
            <w:pPr>
              <w:autoSpaceDE w:val="0"/>
              <w:autoSpaceDN w:val="0"/>
              <w:adjustRightInd w:val="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hint="eastAsia"/>
                <w:b/>
                <w:color w:val="000000" w:themeColor="text1"/>
                <w:kern w:val="0"/>
                <w:szCs w:val="21"/>
                <w14:textFill>
                  <w14:solidFill>
                    <w14:schemeClr w14:val="tx1"/>
                  </w14:solidFill>
                </w14:textFill>
              </w:rPr>
              <w:t>其中，中债新综合全价1年以下指数代码为：</w:t>
            </w:r>
            <w:r>
              <w:rPr>
                <w:rFonts w:ascii="黑体" w:eastAsia="黑体" w:hAnsi="黑体" w:cs="黑体"/>
                <w:b/>
                <w:color w:val="000000" w:themeColor="text1"/>
                <w:kern w:val="0"/>
                <w:szCs w:val="21"/>
                <w14:textFill>
                  <w14:solidFill>
                    <w14:schemeClr w14:val="tx1"/>
                  </w14:solidFill>
                </w14:textFill>
              </w:rPr>
              <w:t>CBA00113.CS</w:t>
            </w:r>
            <w:r>
              <w:rPr>
                <w:rFonts w:ascii="黑体" w:eastAsia="黑体" w:hAnsi="黑体" w:cs="黑体" w:hint="eastAsia"/>
                <w:b/>
                <w:color w:val="000000" w:themeColor="text1"/>
                <w:kern w:val="0"/>
                <w:szCs w:val="21"/>
                <w14:textFill>
                  <w14:solidFill>
                    <w14:schemeClr w14:val="tx1"/>
                  </w14:solidFill>
                </w14:textFill>
              </w:rPr>
              <w:t>，</w:t>
            </w:r>
            <w:r>
              <w:rPr>
                <w:rFonts w:ascii="黑体" w:eastAsia="黑体" w:hAnsi="黑体" w:cs="黑体"/>
                <w:b/>
                <w:color w:val="000000" w:themeColor="text1"/>
                <w:kern w:val="0"/>
                <w:szCs w:val="21"/>
                <w14:textFill>
                  <w14:solidFill>
                    <w14:schemeClr w14:val="tx1"/>
                  </w14:solidFill>
                </w14:textFill>
              </w:rPr>
              <w:t>7天通知存款利率为</w:t>
            </w:r>
            <w:r>
              <w:rPr>
                <w:rFonts w:ascii="黑体" w:eastAsia="黑体" w:hAnsi="黑体" w:cs="黑体" w:hint="eastAsia"/>
                <w:b/>
                <w:color w:val="000000" w:themeColor="text1"/>
                <w:kern w:val="0"/>
                <w:szCs w:val="21"/>
                <w14:textFill>
                  <w14:solidFill>
                    <w14:schemeClr w14:val="tx1"/>
                  </w14:solidFill>
                </w14:textFill>
              </w:rPr>
              <w:t>中国人民银行公布的</w:t>
            </w:r>
            <w:r>
              <w:rPr>
                <w:rFonts w:ascii="黑体" w:eastAsia="黑体" w:hAnsi="黑体" w:cs="黑体"/>
                <w:b/>
                <w:color w:val="000000" w:themeColor="text1"/>
                <w:kern w:val="0"/>
                <w:szCs w:val="21"/>
                <w14:textFill>
                  <w14:solidFill>
                    <w14:schemeClr w14:val="tx1"/>
                  </w14:solidFill>
                </w14:textFill>
              </w:rPr>
              <w:t>7天通知存款利率</w:t>
            </w:r>
            <w:r>
              <w:rPr>
                <w:rFonts w:ascii="黑体" w:eastAsia="黑体" w:hAnsi="黑体" w:cs="黑体" w:hint="eastAsia"/>
                <w:b/>
                <w:color w:val="000000" w:themeColor="text1"/>
                <w:kern w:val="0"/>
                <w:szCs w:val="21"/>
                <w14:textFill>
                  <w14:solidFill>
                    <w14:schemeClr w14:val="tx1"/>
                  </w14:solidFill>
                </w14:textFill>
              </w:rPr>
              <w:t>。</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业绩比较基准不是预期收益率，不代表产品的未来表现和实际收益，不构成对产品本金的保证和收益的承诺，仅供投资者参考。</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业绩比较基准测算依据：本理财产品业绩比较基准由产品管理人依据理财产品的投资范围和投资策略，基于产品性质和过往经验，并综合考虑市场环境等因素测算得到的年化收益。本产品杠杆率不超过【</w:t>
            </w:r>
            <w:r>
              <w:rPr>
                <w:rFonts w:ascii="黑体" w:eastAsia="黑体" w:hAnsi="黑体" w:cs="黑体"/>
                <w:b/>
                <w:kern w:val="0"/>
                <w:szCs w:val="21"/>
              </w:rPr>
              <w:t>140%】，</w:t>
            </w:r>
            <w:r>
              <w:rPr>
                <w:rFonts w:ascii="黑体" w:eastAsia="黑体" w:hAnsi="黑体" w:cs="黑体" w:hint="eastAsia"/>
                <w:b/>
                <w:kern w:val="0"/>
                <w:szCs w:val="21"/>
              </w:rPr>
              <w:t>计划将</w:t>
            </w:r>
            <w:r>
              <w:rPr>
                <w:rFonts w:ascii="黑体" w:eastAsia="黑体" w:hAnsi="黑体" w:cs="黑体"/>
                <w:b/>
                <w:kern w:val="0"/>
                <w:szCs w:val="21"/>
              </w:rPr>
              <w:t>80%-100%的资金投资于固定收益类资产，0%-20%的资金投资于权益类资产，0%-</w:t>
            </w:r>
            <w:r>
              <w:rPr>
                <w:rFonts w:ascii="黑体" w:eastAsia="黑体" w:hAnsi="黑体" w:cs="黑体" w:hint="eastAsia"/>
                <w:b/>
                <w:kern w:val="0"/>
                <w:szCs w:val="21"/>
              </w:rPr>
              <w:t>5</w:t>
            </w:r>
            <w:r>
              <w:rPr>
                <w:rFonts w:ascii="黑体" w:eastAsia="黑体" w:hAnsi="黑体" w:cs="黑体"/>
                <w:b/>
                <w:kern w:val="0"/>
                <w:szCs w:val="21"/>
              </w:rPr>
              <w:t>%的资金投资于商品及金融衍生品类资产</w:t>
            </w:r>
            <w:r>
              <w:rPr>
                <w:rFonts w:ascii="黑体" w:eastAsia="黑体" w:hAnsi="黑体" w:cs="黑体" w:hint="eastAsia"/>
                <w:b/>
                <w:kern w:val="0"/>
                <w:szCs w:val="21"/>
              </w:rPr>
              <w:t>，（投资范围详见“三、产品投资管理”部分），参照市场利率水平和投资资产的市场表现，扣除各项费用，经综合测算后设定本产品的业绩比较基准。</w:t>
            </w:r>
          </w:p>
          <w:p>
            <w:pPr>
              <w:autoSpaceDE w:val="0"/>
              <w:autoSpaceDN w:val="0"/>
              <w:adjustRightInd w:val="0"/>
              <w:jc w:val="left"/>
              <w:rPr>
                <w:rFonts w:ascii="黑体" w:eastAsia="黑体" w:hAnsi="黑体" w:cs="黑体"/>
                <w:b/>
                <w:kern w:val="0"/>
                <w:szCs w:val="21"/>
              </w:rPr>
            </w:pP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本产品将采取灵活的资产配置策略和积极主动的投资管理措施，并适时运用骑乘策略、杠杆策略和票息策略等投资策略，对投资组合进行收益增厚，在严格控制风险的基础上，力争为投资者提供持续稳健的投资回报。</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业绩比较基准可用于确定产品管理人是否收取超额业绩报酬，投资者所能获得的最终收益以管理人实际支付为准，业绩比较基准不作为产品管理人向投资者支付本产品本金或收益的承诺。</w:t>
            </w:r>
          </w:p>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本产品为净值型产品，业绩表现将随市场情况波动，具有不确定性。当监管政策、市场环境、产品性质等因素发生变化，导致理财产品的业绩比较基准需要调整时，产品管理人将至少于调整日之前</w:t>
            </w:r>
            <w:r>
              <w:rPr>
                <w:rFonts w:ascii="黑体" w:eastAsia="黑体" w:hAnsi="黑体" w:cs="黑体"/>
                <w:kern w:val="0"/>
                <w:szCs w:val="21"/>
              </w:rPr>
              <w:t>3个工作日</w:t>
            </w:r>
            <w:bookmarkStart w:id="6" w:name="_Hlk81141686"/>
            <w:r>
              <w:rPr>
                <w:rFonts w:ascii="黑体" w:eastAsia="黑体" w:hAnsi="黑体" w:cs="黑体" w:hint="eastAsia"/>
                <w:kern w:val="0"/>
                <w:szCs w:val="21"/>
              </w:rPr>
              <w:t>通过机构官方渠道、行业统一信息披露渠道或与投资者约定的其他渠道公布调整情况和调整原因。</w:t>
            </w:r>
            <w:bookmarkEnd w:id="6"/>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募集期</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202</w:t>
            </w:r>
            <w:r>
              <w:rPr>
                <w:rFonts w:ascii="黑体" w:eastAsia="黑体" w:hAnsi="黑体" w:cs="黑体" w:hint="eastAsia"/>
                <w:b/>
                <w:kern w:val="0"/>
                <w:szCs w:val="21"/>
              </w:rPr>
              <w:t>5</w:t>
            </w:r>
            <w:r>
              <w:rPr>
                <w:rFonts w:ascii="黑体" w:eastAsia="黑体" w:hAnsi="黑体" w:cs="黑体"/>
                <w:b/>
                <w:kern w:val="0"/>
                <w:szCs w:val="21"/>
              </w:rPr>
              <w:t>/12/10-202</w:t>
            </w:r>
            <w:r>
              <w:rPr>
                <w:rFonts w:ascii="黑体" w:eastAsia="黑体" w:hAnsi="黑体" w:cs="黑体" w:hint="eastAsia"/>
                <w:b/>
                <w:kern w:val="0"/>
                <w:szCs w:val="21"/>
              </w:rPr>
              <w:t>5</w:t>
            </w:r>
            <w:r>
              <w:rPr>
                <w:rFonts w:ascii="黑体" w:eastAsia="黑体" w:hAnsi="黑体" w:cs="黑体"/>
                <w:b/>
                <w:kern w:val="0"/>
                <w:szCs w:val="21"/>
              </w:rPr>
              <w:t>/12/15</w:t>
            </w:r>
          </w:p>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在本产品募集期内，产品</w:t>
            </w:r>
            <w:r>
              <w:rPr>
                <w:rFonts w:ascii="黑体" w:eastAsia="黑体" w:hAnsi="黑体" w:cs="黑体"/>
                <w:kern w:val="0"/>
                <w:szCs w:val="21"/>
              </w:rPr>
              <w:t>管理人有权根据产品实际募集情况调整产品募集</w:t>
            </w:r>
            <w:r>
              <w:rPr>
                <w:rFonts w:ascii="黑体" w:eastAsia="黑体" w:hAnsi="黑体" w:cs="黑体" w:hint="eastAsia"/>
                <w:kern w:val="0"/>
                <w:szCs w:val="21"/>
              </w:rPr>
              <w:t>结束日，</w:t>
            </w:r>
            <w:r>
              <w:rPr>
                <w:rFonts w:ascii="黑体" w:eastAsia="黑体" w:hAnsi="黑体" w:cs="黑体"/>
                <w:kern w:val="0"/>
                <w:szCs w:val="21"/>
              </w:rPr>
              <w:t>调整前将进行相关</w:t>
            </w:r>
            <w:r>
              <w:rPr>
                <w:rFonts w:ascii="黑体" w:eastAsia="黑体" w:hAnsi="黑体" w:cs="黑体" w:hint="eastAsia"/>
                <w:kern w:val="0"/>
                <w:szCs w:val="21"/>
              </w:rPr>
              <w:t>信息</w:t>
            </w:r>
            <w:r>
              <w:rPr>
                <w:rFonts w:ascii="黑体" w:eastAsia="黑体" w:hAnsi="黑体" w:cs="黑体"/>
                <w:kern w:val="0"/>
                <w:szCs w:val="21"/>
              </w:rPr>
              <w:t>披露</w:t>
            </w:r>
            <w:r>
              <w:rPr>
                <w:rFonts w:ascii="黑体" w:eastAsia="黑体" w:hAnsi="黑体" w:cs="黑体" w:hint="eastAsia"/>
                <w:kern w:val="0"/>
                <w:szCs w:val="21"/>
              </w:rPr>
              <w:t>。</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成立日</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202</w:t>
            </w:r>
            <w:r>
              <w:rPr>
                <w:rFonts w:ascii="黑体" w:eastAsia="黑体" w:hAnsi="黑体" w:cs="黑体" w:hint="eastAsia"/>
                <w:b/>
                <w:kern w:val="0"/>
                <w:szCs w:val="21"/>
              </w:rPr>
              <w:t>5</w:t>
            </w:r>
            <w:r>
              <w:rPr>
                <w:rFonts w:ascii="黑体" w:eastAsia="黑体" w:hAnsi="黑体" w:cs="黑体"/>
                <w:b/>
                <w:kern w:val="0"/>
                <w:szCs w:val="21"/>
              </w:rPr>
              <w:t>/12/16</w:t>
            </w:r>
          </w:p>
          <w:p>
            <w:pPr>
              <w:autoSpaceDE w:val="0"/>
              <w:autoSpaceDN w:val="0"/>
              <w:adjustRightInd w:val="0"/>
              <w:jc w:val="left"/>
              <w:rPr>
                <w:rFonts w:ascii="黑体" w:eastAsia="黑体" w:hAnsi="黑体" w:cs="黑体"/>
                <w:kern w:val="0"/>
                <w:szCs w:val="21"/>
              </w:rPr>
            </w:pPr>
            <w:r>
              <w:rPr>
                <w:rFonts w:ascii="黑体" w:eastAsia="黑体" w:hAnsi="黑体" w:cs="黑体"/>
                <w:kern w:val="0"/>
                <w:szCs w:val="21"/>
              </w:rPr>
              <w:t>1、为保护投资者权益，产品管理人</w:t>
            </w:r>
            <w:r>
              <w:rPr>
                <w:rFonts w:ascii="黑体" w:eastAsia="黑体" w:hAnsi="黑体" w:cs="黑体" w:hint="eastAsia"/>
                <w:kern w:val="0"/>
                <w:szCs w:val="21"/>
              </w:rPr>
              <w:t>可根据市场变化情况缩短或延长募集期并提前或推迟成立，届时</w:t>
            </w:r>
            <w:r>
              <w:rPr>
                <w:rFonts w:ascii="黑体" w:eastAsia="黑体" w:hAnsi="黑体" w:cs="黑体"/>
                <w:kern w:val="0"/>
                <w:szCs w:val="21"/>
              </w:rPr>
              <w:t>产品管理人</w:t>
            </w:r>
            <w:r>
              <w:rPr>
                <w:rFonts w:ascii="黑体" w:eastAsia="黑体" w:hAnsi="黑体" w:cs="黑体" w:hint="eastAsia"/>
                <w:kern w:val="0"/>
                <w:szCs w:val="21"/>
              </w:rPr>
              <w:t>将调整相关日期并进行信息披露。</w:t>
            </w:r>
          </w:p>
          <w:p>
            <w:pPr>
              <w:autoSpaceDE w:val="0"/>
              <w:autoSpaceDN w:val="0"/>
              <w:adjustRightInd w:val="0"/>
              <w:jc w:val="left"/>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若</w:t>
            </w:r>
            <w:r>
              <w:rPr>
                <w:rFonts w:ascii="黑体" w:eastAsia="黑体" w:hAnsi="黑体" w:cs="黑体"/>
                <w:kern w:val="0"/>
                <w:szCs w:val="21"/>
              </w:rPr>
              <w:t>产品认购份额未达到最低成立规模，或</w:t>
            </w:r>
            <w:r>
              <w:rPr>
                <w:rFonts w:ascii="黑体" w:eastAsia="黑体" w:hAnsi="黑体" w:cs="宋体" w:hint="eastAsia"/>
                <w:kern w:val="0"/>
                <w:szCs w:val="21"/>
              </w:rPr>
              <w:t>遇到包括但不限于国家金融政策发生重大调整、金融市场发生重大波动、</w:t>
            </w:r>
            <w:r>
              <w:rPr>
                <w:rFonts w:ascii="黑体" w:eastAsia="黑体" w:hAnsi="黑体" w:cs="黑体"/>
                <w:kern w:val="0"/>
                <w:szCs w:val="21"/>
              </w:rPr>
              <w:t>不可抗力</w:t>
            </w:r>
            <w:r>
              <w:rPr>
                <w:rFonts w:ascii="黑体" w:eastAsia="黑体" w:hAnsi="黑体" w:cs="宋体" w:hint="eastAsia"/>
                <w:kern w:val="0"/>
                <w:szCs w:val="21"/>
              </w:rPr>
              <w:t>或产品管理人</w:t>
            </w:r>
            <w:r>
              <w:rPr>
                <w:rFonts w:ascii="黑体" w:eastAsia="黑体" w:hAnsi="黑体" w:cs="黑体" w:hint="eastAsia"/>
                <w:kern w:val="0"/>
                <w:szCs w:val="21"/>
              </w:rPr>
              <w:t>认为会影响</w:t>
            </w:r>
            <w:r>
              <w:rPr>
                <w:rFonts w:ascii="黑体" w:eastAsia="黑体" w:hAnsi="黑体" w:cs="黑体"/>
                <w:kern w:val="0"/>
                <w:szCs w:val="21"/>
              </w:rPr>
              <w:t>产品成立</w:t>
            </w:r>
            <w:r>
              <w:rPr>
                <w:rFonts w:ascii="黑体" w:eastAsia="黑体" w:hAnsi="黑体" w:cs="黑体" w:hint="eastAsia"/>
                <w:kern w:val="0"/>
                <w:szCs w:val="21"/>
              </w:rPr>
              <w:t>的其他因素时</w:t>
            </w:r>
            <w:r>
              <w:rPr>
                <w:rFonts w:ascii="黑体" w:eastAsia="黑体" w:hAnsi="黑体" w:cs="黑体"/>
                <w:kern w:val="0"/>
                <w:szCs w:val="21"/>
              </w:rPr>
              <w:t>，</w:t>
            </w:r>
            <w:r>
              <w:rPr>
                <w:rFonts w:ascii="黑体" w:eastAsia="黑体" w:hAnsi="黑体" w:cs="黑体" w:hint="eastAsia"/>
                <w:b/>
                <w:kern w:val="0"/>
                <w:szCs w:val="21"/>
              </w:rPr>
              <w:t>产品管理人可以</w:t>
            </w:r>
            <w:r>
              <w:rPr>
                <w:rFonts w:ascii="黑体" w:eastAsia="黑体" w:hAnsi="黑体" w:cs="黑体"/>
                <w:b/>
                <w:kern w:val="0"/>
                <w:szCs w:val="21"/>
              </w:rPr>
              <w:t>宣布产品不成立，</w:t>
            </w:r>
            <w:r>
              <w:rPr>
                <w:rFonts w:ascii="黑体" w:eastAsia="黑体" w:hAnsi="黑体" w:cs="黑体" w:hint="eastAsia"/>
                <w:b/>
                <w:kern w:val="0"/>
                <w:szCs w:val="21"/>
              </w:rPr>
              <w:t>该情形下</w:t>
            </w:r>
            <w:r>
              <w:rPr>
                <w:rFonts w:ascii="黑体" w:eastAsia="黑体" w:hAnsi="黑体" w:cs="黑体"/>
                <w:b/>
                <w:kern w:val="0"/>
                <w:szCs w:val="21"/>
              </w:rPr>
              <w:t>投资者认购资金</w:t>
            </w:r>
            <w:r>
              <w:rPr>
                <w:rFonts w:ascii="黑体" w:eastAsia="黑体" w:hAnsi="黑体" w:cs="黑体" w:hint="eastAsia"/>
                <w:b/>
                <w:kern w:val="0"/>
                <w:szCs w:val="21"/>
              </w:rPr>
              <w:t>将</w:t>
            </w:r>
            <w:r>
              <w:rPr>
                <w:rFonts w:ascii="黑体" w:eastAsia="黑体" w:hAnsi="黑体" w:cs="黑体"/>
                <w:b/>
                <w:kern w:val="0"/>
                <w:szCs w:val="21"/>
              </w:rPr>
              <w:t>于产品</w:t>
            </w:r>
            <w:r>
              <w:rPr>
                <w:rFonts w:ascii="黑体" w:eastAsia="黑体" w:hAnsi="黑体" w:cs="黑体" w:hint="eastAsia"/>
                <w:b/>
                <w:kern w:val="0"/>
                <w:szCs w:val="21"/>
              </w:rPr>
              <w:t>募集</w:t>
            </w:r>
            <w:r>
              <w:rPr>
                <w:rFonts w:ascii="黑体" w:eastAsia="黑体" w:hAnsi="黑体" w:cs="黑体"/>
                <w:b/>
                <w:kern w:val="0"/>
                <w:szCs w:val="21"/>
              </w:rPr>
              <w:t>期结束后5个工作日内</w:t>
            </w:r>
            <w:r>
              <w:rPr>
                <w:rFonts w:ascii="黑体" w:eastAsia="黑体" w:hAnsi="黑体" w:cs="黑体" w:hint="eastAsia"/>
                <w:b/>
                <w:kern w:val="0"/>
                <w:szCs w:val="21"/>
              </w:rPr>
              <w:t>解冻</w:t>
            </w:r>
            <w:r>
              <w:rPr>
                <w:rFonts w:ascii="黑体" w:eastAsia="黑体" w:hAnsi="黑体" w:cs="黑体"/>
                <w:b/>
                <w:kern w:val="0"/>
                <w:szCs w:val="21"/>
              </w:rPr>
              <w:t>或返还至投资者指定账户，在途期间投资者投资本金不计息。</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到期</w:t>
            </w:r>
            <w:r>
              <w:rPr>
                <w:rFonts w:ascii="黑体" w:eastAsia="黑体" w:hAnsi="黑体" w:cs="黑体" w:hint="eastAsia"/>
                <w:kern w:val="0"/>
                <w:szCs w:val="21"/>
              </w:rPr>
              <w:t>日</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b/>
                <w:kern w:val="0"/>
                <w:szCs w:val="21"/>
              </w:rPr>
              <w:t>2050年12月31日</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产品</w:t>
            </w:r>
            <w:r>
              <w:rPr>
                <w:rFonts w:ascii="黑体" w:eastAsia="黑体" w:hAnsi="黑体" w:cs="黑体"/>
                <w:b/>
                <w:kern w:val="0"/>
                <w:szCs w:val="21"/>
              </w:rPr>
              <w:t>成立日</w:t>
            </w:r>
            <w:r>
              <w:rPr>
                <w:rFonts w:ascii="黑体" w:eastAsia="黑体" w:hAnsi="黑体" w:cs="黑体" w:hint="eastAsia"/>
                <w:b/>
                <w:kern w:val="0"/>
                <w:szCs w:val="21"/>
              </w:rPr>
              <w:t>至</w:t>
            </w:r>
            <w:r>
              <w:rPr>
                <w:rFonts w:ascii="黑体" w:eastAsia="黑体" w:hAnsi="黑体" w:cs="黑体"/>
                <w:b/>
                <w:kern w:val="0"/>
                <w:szCs w:val="21"/>
              </w:rPr>
              <w:t>产品到期日</w:t>
            </w:r>
            <w:r>
              <w:rPr>
                <w:rFonts w:ascii="黑体" w:eastAsia="黑体" w:hAnsi="黑体" w:cs="黑体" w:hint="eastAsia"/>
                <w:b/>
                <w:kern w:val="0"/>
                <w:szCs w:val="21"/>
              </w:rPr>
              <w:t>期</w:t>
            </w:r>
            <w:r>
              <w:rPr>
                <w:rFonts w:ascii="黑体" w:eastAsia="黑体" w:hAnsi="黑体" w:cs="黑体"/>
                <w:b/>
                <w:kern w:val="0"/>
                <w:szCs w:val="21"/>
              </w:rPr>
              <w:t>间为产品存续期。</w:t>
            </w:r>
            <w:r>
              <w:rPr>
                <w:rFonts w:ascii="黑体" w:eastAsia="黑体" w:hAnsi="黑体" w:cs="黑体" w:hint="eastAsia"/>
                <w:b/>
                <w:kern w:val="0"/>
                <w:szCs w:val="21"/>
              </w:rPr>
              <w:t>详见</w:t>
            </w:r>
            <w:r>
              <w:rPr>
                <w:rFonts w:ascii="黑体" w:eastAsia="黑体" w:hAnsi="黑体" w:cs="黑体"/>
                <w:b/>
                <w:kern w:val="0"/>
                <w:szCs w:val="21"/>
              </w:rPr>
              <w:t>本说明书第</w:t>
            </w:r>
            <w:r>
              <w:rPr>
                <w:rFonts w:ascii="黑体" w:eastAsia="黑体" w:hAnsi="黑体" w:cs="黑体" w:hint="eastAsia"/>
                <w:b/>
                <w:kern w:val="0"/>
                <w:szCs w:val="21"/>
              </w:rPr>
              <w:t>七</w:t>
            </w:r>
            <w:r>
              <w:rPr>
                <w:rFonts w:ascii="黑体" w:eastAsia="黑体" w:hAnsi="黑体" w:cs="黑体"/>
                <w:b/>
                <w:kern w:val="0"/>
                <w:szCs w:val="21"/>
              </w:rPr>
              <w:t>部分</w:t>
            </w:r>
            <w:r>
              <w:rPr>
                <w:rFonts w:ascii="黑体" w:eastAsia="黑体" w:hAnsi="黑体" w:cs="黑体" w:hint="eastAsia"/>
                <w:b/>
                <w:bCs/>
                <w:kern w:val="0"/>
                <w:szCs w:val="21"/>
              </w:rPr>
              <w:t>理财产品到期与终止</w:t>
            </w:r>
            <w:r>
              <w:rPr>
                <w:rFonts w:ascii="黑体" w:eastAsia="黑体" w:hAnsi="黑体" w:cs="黑体"/>
                <w:b/>
                <w:kern w:val="0"/>
                <w:szCs w:val="21"/>
              </w:rPr>
              <w:t>。</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最短持有期限</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单个投资者于产品募集期的认购份额自产品成立日（含）起，最短持有期限为</w:t>
            </w:r>
            <w:r>
              <w:rPr>
                <w:rFonts w:ascii="黑体" w:eastAsia="黑体" w:hAnsi="黑体" w:cs="黑体"/>
                <w:b/>
                <w:kern w:val="0"/>
                <w:szCs w:val="21"/>
              </w:rPr>
              <w:t>7</w:t>
            </w:r>
            <w:r>
              <w:rPr>
                <w:rFonts w:ascii="黑体" w:eastAsia="黑体" w:hAnsi="黑体" w:cs="黑体" w:hint="eastAsia"/>
                <w:b/>
                <w:kern w:val="0"/>
                <w:szCs w:val="21"/>
              </w:rPr>
              <w:t>个自然日；</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单个投资者于产品存续期内的单笔申购份额自该份额确认日（含）起，最短持有期限为</w:t>
            </w:r>
            <w:r>
              <w:rPr>
                <w:rFonts w:ascii="黑体" w:eastAsia="黑体" w:hAnsi="黑体" w:cs="黑体"/>
                <w:b/>
                <w:kern w:val="0"/>
                <w:szCs w:val="21"/>
              </w:rPr>
              <w:t>7</w:t>
            </w:r>
            <w:r>
              <w:rPr>
                <w:rFonts w:ascii="黑体" w:eastAsia="黑体" w:hAnsi="黑体" w:cs="黑体" w:hint="eastAsia"/>
                <w:b/>
                <w:kern w:val="0"/>
                <w:szCs w:val="21"/>
              </w:rPr>
              <w:t>个自然日；</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单笔份额自满足最短持有期限后，可由投资者按规则申请赎回。具体赎回规则见后文四、产品交易相关规则。</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产品开放日/申购开放日</w:t>
            </w:r>
          </w:p>
        </w:tc>
        <w:tc>
          <w:tcPr>
            <w:tcW w:w="6458" w:type="dxa"/>
          </w:tcPr>
          <w:p>
            <w:pPr>
              <w:autoSpaceDE w:val="0"/>
              <w:autoSpaceDN w:val="0"/>
              <w:adjustRightInd w:val="0"/>
              <w:jc w:val="left"/>
              <w:rPr>
                <w:rFonts w:ascii="黑体" w:eastAsia="黑体" w:hAnsi="黑体" w:cs="黑体"/>
                <w:b/>
                <w:bCs/>
                <w:kern w:val="0"/>
                <w:szCs w:val="21"/>
              </w:rPr>
            </w:pPr>
            <w:r>
              <w:rPr>
                <w:rFonts w:ascii="黑体" w:eastAsia="黑体" w:hAnsi="黑体" w:cs="黑体" w:hint="eastAsia"/>
                <w:b/>
                <w:bCs/>
                <w:kern w:val="0"/>
                <w:szCs w:val="21"/>
              </w:rPr>
              <w:t>自</w:t>
            </w:r>
            <w:r>
              <w:rPr>
                <w:rFonts w:ascii="黑体" w:eastAsia="黑体" w:hAnsi="黑体" w:cs="黑体"/>
                <w:b/>
                <w:bCs/>
                <w:kern w:val="0"/>
                <w:szCs w:val="21"/>
              </w:rPr>
              <w:t>202</w:t>
            </w:r>
            <w:r>
              <w:rPr>
                <w:rFonts w:ascii="黑体" w:eastAsia="黑体" w:hAnsi="黑体" w:cs="黑体" w:hint="eastAsia"/>
                <w:b/>
                <w:bCs/>
                <w:kern w:val="0"/>
                <w:szCs w:val="21"/>
              </w:rPr>
              <w:t>5年</w:t>
            </w:r>
            <w:r>
              <w:rPr>
                <w:rFonts w:ascii="黑体" w:eastAsia="黑体" w:hAnsi="黑体" w:cs="黑体"/>
                <w:b/>
                <w:bCs/>
                <w:kern w:val="0"/>
                <w:szCs w:val="21"/>
              </w:rPr>
              <w:t>12</w:t>
            </w:r>
            <w:r>
              <w:rPr>
                <w:rFonts w:ascii="黑体" w:eastAsia="黑体" w:hAnsi="黑体" w:cs="黑体" w:hint="eastAsia"/>
                <w:b/>
                <w:bCs/>
                <w:kern w:val="0"/>
                <w:szCs w:val="21"/>
              </w:rPr>
              <w:t>月</w:t>
            </w:r>
            <w:r>
              <w:rPr>
                <w:rFonts w:ascii="黑体" w:eastAsia="黑体" w:hAnsi="黑体" w:cs="黑体"/>
                <w:b/>
                <w:bCs/>
                <w:kern w:val="0"/>
                <w:szCs w:val="21"/>
              </w:rPr>
              <w:t>17</w:t>
            </w:r>
            <w:r>
              <w:rPr>
                <w:rFonts w:ascii="黑体" w:eastAsia="黑体" w:hAnsi="黑体" w:cs="黑体" w:hint="eastAsia"/>
                <w:b/>
                <w:bCs/>
                <w:kern w:val="0"/>
                <w:szCs w:val="21"/>
              </w:rPr>
              <w:t>日（含）起的产品存续期内，每个工作日为产品开放日，投资者可按规则提交申购和赎回申请。具体交易规则见后文四、产品交易相关规则。</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在理财产品存续期内，本公司有权根据市场情况变化暂停或调整本理财产品的申购、赎回安排，相关安排请以届时提前公告为准。</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认购、申购</w:t>
            </w:r>
            <w:r>
              <w:rPr>
                <w:rFonts w:ascii="黑体" w:eastAsia="黑体" w:hAnsi="黑体" w:cs="黑体"/>
                <w:kern w:val="0"/>
                <w:szCs w:val="21"/>
              </w:rPr>
              <w:t>、赎回</w:t>
            </w:r>
            <w:r>
              <w:rPr>
                <w:rFonts w:ascii="黑体" w:eastAsia="黑体" w:hAnsi="黑体" w:cs="黑体" w:hint="eastAsia"/>
                <w:kern w:val="0"/>
                <w:szCs w:val="21"/>
              </w:rPr>
              <w:t>及撤单</w:t>
            </w:r>
            <w:r>
              <w:rPr>
                <w:rFonts w:ascii="黑体" w:eastAsia="黑体" w:hAnsi="黑体" w:cs="黑体"/>
                <w:kern w:val="0"/>
                <w:szCs w:val="21"/>
              </w:rPr>
              <w:t>时间</w:t>
            </w:r>
          </w:p>
        </w:tc>
        <w:tc>
          <w:tcPr>
            <w:tcW w:w="6458" w:type="dxa"/>
          </w:tcPr>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产品募集期第一日</w:t>
            </w:r>
            <w:r>
              <w:rPr>
                <w:rFonts w:ascii="黑体" w:eastAsia="黑体" w:hAnsi="黑体" w:cs="宋体"/>
                <w:kern w:val="0"/>
                <w:szCs w:val="21"/>
              </w:rPr>
              <w:t>8:30至最后一日17:30</w:t>
            </w:r>
            <w:r>
              <w:rPr>
                <w:rFonts w:ascii="黑体" w:eastAsia="黑体" w:hAnsi="黑体" w:cs="宋体" w:hint="eastAsia"/>
                <w:kern w:val="0"/>
                <w:szCs w:val="21"/>
              </w:rPr>
              <w:t>，</w:t>
            </w:r>
            <w:r>
              <w:rPr>
                <w:rFonts w:ascii="黑体" w:eastAsia="黑体" w:hAnsi="黑体" w:cs="宋体"/>
                <w:kern w:val="0"/>
                <w:szCs w:val="21"/>
              </w:rPr>
              <w:t>投资者可以提交或撤销认购申请；</w:t>
            </w:r>
            <w:r>
              <w:rPr>
                <w:rFonts w:ascii="黑体" w:eastAsia="黑体" w:hAnsi="黑体" w:cs="宋体" w:hint="eastAsia"/>
                <w:kern w:val="0"/>
                <w:szCs w:val="21"/>
              </w:rPr>
              <w:t>产品存续期间，</w:t>
            </w:r>
            <w:r>
              <w:rPr>
                <w:rFonts w:ascii="黑体" w:eastAsia="黑体" w:hAnsi="黑体" w:cs="宋体"/>
                <w:kern w:val="0"/>
                <w:szCs w:val="21"/>
              </w:rPr>
              <w:t>投资者可</w:t>
            </w:r>
            <w:r>
              <w:rPr>
                <w:rFonts w:ascii="黑体" w:eastAsia="黑体" w:hAnsi="黑体" w:cs="宋体" w:hint="eastAsia"/>
                <w:kern w:val="0"/>
                <w:szCs w:val="21"/>
              </w:rPr>
              <w:t>按规则</w:t>
            </w:r>
            <w:r>
              <w:rPr>
                <w:rFonts w:ascii="黑体" w:eastAsia="黑体" w:hAnsi="黑体" w:cs="宋体"/>
                <w:kern w:val="0"/>
                <w:szCs w:val="21"/>
              </w:rPr>
              <w:t>提交申购和赎回申请</w:t>
            </w:r>
            <w:r>
              <w:rPr>
                <w:rFonts w:ascii="黑体" w:eastAsia="黑体" w:hAnsi="黑体" w:cs="宋体" w:hint="eastAsia"/>
                <w:b/>
                <w:kern w:val="0"/>
                <w:szCs w:val="21"/>
              </w:rPr>
              <w:t>（仅可赎回满足最短持有期限的本产品份额）</w:t>
            </w:r>
            <w:r>
              <w:rPr>
                <w:rFonts w:ascii="黑体" w:eastAsia="黑体" w:hAnsi="黑体" w:cs="宋体" w:hint="eastAsia"/>
                <w:kern w:val="0"/>
                <w:szCs w:val="21"/>
              </w:rPr>
              <w:t>。针对投资者在工作日</w:t>
            </w:r>
            <w:r>
              <w:rPr>
                <w:rFonts w:ascii="黑体" w:eastAsia="黑体" w:hAnsi="黑体" w:cs="宋体"/>
                <w:kern w:val="0"/>
                <w:szCs w:val="21"/>
              </w:rPr>
              <w:t>0:00-</w:t>
            </w:r>
            <w:r>
              <w:rPr>
                <w:rFonts w:ascii="黑体" w:eastAsia="黑体" w:hAnsi="黑体" w:cs="黑体"/>
                <w:kern w:val="0"/>
                <w:szCs w:val="21"/>
              </w:rPr>
              <w:t>16:00</w:t>
            </w:r>
            <w:r>
              <w:rPr>
                <w:rFonts w:ascii="黑体" w:eastAsia="黑体" w:hAnsi="黑体" w:cs="宋体" w:hint="eastAsia"/>
                <w:kern w:val="0"/>
                <w:szCs w:val="21"/>
              </w:rPr>
              <w:t>之间提出的申购和赎回申请，投资者可以在提出申请的当日</w:t>
            </w:r>
            <w:r>
              <w:rPr>
                <w:rFonts w:ascii="黑体" w:eastAsia="黑体" w:hAnsi="黑体" w:cs="黑体"/>
                <w:kern w:val="0"/>
                <w:szCs w:val="21"/>
              </w:rPr>
              <w:t>16:00</w:t>
            </w:r>
            <w:r>
              <w:rPr>
                <w:rFonts w:ascii="黑体" w:eastAsia="黑体" w:hAnsi="黑体" w:cs="宋体" w:hint="eastAsia"/>
                <w:kern w:val="0"/>
                <w:szCs w:val="21"/>
              </w:rPr>
              <w:t>前进行撤销；针对投资者在其余时段提出的申购和赎回申请，投资者可以在提出申请的下一工作日</w:t>
            </w:r>
            <w:r>
              <w:rPr>
                <w:rFonts w:ascii="黑体" w:eastAsia="黑体" w:hAnsi="黑体" w:cs="黑体"/>
                <w:kern w:val="0"/>
                <w:szCs w:val="21"/>
              </w:rPr>
              <w:t>16:00</w:t>
            </w:r>
            <w:r>
              <w:rPr>
                <w:rFonts w:ascii="黑体" w:eastAsia="黑体" w:hAnsi="黑体" w:cs="宋体" w:hint="eastAsia"/>
                <w:kern w:val="0"/>
                <w:szCs w:val="21"/>
              </w:rPr>
              <w:t>前进行撤销，具体是否可撤销以销售机构展示为准。具体交易规则见后文四、产品交易相关规则。（具体交易时间以销售机构展示为准）</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最低成立规模</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无</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kern w:val="0"/>
                <w:szCs w:val="21"/>
              </w:rPr>
              <w:t>产品规模上限</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产品募集期规模</w:t>
            </w:r>
            <w:r>
              <w:rPr>
                <w:rFonts w:ascii="黑体" w:eastAsia="黑体" w:hAnsi="黑体" w:cs="黑体"/>
                <w:b/>
                <w:kern w:val="0"/>
                <w:szCs w:val="21"/>
              </w:rPr>
              <w:t>上限为10</w:t>
            </w:r>
            <w:r>
              <w:rPr>
                <w:rFonts w:ascii="黑体" w:eastAsia="黑体" w:hAnsi="黑体" w:cs="黑体" w:hint="eastAsia"/>
                <w:b/>
                <w:kern w:val="0"/>
                <w:szCs w:val="21"/>
              </w:rPr>
              <w:t>亿元</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若募集期产品认购金额达到产品规模上限，则产品管理人有权停止产品的认购交易，对于超出产品规模上限的部分，产品管理人有权不进行确认。</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产品管理人有权根据产品实际运作情况调整产品存续期间的规模上限，具体以产品销售机构显示为准。</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首次</w:t>
            </w:r>
            <w:r>
              <w:rPr>
                <w:rFonts w:ascii="黑体" w:eastAsia="黑体" w:hAnsi="黑体" w:cs="黑体"/>
                <w:kern w:val="0"/>
                <w:szCs w:val="21"/>
              </w:rPr>
              <w:t>购买起点金额</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kern w:val="0"/>
                <w:szCs w:val="21"/>
              </w:rPr>
              <w:t>A、B</w:t>
            </w:r>
            <w:r>
              <w:rPr>
                <w:rFonts w:ascii="黑体" w:eastAsia="黑体" w:hAnsi="黑体" w:cs="黑体" w:hint="eastAsia"/>
                <w:kern w:val="0"/>
                <w:szCs w:val="21"/>
              </w:rPr>
              <w:t>、</w:t>
            </w:r>
            <w:r>
              <w:rPr>
                <w:rFonts w:ascii="黑体" w:eastAsia="黑体" w:hAnsi="黑体" w:cs="黑体"/>
                <w:kern w:val="0"/>
                <w:szCs w:val="21"/>
              </w:rPr>
              <w:t>D、E</w:t>
            </w:r>
            <w:r>
              <w:rPr>
                <w:rFonts w:ascii="黑体" w:eastAsia="黑体" w:hAnsi="黑体" w:cs="黑体" w:hint="eastAsia"/>
                <w:kern w:val="0"/>
                <w:szCs w:val="21"/>
              </w:rPr>
              <w:t>、G、J、L、P、S份额：</w:t>
            </w:r>
            <w:r>
              <w:rPr>
                <w:rFonts w:ascii="黑体" w:eastAsia="黑体" w:hAnsi="黑体" w:cs="黑体"/>
                <w:kern w:val="0"/>
                <w:szCs w:val="21"/>
              </w:rPr>
              <w:t>0.01元起售</w:t>
            </w:r>
            <w:r>
              <w:rPr>
                <w:rFonts w:ascii="黑体" w:eastAsia="黑体" w:hAnsi="黑体" w:cs="黑体" w:hint="eastAsia"/>
                <w:kern w:val="0"/>
                <w:szCs w:val="21"/>
              </w:rPr>
              <w:t>，K份额：</w:t>
            </w:r>
            <w:r>
              <w:rPr>
                <w:rFonts w:ascii="黑体" w:eastAsia="黑体" w:hAnsi="黑体" w:cs="黑体"/>
                <w:kern w:val="0"/>
                <w:szCs w:val="21"/>
              </w:rPr>
              <w:t>1</w:t>
            </w:r>
            <w:r>
              <w:rPr>
                <w:rFonts w:ascii="黑体" w:eastAsia="黑体" w:hAnsi="黑体" w:cs="黑体" w:hint="eastAsia"/>
                <w:kern w:val="0"/>
                <w:szCs w:val="21"/>
              </w:rPr>
              <w:t>万</w:t>
            </w:r>
            <w:r>
              <w:rPr>
                <w:rFonts w:ascii="黑体" w:eastAsia="黑体" w:hAnsi="黑体" w:cs="黑体"/>
                <w:kern w:val="0"/>
                <w:szCs w:val="21"/>
              </w:rPr>
              <w:t>元起售</w:t>
            </w:r>
            <w:r>
              <w:rPr>
                <w:rFonts w:ascii="黑体" w:eastAsia="黑体" w:hAnsi="黑体" w:cs="黑体" w:hint="eastAsia"/>
                <w:kern w:val="0"/>
                <w:szCs w:val="21"/>
              </w:rPr>
              <w:t>；</w:t>
            </w:r>
          </w:p>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（销售机构可以不低于上述标准设置起购金额，投资者购买本理财产品时以该销售机构最终要求为准）</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追加购买</w:t>
            </w:r>
            <w:r>
              <w:rPr>
                <w:rFonts w:ascii="黑体" w:eastAsia="黑体" w:hAnsi="黑体" w:cs="黑体"/>
                <w:kern w:val="0"/>
                <w:szCs w:val="21"/>
              </w:rPr>
              <w:t>金额</w:t>
            </w:r>
          </w:p>
        </w:tc>
        <w:tc>
          <w:tcPr>
            <w:tcW w:w="6458" w:type="dxa"/>
          </w:tcPr>
          <w:p>
            <w:pPr>
              <w:autoSpaceDE w:val="0"/>
              <w:autoSpaceDN w:val="0"/>
              <w:adjustRightInd w:val="0"/>
              <w:jc w:val="left"/>
              <w:rPr>
                <w:rFonts w:ascii="黑体" w:eastAsia="黑体" w:hAnsi="黑体" w:cs="黑体"/>
                <w:color w:val="000000" w:themeColor="text1"/>
                <w:kern w:val="0"/>
                <w:szCs w:val="21"/>
                <w14:textFill>
                  <w14:solidFill>
                    <w14:schemeClr w14:val="tx1"/>
                  </w14:solidFill>
                </w14:textFill>
              </w:rPr>
            </w:pPr>
            <w:r>
              <w:rPr>
                <w:rFonts w:ascii="黑体" w:eastAsia="黑体" w:hAnsi="黑体" w:cs="黑体"/>
                <w:kern w:val="0"/>
                <w:szCs w:val="21"/>
              </w:rPr>
              <w:t>A、B</w:t>
            </w:r>
            <w:r>
              <w:rPr>
                <w:rFonts w:ascii="黑体" w:eastAsia="黑体" w:hAnsi="黑体" w:cs="黑体" w:hint="eastAsia"/>
                <w:kern w:val="0"/>
                <w:szCs w:val="21"/>
              </w:rPr>
              <w:t>、</w:t>
            </w:r>
            <w:r>
              <w:rPr>
                <w:rFonts w:ascii="黑体" w:eastAsia="黑体" w:hAnsi="黑体" w:cs="黑体"/>
                <w:kern w:val="0"/>
                <w:szCs w:val="21"/>
              </w:rPr>
              <w:t>D、E</w:t>
            </w:r>
            <w:r>
              <w:rPr>
                <w:rFonts w:ascii="黑体" w:eastAsia="黑体" w:hAnsi="黑体" w:cs="黑体" w:hint="eastAsia"/>
                <w:kern w:val="0"/>
                <w:szCs w:val="21"/>
              </w:rPr>
              <w:t>、G、J、K、L、P、S份额：</w:t>
            </w:r>
            <w:r>
              <w:rPr>
                <w:rFonts w:ascii="黑体" w:eastAsia="黑体" w:hAnsi="黑体" w:cs="黑体" w:hint="eastAsia"/>
                <w:color w:val="000000" w:themeColor="text1"/>
                <w:kern w:val="0"/>
                <w:szCs w:val="21"/>
                <w14:textFill>
                  <w14:solidFill>
                    <w14:schemeClr w14:val="tx1"/>
                  </w14:solidFill>
                </w14:textFill>
              </w:rPr>
              <w:t>追加金额以0</w:t>
            </w:r>
            <w:r>
              <w:rPr>
                <w:rFonts w:ascii="黑体" w:eastAsia="黑体" w:hAnsi="黑体" w:cs="黑体"/>
                <w:color w:val="000000" w:themeColor="text1"/>
                <w:kern w:val="0"/>
                <w:szCs w:val="21"/>
                <w14:textFill>
                  <w14:solidFill>
                    <w14:schemeClr w14:val="tx1"/>
                  </w14:solidFill>
                </w14:textFill>
              </w:rPr>
              <w:t>.0</w:t>
            </w:r>
            <w:r>
              <w:rPr>
                <w:rFonts w:ascii="黑体" w:eastAsia="黑体" w:hAnsi="黑体" w:cs="黑体" w:hint="eastAsia"/>
                <w:color w:val="000000" w:themeColor="text1"/>
                <w:kern w:val="0"/>
                <w:szCs w:val="21"/>
                <w14:textFill>
                  <w14:solidFill>
                    <w14:schemeClr w14:val="tx1"/>
                  </w14:solidFill>
                </w14:textFill>
              </w:rPr>
              <w:t>1元起，追加购买金额中不足0</w:t>
            </w:r>
            <w:r>
              <w:rPr>
                <w:rFonts w:ascii="黑体" w:eastAsia="黑体" w:hAnsi="黑体" w:cs="黑体"/>
                <w:color w:val="000000" w:themeColor="text1"/>
                <w:kern w:val="0"/>
                <w:szCs w:val="21"/>
                <w14:textFill>
                  <w14:solidFill>
                    <w14:schemeClr w14:val="tx1"/>
                  </w14:solidFill>
                </w14:textFill>
              </w:rPr>
              <w:t>.0</w:t>
            </w:r>
            <w:r>
              <w:rPr>
                <w:rFonts w:ascii="黑体" w:eastAsia="黑体" w:hAnsi="黑体" w:cs="黑体" w:hint="eastAsia"/>
                <w:color w:val="000000" w:themeColor="text1"/>
                <w:kern w:val="0"/>
                <w:szCs w:val="21"/>
                <w14:textFill>
                  <w14:solidFill>
                    <w14:schemeClr w14:val="tx1"/>
                  </w14:solidFill>
                </w14:textFill>
              </w:rPr>
              <w:t>1元的部分，产品管理人有权不确认</w:t>
            </w:r>
          </w:p>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（销售机构可以不低于上述标准设置追加购买金额，投资者购买本理财产品时以该销售机构最终要求为准）</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最低</w:t>
            </w:r>
            <w:r>
              <w:rPr>
                <w:rFonts w:ascii="黑体" w:eastAsia="黑体" w:hAnsi="黑体" w:cs="黑体"/>
                <w:kern w:val="0"/>
                <w:szCs w:val="21"/>
              </w:rPr>
              <w:t>赎回起点份额</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kern w:val="0"/>
                <w:szCs w:val="21"/>
              </w:rPr>
              <w:t>0.01份（具体以销售机构的规则为准）</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追加</w:t>
            </w:r>
            <w:r>
              <w:rPr>
                <w:rFonts w:ascii="黑体" w:eastAsia="黑体" w:hAnsi="黑体" w:cs="黑体"/>
                <w:kern w:val="0"/>
                <w:szCs w:val="21"/>
              </w:rPr>
              <w:t>赎回份额</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kern w:val="0"/>
                <w:szCs w:val="21"/>
              </w:rPr>
              <w:t>0.01份（具体以销售机构的规则为准）</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单日单户申赎限额</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b/>
                <w:kern w:val="0"/>
                <w:szCs w:val="21"/>
              </w:rPr>
              <w:t>单个投资者对本产品单个开放日的申购金额上限为</w:t>
            </w:r>
            <w:r>
              <w:rPr>
                <w:rFonts w:ascii="黑体" w:eastAsia="黑体" w:hAnsi="黑体" w:cs="黑体"/>
                <w:b/>
                <w:kern w:val="0"/>
                <w:szCs w:val="21"/>
              </w:rPr>
              <w:t>A</w:t>
            </w:r>
            <w:r>
              <w:rPr>
                <w:rFonts w:ascii="黑体" w:eastAsia="黑体" w:hAnsi="黑体" w:cs="黑体" w:hint="eastAsia"/>
                <w:b/>
                <w:kern w:val="0"/>
                <w:szCs w:val="21"/>
              </w:rPr>
              <w:t>份额：5000万元</w:t>
            </w:r>
            <w:r>
              <w:rPr>
                <w:rFonts w:ascii="黑体" w:eastAsia="黑体" w:hAnsi="黑体" w:cs="黑体"/>
                <w:b/>
                <w:kern w:val="0"/>
                <w:szCs w:val="21"/>
              </w:rPr>
              <w:t>、B</w:t>
            </w:r>
            <w:r>
              <w:rPr>
                <w:rFonts w:ascii="黑体" w:eastAsia="黑体" w:hAnsi="黑体" w:cs="黑体" w:hint="eastAsia"/>
                <w:b/>
                <w:kern w:val="0"/>
                <w:szCs w:val="21"/>
              </w:rPr>
              <w:t>份额：6500万元、</w:t>
            </w:r>
            <w:r>
              <w:rPr>
                <w:rFonts w:ascii="黑体" w:eastAsia="黑体" w:hAnsi="黑体" w:cs="黑体"/>
                <w:b/>
                <w:kern w:val="0"/>
                <w:szCs w:val="21"/>
              </w:rPr>
              <w:t>D、E</w:t>
            </w:r>
            <w:r>
              <w:rPr>
                <w:rFonts w:ascii="黑体" w:eastAsia="黑体" w:hAnsi="黑体" w:cs="黑体" w:hint="eastAsia"/>
                <w:b/>
                <w:kern w:val="0"/>
                <w:szCs w:val="21"/>
              </w:rPr>
              <w:t>、G份额：1亿元，</w:t>
            </w:r>
            <w:bookmarkStart w:id="7" w:name="OLE_LINK13"/>
            <w:bookmarkStart w:id="8" w:name="OLE_LINK10"/>
            <w:r>
              <w:rPr>
                <w:rFonts w:ascii="黑体" w:eastAsia="黑体" w:hAnsi="黑体" w:cs="黑体" w:hint="eastAsia"/>
                <w:b/>
                <w:kern w:val="0"/>
                <w:szCs w:val="21"/>
              </w:rPr>
              <w:t>J、K、L、P、S份额：1亿元</w:t>
            </w:r>
            <w:bookmarkEnd w:id="7"/>
            <w:bookmarkEnd w:id="8"/>
            <w:r>
              <w:rPr>
                <w:rFonts w:ascii="黑体" w:eastAsia="黑体" w:hAnsi="黑体" w:cs="黑体" w:hint="eastAsia"/>
                <w:kern w:val="0"/>
                <w:szCs w:val="21"/>
              </w:rPr>
              <w:t>；若单个投资者在单个开放日对本产品的申购金额达到上限的，产品管理人有权不再继续接受其申购；</w:t>
            </w:r>
          </w:p>
          <w:p>
            <w:pPr>
              <w:autoSpaceDE w:val="0"/>
              <w:autoSpaceDN w:val="0"/>
              <w:adjustRightInd w:val="0"/>
              <w:jc w:val="left"/>
              <w:rPr>
                <w:rFonts w:ascii="黑体" w:eastAsia="黑体" w:hAnsi="黑体" w:cs="黑体"/>
                <w:kern w:val="0"/>
                <w:szCs w:val="21"/>
              </w:rPr>
            </w:pPr>
            <w:r>
              <w:rPr>
                <w:rFonts w:ascii="黑体" w:eastAsia="黑体" w:hAnsi="黑体" w:cs="黑体"/>
                <w:b/>
                <w:bCs/>
                <w:kern w:val="0"/>
                <w:szCs w:val="21"/>
              </w:rPr>
              <w:t>2、</w:t>
            </w:r>
            <w:r>
              <w:rPr>
                <w:rFonts w:ascii="黑体" w:eastAsia="黑体" w:hAnsi="黑体" w:cs="黑体" w:hint="eastAsia"/>
                <w:b/>
                <w:bCs/>
                <w:kern w:val="0"/>
                <w:szCs w:val="21"/>
              </w:rPr>
              <w:t>单个投资者对本产品单个开放日的赎回份额上限为</w:t>
            </w:r>
            <w:r>
              <w:rPr>
                <w:rFonts w:ascii="黑体" w:eastAsia="黑体" w:hAnsi="黑体" w:cs="黑体"/>
                <w:b/>
                <w:bCs/>
                <w:kern w:val="0"/>
                <w:szCs w:val="21"/>
              </w:rPr>
              <w:t>A、B</w:t>
            </w:r>
            <w:r>
              <w:rPr>
                <w:rFonts w:ascii="黑体" w:eastAsia="黑体" w:hAnsi="黑体" w:cs="黑体" w:hint="eastAsia"/>
                <w:b/>
                <w:bCs/>
                <w:kern w:val="0"/>
                <w:szCs w:val="21"/>
              </w:rPr>
              <w:t>、</w:t>
            </w:r>
            <w:r>
              <w:rPr>
                <w:rFonts w:ascii="黑体" w:eastAsia="黑体" w:hAnsi="黑体" w:cs="黑体"/>
                <w:b/>
                <w:bCs/>
                <w:kern w:val="0"/>
                <w:szCs w:val="21"/>
              </w:rPr>
              <w:t>D、E</w:t>
            </w:r>
            <w:r>
              <w:rPr>
                <w:rFonts w:ascii="黑体" w:eastAsia="黑体" w:hAnsi="黑体" w:cs="黑体" w:hint="eastAsia"/>
                <w:b/>
                <w:bCs/>
                <w:kern w:val="0"/>
                <w:szCs w:val="21"/>
              </w:rPr>
              <w:t>、G份额：无上限，</w:t>
            </w:r>
            <w:r>
              <w:rPr>
                <w:rFonts w:ascii="黑体" w:eastAsia="黑体" w:hAnsi="黑体" w:cs="黑体" w:hint="eastAsia"/>
                <w:b/>
                <w:kern w:val="0"/>
                <w:szCs w:val="21"/>
              </w:rPr>
              <w:t>J、K、L、P、S份额：1亿份</w:t>
            </w:r>
            <w:r>
              <w:rPr>
                <w:rFonts w:ascii="黑体" w:eastAsia="黑体" w:hAnsi="黑体" w:cs="黑体" w:hint="eastAsia"/>
                <w:b/>
                <w:bCs/>
                <w:kern w:val="0"/>
                <w:szCs w:val="21"/>
              </w:rPr>
              <w:t>；</w:t>
            </w:r>
            <w:r>
              <w:rPr>
                <w:rFonts w:ascii="黑体" w:eastAsia="黑体" w:hAnsi="黑体" w:cs="黑体" w:hint="eastAsia"/>
                <w:kern w:val="0"/>
                <w:szCs w:val="21"/>
              </w:rPr>
              <w:t>若单个投资者在单个开放日对本产品的赎回份额达到上限的，产品管理人有权不再继续接受其赎回。</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单户</w:t>
            </w:r>
            <w:r>
              <w:rPr>
                <w:rFonts w:ascii="黑体" w:eastAsia="黑体" w:hAnsi="黑体" w:cs="黑体"/>
                <w:kern w:val="0"/>
                <w:szCs w:val="21"/>
              </w:rPr>
              <w:t>限额</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b/>
                <w:kern w:val="0"/>
                <w:szCs w:val="21"/>
              </w:rPr>
              <w:t>单</w:t>
            </w:r>
            <w:r>
              <w:rPr>
                <w:rFonts w:ascii="黑体" w:eastAsia="黑体" w:hAnsi="黑体" w:cs="黑体" w:hint="eastAsia"/>
                <w:b/>
                <w:kern w:val="0"/>
                <w:szCs w:val="21"/>
              </w:rPr>
              <w:t>个</w:t>
            </w:r>
            <w:r>
              <w:rPr>
                <w:rFonts w:ascii="黑体" w:eastAsia="黑体" w:hAnsi="黑体" w:cs="黑体"/>
                <w:b/>
                <w:kern w:val="0"/>
                <w:szCs w:val="21"/>
              </w:rPr>
              <w:t>投资者</w:t>
            </w:r>
            <w:r>
              <w:rPr>
                <w:rFonts w:ascii="黑体" w:eastAsia="黑体" w:hAnsi="黑体" w:cs="黑体" w:hint="eastAsia"/>
                <w:b/>
                <w:kern w:val="0"/>
                <w:szCs w:val="21"/>
              </w:rPr>
              <w:t>对</w:t>
            </w:r>
            <w:r>
              <w:rPr>
                <w:rFonts w:ascii="黑体" w:eastAsia="黑体" w:hAnsi="黑体" w:cs="黑体"/>
                <w:b/>
                <w:kern w:val="0"/>
                <w:szCs w:val="21"/>
              </w:rPr>
              <w:t>本产品</w:t>
            </w:r>
            <w:r>
              <w:rPr>
                <w:rFonts w:ascii="黑体" w:eastAsia="黑体" w:hAnsi="黑体" w:cs="黑体" w:hint="eastAsia"/>
                <w:b/>
                <w:kern w:val="0"/>
                <w:szCs w:val="21"/>
              </w:rPr>
              <w:t>持有</w:t>
            </w:r>
            <w:r>
              <w:rPr>
                <w:rFonts w:ascii="黑体" w:eastAsia="黑体" w:hAnsi="黑体" w:cs="黑体"/>
                <w:b/>
                <w:kern w:val="0"/>
                <w:szCs w:val="21"/>
              </w:rPr>
              <w:t>金额上限为A</w:t>
            </w:r>
            <w:r>
              <w:rPr>
                <w:rFonts w:ascii="黑体" w:eastAsia="黑体" w:hAnsi="黑体" w:cs="黑体" w:hint="eastAsia"/>
                <w:b/>
                <w:kern w:val="0"/>
                <w:szCs w:val="21"/>
              </w:rPr>
              <w:t>份额：5000万元</w:t>
            </w:r>
            <w:r>
              <w:rPr>
                <w:rFonts w:ascii="黑体" w:eastAsia="黑体" w:hAnsi="黑体" w:cs="黑体"/>
                <w:b/>
                <w:kern w:val="0"/>
                <w:szCs w:val="21"/>
              </w:rPr>
              <w:t>、B</w:t>
            </w:r>
            <w:r>
              <w:rPr>
                <w:rFonts w:ascii="黑体" w:eastAsia="黑体" w:hAnsi="黑体" w:cs="黑体" w:hint="eastAsia"/>
                <w:b/>
                <w:kern w:val="0"/>
                <w:szCs w:val="21"/>
              </w:rPr>
              <w:t>份额：6500万元、</w:t>
            </w:r>
            <w:r>
              <w:rPr>
                <w:rFonts w:ascii="黑体" w:eastAsia="黑体" w:hAnsi="黑体" w:cs="黑体"/>
                <w:b/>
                <w:kern w:val="0"/>
                <w:szCs w:val="21"/>
              </w:rPr>
              <w:t>D、E</w:t>
            </w:r>
            <w:r>
              <w:rPr>
                <w:rFonts w:ascii="黑体" w:eastAsia="黑体" w:hAnsi="黑体" w:cs="黑体" w:hint="eastAsia"/>
                <w:b/>
                <w:kern w:val="0"/>
                <w:szCs w:val="21"/>
              </w:rPr>
              <w:t>、G份额：1亿元，</w:t>
            </w:r>
            <w:bookmarkStart w:id="9" w:name="OLE_LINK15"/>
            <w:bookmarkStart w:id="10" w:name="OLE_LINK14"/>
            <w:r>
              <w:rPr>
                <w:rFonts w:ascii="黑体" w:eastAsia="黑体" w:hAnsi="黑体" w:cs="黑体" w:hint="eastAsia"/>
                <w:b/>
                <w:kern w:val="0"/>
                <w:szCs w:val="21"/>
              </w:rPr>
              <w:t>J、K、L、P</w:t>
            </w:r>
            <w:bookmarkEnd w:id="9"/>
            <w:bookmarkEnd w:id="10"/>
            <w:r>
              <w:rPr>
                <w:rFonts w:ascii="黑体" w:eastAsia="黑体" w:hAnsi="黑体" w:cs="黑体" w:hint="eastAsia"/>
                <w:b/>
                <w:kern w:val="0"/>
                <w:szCs w:val="21"/>
              </w:rPr>
              <w:t>、S份额：1亿元</w:t>
            </w:r>
            <w:r>
              <w:rPr>
                <w:rFonts w:ascii="黑体" w:eastAsia="黑体" w:hAnsi="黑体" w:cs="黑体" w:hint="eastAsia"/>
                <w:kern w:val="0"/>
                <w:szCs w:val="21"/>
              </w:rPr>
              <w:t>；若</w:t>
            </w:r>
            <w:r>
              <w:rPr>
                <w:rFonts w:ascii="黑体" w:eastAsia="黑体" w:hAnsi="黑体" w:cs="黑体"/>
                <w:kern w:val="0"/>
                <w:szCs w:val="21"/>
              </w:rPr>
              <w:t>单个投资者</w:t>
            </w:r>
            <w:r>
              <w:rPr>
                <w:rFonts w:ascii="黑体" w:eastAsia="黑体" w:hAnsi="黑体" w:cs="黑体" w:hint="eastAsia"/>
                <w:kern w:val="0"/>
                <w:szCs w:val="21"/>
              </w:rPr>
              <w:t>对</w:t>
            </w:r>
            <w:r>
              <w:rPr>
                <w:rFonts w:ascii="黑体" w:eastAsia="黑体" w:hAnsi="黑体" w:cs="黑体"/>
                <w:kern w:val="0"/>
                <w:szCs w:val="21"/>
              </w:rPr>
              <w:t>本产品</w:t>
            </w:r>
            <w:r>
              <w:rPr>
                <w:rFonts w:ascii="黑体" w:eastAsia="黑体" w:hAnsi="黑体" w:cs="黑体" w:hint="eastAsia"/>
                <w:kern w:val="0"/>
                <w:szCs w:val="21"/>
              </w:rPr>
              <w:t>持有金额</w:t>
            </w:r>
            <w:r>
              <w:rPr>
                <w:rFonts w:ascii="黑体" w:eastAsia="黑体" w:hAnsi="黑体" w:cs="黑体"/>
                <w:kern w:val="0"/>
                <w:szCs w:val="21"/>
              </w:rPr>
              <w:t>达到上限的，</w:t>
            </w:r>
            <w:r>
              <w:rPr>
                <w:rFonts w:ascii="黑体" w:eastAsia="黑体" w:hAnsi="黑体" w:cs="黑体" w:hint="eastAsia"/>
                <w:kern w:val="0"/>
                <w:szCs w:val="21"/>
              </w:rPr>
              <w:t>产品</w:t>
            </w:r>
            <w:r>
              <w:rPr>
                <w:rFonts w:ascii="黑体" w:eastAsia="黑体" w:hAnsi="黑体" w:cs="黑体"/>
                <w:kern w:val="0"/>
                <w:szCs w:val="21"/>
              </w:rPr>
              <w:t>管理人</w:t>
            </w:r>
            <w:r>
              <w:rPr>
                <w:rFonts w:ascii="黑体" w:eastAsia="黑体" w:hAnsi="黑体" w:cs="黑体" w:hint="eastAsia"/>
                <w:kern w:val="0"/>
                <w:szCs w:val="21"/>
              </w:rPr>
              <w:t>有权</w:t>
            </w:r>
            <w:r>
              <w:rPr>
                <w:rFonts w:ascii="黑体" w:eastAsia="黑体" w:hAnsi="黑体" w:cs="黑体"/>
                <w:kern w:val="0"/>
                <w:szCs w:val="21"/>
              </w:rPr>
              <w:t>不再继续</w:t>
            </w:r>
            <w:r>
              <w:rPr>
                <w:rFonts w:ascii="黑体" w:eastAsia="黑体" w:hAnsi="黑体" w:cs="黑体" w:hint="eastAsia"/>
                <w:kern w:val="0"/>
                <w:szCs w:val="21"/>
              </w:rPr>
              <w:t>接受其</w:t>
            </w:r>
            <w:r>
              <w:rPr>
                <w:rFonts w:ascii="黑体" w:eastAsia="黑体" w:hAnsi="黑体" w:cs="黑体"/>
                <w:kern w:val="0"/>
                <w:szCs w:val="21"/>
              </w:rPr>
              <w:t>认</w:t>
            </w:r>
            <w:r>
              <w:rPr>
                <w:rFonts w:ascii="黑体" w:eastAsia="黑体" w:hAnsi="黑体" w:cs="黑体" w:hint="eastAsia"/>
                <w:kern w:val="0"/>
                <w:szCs w:val="21"/>
              </w:rPr>
              <w:t>（申）购；若单个投资者对本产品持有金额达到上限以后仍有认</w:t>
            </w:r>
            <w:r>
              <w:rPr>
                <w:rFonts w:ascii="黑体" w:eastAsia="黑体" w:hAnsi="黑体" w:cs="黑体"/>
                <w:kern w:val="0"/>
                <w:szCs w:val="21"/>
              </w:rPr>
              <w:t>(申)购需求的，可咨询本产品销售机构各营业网点或通过电话方式咨询其客服热线，产品管理人将审慎分析</w:t>
            </w:r>
            <w:r>
              <w:rPr>
                <w:rFonts w:ascii="黑体" w:eastAsia="黑体" w:hAnsi="黑体" w:cs="黑体" w:hint="eastAsia"/>
                <w:kern w:val="0"/>
                <w:szCs w:val="21"/>
              </w:rPr>
              <w:t>评估其认</w:t>
            </w:r>
            <w:r>
              <w:rPr>
                <w:rFonts w:ascii="黑体" w:eastAsia="黑体" w:hAnsi="黑体" w:cs="黑体"/>
                <w:kern w:val="0"/>
                <w:szCs w:val="21"/>
              </w:rPr>
              <w:t>(申)购申请，当继续接受其认(申)购可能对理财产品存量投资者利益构成重大不利影响时，或者基于投资运作与风险控制需要，产品管理人有权不再继续接受其认(申)购。</w:t>
            </w:r>
          </w:p>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u w:val="single"/>
              </w:rPr>
              <w:t>非因产品管理人主观因素导致</w:t>
            </w:r>
            <w:r>
              <w:rPr>
                <w:rFonts w:ascii="黑体" w:eastAsia="黑体" w:hAnsi="黑体" w:cs="黑体"/>
                <w:kern w:val="0"/>
                <w:szCs w:val="21"/>
                <w:u w:val="single"/>
              </w:rPr>
              <w:t>单</w:t>
            </w:r>
            <w:r>
              <w:rPr>
                <w:rFonts w:ascii="黑体" w:eastAsia="黑体" w:hAnsi="黑体" w:cs="黑体" w:hint="eastAsia"/>
                <w:kern w:val="0"/>
                <w:szCs w:val="21"/>
                <w:u w:val="single"/>
              </w:rPr>
              <w:t>一</w:t>
            </w:r>
            <w:r>
              <w:rPr>
                <w:rFonts w:ascii="黑体" w:eastAsia="黑体" w:hAnsi="黑体" w:cs="黑体"/>
                <w:kern w:val="0"/>
                <w:szCs w:val="21"/>
                <w:u w:val="single"/>
              </w:rPr>
              <w:t>投资者持有份额比例超过</w:t>
            </w:r>
            <w:r>
              <w:rPr>
                <w:rFonts w:ascii="黑体" w:eastAsia="黑体" w:hAnsi="黑体" w:cs="黑体" w:hint="eastAsia"/>
                <w:kern w:val="0"/>
                <w:szCs w:val="21"/>
                <w:u w:val="single"/>
              </w:rPr>
              <w:t>总份额</w:t>
            </w:r>
            <w:r>
              <w:rPr>
                <w:rFonts w:ascii="黑体" w:eastAsia="黑体" w:hAnsi="黑体" w:cs="黑体"/>
                <w:kern w:val="0"/>
                <w:szCs w:val="21"/>
                <w:u w:val="single"/>
              </w:rPr>
              <w:t>的50%</w:t>
            </w:r>
            <w:r>
              <w:rPr>
                <w:rFonts w:ascii="黑体" w:eastAsia="黑体" w:hAnsi="黑体" w:cs="黑体" w:hint="eastAsia"/>
                <w:kern w:val="0"/>
                <w:szCs w:val="21"/>
                <w:u w:val="single"/>
              </w:rPr>
              <w:t>（含</w:t>
            </w:r>
            <w:r>
              <w:rPr>
                <w:rFonts w:ascii="黑体" w:eastAsia="黑体" w:hAnsi="黑体" w:cs="黑体"/>
                <w:kern w:val="0"/>
                <w:szCs w:val="21"/>
                <w:u w:val="single"/>
              </w:rPr>
              <w:t>）时，</w:t>
            </w:r>
            <w:r>
              <w:rPr>
                <w:rFonts w:ascii="黑体" w:eastAsia="黑体" w:hAnsi="黑体" w:cs="黑体" w:hint="eastAsia"/>
                <w:kern w:val="0"/>
                <w:szCs w:val="21"/>
                <w:u w:val="single"/>
              </w:rPr>
              <w:t>产品</w:t>
            </w:r>
            <w:r>
              <w:rPr>
                <w:rFonts w:ascii="黑体" w:eastAsia="黑体" w:hAnsi="黑体" w:cs="黑体"/>
                <w:kern w:val="0"/>
                <w:szCs w:val="21"/>
                <w:u w:val="single"/>
              </w:rPr>
              <w:t>管理人</w:t>
            </w:r>
            <w:r>
              <w:rPr>
                <w:rFonts w:ascii="黑体" w:eastAsia="黑体" w:hAnsi="黑体" w:cs="黑体" w:hint="eastAsia"/>
                <w:kern w:val="0"/>
                <w:szCs w:val="21"/>
                <w:u w:val="single"/>
              </w:rPr>
              <w:t>将暂停接受</w:t>
            </w:r>
            <w:r>
              <w:rPr>
                <w:rFonts w:ascii="黑体" w:eastAsia="黑体" w:hAnsi="黑体" w:cs="黑体"/>
                <w:kern w:val="0"/>
                <w:szCs w:val="21"/>
                <w:u w:val="single"/>
              </w:rPr>
              <w:t>其</w:t>
            </w:r>
            <w:r>
              <w:rPr>
                <w:rFonts w:ascii="黑体" w:eastAsia="黑体" w:hAnsi="黑体" w:cs="黑体" w:hint="eastAsia"/>
                <w:kern w:val="0"/>
                <w:szCs w:val="21"/>
                <w:u w:val="single"/>
              </w:rPr>
              <w:t>认（</w:t>
            </w:r>
            <w:r>
              <w:rPr>
                <w:rFonts w:ascii="黑体" w:eastAsia="黑体" w:hAnsi="黑体" w:cs="黑体"/>
                <w:kern w:val="0"/>
                <w:szCs w:val="21"/>
                <w:u w:val="single"/>
              </w:rPr>
              <w:t>申</w:t>
            </w:r>
            <w:r>
              <w:rPr>
                <w:rFonts w:ascii="黑体" w:eastAsia="黑体" w:hAnsi="黑体" w:cs="黑体" w:hint="eastAsia"/>
                <w:kern w:val="0"/>
                <w:szCs w:val="21"/>
                <w:u w:val="single"/>
              </w:rPr>
              <w:t>）</w:t>
            </w:r>
            <w:r>
              <w:rPr>
                <w:rFonts w:ascii="黑体" w:eastAsia="黑体" w:hAnsi="黑体" w:cs="黑体"/>
                <w:kern w:val="0"/>
                <w:szCs w:val="21"/>
                <w:u w:val="single"/>
              </w:rPr>
              <w:t>购申请。</w:t>
            </w:r>
          </w:p>
          <w:p>
            <w:pPr>
              <w:rPr>
                <w:rFonts w:ascii="黑体" w:eastAsia="黑体" w:hAnsi="黑体"/>
                <w:szCs w:val="21"/>
              </w:rPr>
            </w:pPr>
            <w:r>
              <w:rPr>
                <w:rFonts w:ascii="黑体" w:eastAsia="黑体" w:hAnsi="黑体" w:cs="黑体"/>
                <w:kern w:val="0"/>
                <w:szCs w:val="21"/>
              </w:rPr>
              <w:t>2</w:t>
            </w:r>
            <w:r>
              <w:rPr>
                <w:rFonts w:ascii="黑体" w:eastAsia="黑体" w:hAnsi="黑体" w:cs="黑体" w:hint="eastAsia"/>
                <w:kern w:val="0"/>
                <w:szCs w:val="21"/>
              </w:rPr>
              <w:t>、单个投资者对本产品</w:t>
            </w:r>
            <w:r>
              <w:rPr>
                <w:rFonts w:ascii="黑体" w:eastAsia="黑体" w:hAnsi="黑体" w:cs="黑体"/>
                <w:kern w:val="0"/>
                <w:szCs w:val="21"/>
              </w:rPr>
              <w:t>的最低持有</w:t>
            </w:r>
            <w:r>
              <w:rPr>
                <w:rFonts w:ascii="黑体" w:eastAsia="黑体" w:hAnsi="黑体" w:cs="黑体" w:hint="eastAsia"/>
                <w:kern w:val="0"/>
                <w:szCs w:val="21"/>
              </w:rPr>
              <w:t>金额</w:t>
            </w:r>
            <w:r>
              <w:rPr>
                <w:rFonts w:ascii="黑体" w:eastAsia="黑体" w:hAnsi="黑体" w:cs="黑体"/>
                <w:kern w:val="0"/>
                <w:szCs w:val="21"/>
              </w:rPr>
              <w:t>为</w:t>
            </w:r>
            <w:r>
              <w:rPr>
                <w:rFonts w:ascii="黑体" w:eastAsia="黑体" w:hAnsi="黑体" w:cs="黑体" w:hint="eastAsia"/>
                <w:b/>
                <w:kern w:val="0"/>
                <w:szCs w:val="21"/>
              </w:rPr>
              <w:t>A、B、D、E、G、J、K、L、P、S</w:t>
            </w:r>
            <w:r>
              <w:rPr>
                <w:rFonts w:ascii="黑体" w:eastAsia="黑体" w:hAnsi="黑体" w:cs="黑体" w:hint="eastAsia"/>
                <w:b/>
                <w:bCs/>
                <w:kern w:val="0"/>
                <w:szCs w:val="21"/>
              </w:rPr>
              <w:t>份额：0</w:t>
            </w:r>
            <w:r>
              <w:rPr>
                <w:rFonts w:ascii="黑体" w:eastAsia="黑体" w:hAnsi="黑体" w:cs="黑体"/>
                <w:b/>
                <w:bCs/>
                <w:kern w:val="0"/>
                <w:szCs w:val="21"/>
              </w:rPr>
              <w:t>.01元</w:t>
            </w:r>
            <w:r>
              <w:rPr>
                <w:rFonts w:ascii="黑体" w:eastAsia="黑体" w:hAnsi="黑体" w:cs="黑体" w:hint="eastAsia"/>
                <w:b/>
                <w:bCs/>
                <w:kern w:val="0"/>
                <w:szCs w:val="21"/>
              </w:rPr>
              <w:t>，</w:t>
            </w:r>
            <w:r>
              <w:rPr>
                <w:rFonts w:ascii="黑体" w:eastAsia="黑体" w:hAnsi="黑体" w:cs="黑体"/>
                <w:kern w:val="0"/>
                <w:szCs w:val="21"/>
              </w:rPr>
              <w:t>若投资者持有不足该</w:t>
            </w:r>
            <w:r>
              <w:rPr>
                <w:rFonts w:ascii="黑体" w:eastAsia="黑体" w:hAnsi="黑体" w:cs="黑体" w:hint="eastAsia"/>
                <w:kern w:val="0"/>
                <w:szCs w:val="21"/>
              </w:rPr>
              <w:t>金额</w:t>
            </w:r>
            <w:r>
              <w:rPr>
                <w:rFonts w:ascii="黑体" w:eastAsia="黑体" w:hAnsi="黑体" w:cs="黑体"/>
                <w:kern w:val="0"/>
                <w:szCs w:val="21"/>
              </w:rPr>
              <w:t>时</w:t>
            </w:r>
            <w:r>
              <w:rPr>
                <w:rFonts w:ascii="黑体" w:eastAsia="黑体" w:hAnsi="黑体" w:cs="黑体" w:hint="eastAsia"/>
                <w:kern w:val="0"/>
                <w:szCs w:val="21"/>
              </w:rPr>
              <w:t>，产品管理人可对投资者持有的产品剩余金额进行强制赎回。</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销售</w:t>
            </w:r>
            <w:r>
              <w:rPr>
                <w:rFonts w:ascii="黑体" w:eastAsia="黑体" w:hAnsi="黑体" w:cs="黑体"/>
                <w:kern w:val="0"/>
                <w:szCs w:val="21"/>
              </w:rPr>
              <w:t>区域</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全国（不含港澳台地区）</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管理</w:t>
            </w:r>
            <w:r>
              <w:rPr>
                <w:rFonts w:ascii="黑体" w:eastAsia="黑体" w:hAnsi="黑体" w:cs="黑体"/>
                <w:kern w:val="0"/>
                <w:szCs w:val="21"/>
              </w:rPr>
              <w:t>机构/产品管理人</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宁银理财</w:t>
            </w:r>
            <w:r>
              <w:rPr>
                <w:rFonts w:ascii="黑体" w:eastAsia="黑体" w:hAnsi="黑体" w:cs="黑体"/>
                <w:kern w:val="0"/>
                <w:szCs w:val="21"/>
              </w:rPr>
              <w:t>有限责任公司</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销售</w:t>
            </w:r>
            <w:r>
              <w:rPr>
                <w:rFonts w:ascii="黑体" w:eastAsia="黑体" w:hAnsi="黑体" w:cs="黑体"/>
                <w:kern w:val="0"/>
                <w:szCs w:val="21"/>
              </w:rPr>
              <w:t>机构</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宁波银行股份有限公司、宁银理财</w:t>
            </w:r>
            <w:r>
              <w:rPr>
                <w:rFonts w:ascii="黑体" w:eastAsia="黑体" w:hAnsi="黑体" w:cs="黑体"/>
                <w:kern w:val="0"/>
                <w:szCs w:val="21"/>
              </w:rPr>
              <w:t>有限责任公司</w:t>
            </w:r>
            <w:r>
              <w:rPr>
                <w:rFonts w:ascii="黑体" w:eastAsia="黑体" w:hAnsi="黑体" w:cs="黑体" w:hint="eastAsia"/>
                <w:kern w:val="0"/>
                <w:szCs w:val="21"/>
              </w:rPr>
              <w:t>、广发银行股份有限公司、交通银行股份有限公司、广州农村商业银行股份有限公司、广州银行股份有限公司、宁夏银行股份有限公司、江苏江南农村商业银行股份有限公司、江苏江阴农村商业银行股份有限公司、江苏张家港农村商业银行股份有限公司、江苏常熟农村商业银行股份有限公司、苏州银行股份有限公司、泉州银行股份有限公司、珠海华润银行股份有限公司、东莞农村商业银行股份有限公司、东莞银行股份有限公司、甘肃银行股份有限公司、华夏银行股份有限公司、内蒙古银行股份有限公司、台州银行股份有限公司、渤海银行股份有限公司、沧州银行股份有限公司、潍坊银行股份有限公司、吉林银行股份有限公司、莱商银行股份有限公司、青岛银行股份有限公司、上海浦东发展银行股份有限公司、桂林银行股份有限公司、云南红塔银行股份有限公司、大连银行股份有限公司、贵阳银行股份有限公司</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托管机构</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宁波银行股份有限公司</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投资合作机构</w:t>
            </w:r>
          </w:p>
        </w:tc>
        <w:tc>
          <w:tcPr>
            <w:tcW w:w="6458" w:type="dxa"/>
          </w:tcPr>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投资合作机构包括但不限于理财产品所投资资产管理产品的发行机构、根据合同约定从事理财产品受托投资的机构以及与理财产品投资管理相关的投资顾问等。</w:t>
            </w:r>
          </w:p>
          <w:p>
            <w:pPr>
              <w:autoSpaceDE w:val="0"/>
              <w:autoSpaceDN w:val="0"/>
              <w:adjustRightInd w:val="0"/>
              <w:jc w:val="left"/>
              <w:rPr>
                <w:rFonts w:ascii="黑体" w:eastAsia="黑体" w:hAnsi="黑体" w:cs="黑体"/>
                <w:kern w:val="0"/>
                <w:szCs w:val="21"/>
              </w:rPr>
            </w:pPr>
            <w:bookmarkStart w:id="11" w:name="OLE_LINK4"/>
            <w:bookmarkStart w:id="12" w:name="OLE_LINK3"/>
            <w:r>
              <w:rPr>
                <w:rFonts w:ascii="黑体" w:eastAsia="黑体" w:hAnsi="黑体" w:cs="黑体" w:hint="eastAsia"/>
                <w:kern w:val="0"/>
                <w:szCs w:val="21"/>
              </w:rPr>
              <w:t>本理财产品投资合作机构可能包括但不限于安联保险资产管理有限公司、博时资本管理有限公司、财通证券资产管理有限公司、大家资产管理有限责任公司、东方财富证券股份有限公司、光大永明资产管理股份有限公司、国联证券资产管理有限公司、国投泰康信托有限公司、湖南省财信信托有限责任公司、华能贵诚信托有限公司、华润深国投信托有限公司、华鑫证券有限责任公司、建信信托有限责任公司、建元信托股份有限公司、江苏省国际信托有限责任公司、陆家嘴国际信托有限公司、民生通惠资产管理有限公司、诺德基金管理有限公司、平安信托有限责任公司、上海国泰君安证券资产管理有限公司、天津信托有限责任公司、信达澳亚基金管理有限公司、兴业国际信托有限公司、云南国际信托有限公司、长城财富保险资产管理股份有限公司、招商财富资产管理有限公司、浙商金汇信托股份有限公司、浙商期货有限公司、中诚信托有限责任公司、中国对外经济贸易信托有限公司、中国国际金融股份有限公司、中国人保资产管理有限公司、中国人寿资产管理有限公司、中信建投期货有限公司、中信信托有限责任公司等。</w:t>
            </w:r>
          </w:p>
          <w:bookmarkEnd w:id="11"/>
          <w:bookmarkEnd w:id="12"/>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后续新增投资合作机构时，管理人将对合作机构的资质条件、专业服务能力和风险管理水平等进行充分评价，切实履行投资管理职责。</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费用</w:t>
            </w:r>
            <w:r>
              <w:rPr>
                <w:rFonts w:ascii="黑体" w:eastAsia="黑体" w:hAnsi="黑体" w:cs="黑体" w:hint="eastAsia"/>
                <w:kern w:val="0"/>
                <w:szCs w:val="21"/>
              </w:rPr>
              <w:t>及</w:t>
            </w:r>
            <w:r>
              <w:rPr>
                <w:rFonts w:ascii="黑体" w:eastAsia="黑体" w:hAnsi="黑体" w:cs="黑体"/>
                <w:kern w:val="0"/>
                <w:szCs w:val="21"/>
              </w:rPr>
              <w:t>税收</w:t>
            </w:r>
            <w:r>
              <w:rPr>
                <w:rFonts w:ascii="黑体" w:eastAsia="黑体" w:hAnsi="黑体" w:cs="黑体" w:hint="eastAsia"/>
                <w:kern w:val="0"/>
                <w:szCs w:val="21"/>
              </w:rPr>
              <w:t>规定</w:t>
            </w:r>
          </w:p>
        </w:tc>
        <w:tc>
          <w:tcPr>
            <w:tcW w:w="6458" w:type="dxa"/>
          </w:tcPr>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本产品收取的费用为销售服务费、固定管理费、托管费等。其中，</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1、销售服务费：【A份额】年化费率【0.30%】、【B份额】年化费率【0.30%】、【D份额】年化费率【0.30%】、【E份额】年化费率【0.30%】、【G份额】年化费率【0.30%】、【J份额】年化费率【0.30%】、【K份额】年化费率【0.</w:t>
            </w:r>
            <w:r>
              <w:rPr>
                <w:rFonts w:ascii="黑体" w:eastAsia="黑体" w:hAnsi="黑体" w:cs="黑体"/>
                <w:b/>
                <w:kern w:val="0"/>
                <w:szCs w:val="21"/>
              </w:rPr>
              <w:t>27</w:t>
            </w:r>
            <w:r>
              <w:rPr>
                <w:rFonts w:ascii="黑体" w:eastAsia="黑体" w:hAnsi="黑体" w:cs="黑体" w:hint="eastAsia"/>
                <w:b/>
                <w:kern w:val="0"/>
                <w:szCs w:val="21"/>
              </w:rPr>
              <w:t>%】、【L份额】年化费率【0.</w:t>
            </w:r>
            <w:r>
              <w:rPr>
                <w:rFonts w:ascii="黑体" w:eastAsia="黑体" w:hAnsi="黑体" w:cs="黑体"/>
                <w:b/>
                <w:kern w:val="0"/>
                <w:szCs w:val="21"/>
              </w:rPr>
              <w:t>1</w:t>
            </w:r>
            <w:r>
              <w:rPr>
                <w:rFonts w:ascii="黑体" w:eastAsia="黑体" w:hAnsi="黑体" w:cs="黑体" w:hint="eastAsia"/>
                <w:b/>
                <w:kern w:val="0"/>
                <w:szCs w:val="21"/>
              </w:rPr>
              <w:t>0%】、【P份额】年化费率【0.30%】、【S份额】年化费率【0.30%】；</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2、固定管理费：【</w:t>
            </w:r>
            <w:r>
              <w:rPr>
                <w:rFonts w:ascii="黑体" w:eastAsia="黑体" w:hAnsi="黑体" w:cs="黑体"/>
                <w:b/>
                <w:kern w:val="0"/>
                <w:szCs w:val="21"/>
              </w:rPr>
              <w:t>A份额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w:t>
            </w:r>
            <w:r>
              <w:rPr>
                <w:rFonts w:ascii="黑体" w:eastAsia="黑体" w:hAnsi="黑体" w:cs="黑体"/>
                <w:b/>
                <w:kern w:val="0"/>
                <w:szCs w:val="21"/>
              </w:rPr>
              <w:t>B份额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w:t>
            </w:r>
            <w:r>
              <w:rPr>
                <w:rFonts w:ascii="黑体" w:eastAsia="黑体" w:hAnsi="黑体" w:cs="黑体"/>
                <w:b/>
                <w:kern w:val="0"/>
                <w:szCs w:val="21"/>
              </w:rPr>
              <w:t>D份额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0.40%</w:t>
            </w:r>
            <w:r>
              <w:rPr>
                <w:rFonts w:ascii="黑体" w:eastAsia="黑体" w:hAnsi="黑体" w:cs="黑体" w:hint="eastAsia"/>
                <w:b/>
                <w:kern w:val="0"/>
                <w:szCs w:val="21"/>
              </w:rPr>
              <w:t>】、【</w:t>
            </w:r>
            <w:r>
              <w:rPr>
                <w:rFonts w:ascii="黑体" w:eastAsia="黑体" w:hAnsi="黑体" w:cs="黑体"/>
                <w:b/>
                <w:kern w:val="0"/>
                <w:szCs w:val="21"/>
              </w:rPr>
              <w:t>E份额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】、【G</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】、【J</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】、【K</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】、【L</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】、【P</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】、【S</w:t>
            </w:r>
            <w:r>
              <w:rPr>
                <w:rFonts w:ascii="黑体" w:eastAsia="黑体" w:hAnsi="黑体" w:cs="黑体"/>
                <w:b/>
                <w:kern w:val="0"/>
                <w:szCs w:val="21"/>
              </w:rPr>
              <w:t>份额</w:t>
            </w:r>
            <w:r>
              <w:rPr>
                <w:rFonts w:ascii="黑体" w:eastAsia="黑体" w:hAnsi="黑体" w:cs="黑体" w:hint="eastAsia"/>
                <w:b/>
                <w:kern w:val="0"/>
                <w:szCs w:val="21"/>
              </w:rPr>
              <w:t>】</w:t>
            </w:r>
            <w:r>
              <w:rPr>
                <w:rFonts w:ascii="黑体" w:eastAsia="黑体" w:hAnsi="黑体" w:cs="黑体"/>
                <w:b/>
                <w:kern w:val="0"/>
                <w:szCs w:val="21"/>
              </w:rPr>
              <w:t>年化</w:t>
            </w:r>
            <w:r>
              <w:rPr>
                <w:rFonts w:ascii="黑体" w:eastAsia="黑体" w:hAnsi="黑体" w:cs="黑体" w:hint="eastAsia"/>
                <w:b/>
                <w:kern w:val="0"/>
                <w:szCs w:val="21"/>
              </w:rPr>
              <w:t>费率【</w:t>
            </w:r>
            <w:r>
              <w:rPr>
                <w:rFonts w:ascii="黑体" w:eastAsia="黑体" w:hAnsi="黑体" w:cs="黑体"/>
                <w:b/>
                <w:kern w:val="0"/>
                <w:szCs w:val="21"/>
              </w:rPr>
              <w:t>0.50%</w:t>
            </w:r>
            <w:r>
              <w:rPr>
                <w:rFonts w:ascii="黑体" w:eastAsia="黑体" w:hAnsi="黑体" w:cs="黑体" w:hint="eastAsia"/>
                <w:b/>
                <w:kern w:val="0"/>
                <w:szCs w:val="21"/>
              </w:rPr>
              <w:t>】；</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3、托管费年化费率【0.01%】；</w:t>
            </w: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详见</w:t>
            </w:r>
            <w:r>
              <w:rPr>
                <w:rFonts w:ascii="黑体" w:eastAsia="黑体" w:hAnsi="黑体" w:cs="黑体"/>
                <w:b/>
                <w:kern w:val="0"/>
                <w:szCs w:val="21"/>
              </w:rPr>
              <w:t>本说明书第</w:t>
            </w:r>
            <w:r>
              <w:rPr>
                <w:rFonts w:ascii="黑体" w:eastAsia="黑体" w:hAnsi="黑体" w:cs="黑体" w:hint="eastAsia"/>
                <w:b/>
                <w:kern w:val="0"/>
                <w:szCs w:val="21"/>
              </w:rPr>
              <w:t>六</w:t>
            </w:r>
            <w:r>
              <w:rPr>
                <w:rFonts w:ascii="黑体" w:eastAsia="黑体" w:hAnsi="黑体" w:cs="黑体"/>
                <w:b/>
                <w:kern w:val="0"/>
                <w:szCs w:val="21"/>
              </w:rPr>
              <w:t>部分</w:t>
            </w:r>
            <w:r>
              <w:rPr>
                <w:rFonts w:ascii="黑体" w:eastAsia="黑体" w:hAnsi="黑体" w:cs="黑体" w:hint="eastAsia"/>
                <w:b/>
                <w:kern w:val="0"/>
                <w:szCs w:val="21"/>
              </w:rPr>
              <w:t>产品费用、收益及税收说明</w:t>
            </w:r>
            <w:r>
              <w:rPr>
                <w:rFonts w:ascii="黑体" w:eastAsia="黑体" w:hAnsi="黑体" w:cs="黑体"/>
                <w:b/>
                <w:kern w:val="0"/>
                <w:szCs w:val="21"/>
              </w:rPr>
              <w:t>。</w:t>
            </w:r>
          </w:p>
        </w:tc>
      </w:tr>
      <w:tr>
        <w:tblPrEx>
          <w:tblW w:w="0" w:type="auto"/>
          <w:tblInd w:w="0" w:type="dxa"/>
          <w:tblCellMar>
            <w:top w:w="0" w:type="dxa"/>
            <w:left w:w="108" w:type="dxa"/>
            <w:bottom w:w="0" w:type="dxa"/>
            <w:right w:w="108" w:type="dxa"/>
          </w:tblCellMar>
        </w:tblPrEx>
        <w:tc>
          <w:tcPr>
            <w:tcW w:w="1838" w:type="dxa"/>
            <w:vAlign w:val="center"/>
          </w:tcPr>
          <w:p>
            <w:pPr>
              <w:autoSpaceDE w:val="0"/>
              <w:autoSpaceDN w:val="0"/>
              <w:adjustRightInd w:val="0"/>
              <w:rPr>
                <w:rFonts w:ascii="黑体" w:eastAsia="黑体" w:hAnsi="黑体" w:cs="黑体"/>
                <w:kern w:val="0"/>
                <w:szCs w:val="21"/>
              </w:rPr>
            </w:pPr>
            <w:r>
              <w:rPr>
                <w:rFonts w:ascii="黑体" w:eastAsia="黑体" w:hAnsi="黑体" w:cs="黑体" w:hint="eastAsia"/>
                <w:kern w:val="0"/>
                <w:szCs w:val="21"/>
              </w:rPr>
              <w:t>其他</w:t>
            </w:r>
          </w:p>
        </w:tc>
        <w:tc>
          <w:tcPr>
            <w:tcW w:w="6458" w:type="dxa"/>
          </w:tcPr>
          <w:p>
            <w:pPr>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b/>
                <w:kern w:val="0"/>
                <w:szCs w:val="21"/>
              </w:rPr>
              <w:t>在</w:t>
            </w:r>
            <w:r>
              <w:rPr>
                <w:rFonts w:ascii="黑体" w:eastAsia="黑体" w:hAnsi="黑体" w:cs="黑体"/>
                <w:b/>
                <w:kern w:val="0"/>
                <w:szCs w:val="21"/>
              </w:rPr>
              <w:t>本</w:t>
            </w:r>
            <w:r>
              <w:rPr>
                <w:rFonts w:ascii="黑体" w:eastAsia="黑体" w:hAnsi="黑体" w:cs="黑体" w:hint="eastAsia"/>
                <w:b/>
                <w:kern w:val="0"/>
                <w:szCs w:val="21"/>
              </w:rPr>
              <w:t>产品存续期内，产品</w:t>
            </w:r>
            <w:r>
              <w:rPr>
                <w:rFonts w:ascii="黑体" w:eastAsia="黑体" w:hAnsi="黑体" w:cs="黑体"/>
                <w:b/>
                <w:kern w:val="0"/>
                <w:szCs w:val="21"/>
              </w:rPr>
              <w:t>管理人</w:t>
            </w:r>
            <w:r>
              <w:rPr>
                <w:rFonts w:ascii="黑体" w:eastAsia="黑体" w:hAnsi="黑体" w:cs="黑体" w:hint="eastAsia"/>
                <w:b/>
                <w:kern w:val="0"/>
                <w:szCs w:val="21"/>
              </w:rPr>
              <w:t>有权根据市场情况调整本产品前述产品要素，调整前将进行相关信息披露。</w:t>
            </w:r>
          </w:p>
          <w:p>
            <w:pPr>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、产品成立日和到期日如遇非工作日，则顺延至下一工作日。</w:t>
            </w:r>
          </w:p>
          <w:p>
            <w:pPr>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szCs w:val="21"/>
              </w:rPr>
              <w:t>本产品说明书中的工作日指上海证券交易所、深圳证券交易所及全国银行间债券市场同时开放交易的工作日。</w:t>
            </w:r>
          </w:p>
          <w:p>
            <w:pPr>
              <w:rPr>
                <w:rFonts w:ascii="黑体" w:eastAsia="黑体" w:hAnsi="黑体" w:cs="黑体"/>
                <w:kern w:val="0"/>
                <w:szCs w:val="21"/>
              </w:rPr>
            </w:pPr>
            <w:r>
              <w:rPr>
                <w:rFonts w:ascii="黑体" w:eastAsia="黑体" w:hAnsi="黑体" w:cs="黑体"/>
                <w:kern w:val="0"/>
                <w:szCs w:val="21"/>
              </w:rPr>
              <w:t>4</w:t>
            </w:r>
            <w:r>
              <w:rPr>
                <w:rFonts w:ascii="黑体" w:eastAsia="黑体" w:hAnsi="黑体" w:cs="黑体" w:hint="eastAsia"/>
                <w:kern w:val="0"/>
                <w:szCs w:val="21"/>
              </w:rPr>
              <w:t>、其他：无</w:t>
            </w:r>
          </w:p>
        </w:tc>
      </w:tr>
    </w:tbl>
    <w:p>
      <w:pPr>
        <w:autoSpaceDE w:val="0"/>
        <w:autoSpaceDN w:val="0"/>
        <w:adjustRightInd w:val="0"/>
        <w:jc w:val="left"/>
        <w:rPr>
          <w:rFonts w:ascii="黑体" w:eastAsia="黑体" w:hAnsi="黑体" w:cs="黑体"/>
          <w:b/>
          <w:kern w:val="0"/>
          <w:szCs w:val="21"/>
        </w:rPr>
      </w:pP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三、产品投资管理</w:t>
      </w:r>
    </w:p>
    <w:p>
      <w:pPr>
        <w:autoSpaceDE w:val="0"/>
        <w:autoSpaceDN w:val="0"/>
        <w:adjustRightInd w:val="0"/>
        <w:jc w:val="left"/>
        <w:rPr>
          <w:rFonts w:ascii="黑体" w:eastAsia="黑体" w:hAnsi="黑体" w:cs="黑体"/>
          <w:bCs/>
          <w:kern w:val="0"/>
          <w:szCs w:val="21"/>
        </w:rPr>
      </w:pPr>
      <w:r>
        <w:rPr>
          <w:rFonts w:ascii="黑体" w:eastAsia="黑体" w:hAnsi="黑体" w:cs="黑体" w:hint="eastAsia"/>
          <w:bCs/>
          <w:kern w:val="0"/>
          <w:szCs w:val="21"/>
        </w:rPr>
        <w:t>（一</w:t>
      </w:r>
      <w:r>
        <w:rPr>
          <w:rFonts w:ascii="黑体" w:eastAsia="黑体" w:hAnsi="黑体" w:cs="黑体"/>
          <w:bCs/>
          <w:kern w:val="0"/>
          <w:szCs w:val="21"/>
        </w:rPr>
        <w:t>）</w:t>
      </w:r>
      <w:r>
        <w:rPr>
          <w:rFonts w:ascii="黑体" w:eastAsia="黑体" w:hAnsi="黑体" w:cs="黑体" w:hint="eastAsia"/>
          <w:bCs/>
          <w:kern w:val="0"/>
          <w:szCs w:val="21"/>
        </w:rPr>
        <w:t>投资范围</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本产品主要投资于以下符合监管要求的各类资产：</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一是固定收益类资产，包括但不限于各类债券、存款、货币市场工具、质押式和买断式债券回购、公募资产管理产品等；二是权益类资产，本产品权益类资产仅投资于优先股；三是商品及衍生品类资产，本产品仅投资以套期保值或风险对冲为目的的衍生品工具，且投资范围不超过5%。以及通过其他具有专业投资能力和资质的受金融监督管理部门监管的机构发行的资产管理产品所投资的前述资产。</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当金融市场发生重大变化、产品出现较大比例规模变化等情况，导致投资比例非因管理人主观因素导致突破下述限制的，产品管理人将在流动性受限资产可出售、可转让或者恢复交易之日的15个交易日内将投资比例调整至符合要求。产品管理人将本着诚实信用、谨慎勤勉的原则，在规定的范围内运用理财资金进行投资。</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具体投向如下：</w:t>
      </w:r>
    </w:p>
    <w:tbl>
      <w:tblPr>
        <w:tblStyle w:val="TableNormal"/>
        <w:tblW w:w="4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071"/>
        <w:gridCol w:w="2072"/>
      </w:tblGrid>
      <w:tr>
        <w:tblPrEx>
          <w:tblW w:w="4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3550" w:type="pct"/>
          </w:tcPr>
          <w:p>
            <w:pPr>
              <w:ind w:firstLine="420" w:firstLineChars="200"/>
              <w:rPr>
                <w:rFonts w:ascii="黑体" w:eastAsia="黑体" w:hAnsi="黑体"/>
                <w:szCs w:val="21"/>
              </w:rPr>
            </w:pPr>
            <w:r>
              <w:rPr>
                <w:rFonts w:ascii="黑体" w:eastAsia="黑体" w:hAnsi="黑体" w:hint="eastAsia"/>
                <w:szCs w:val="21"/>
              </w:rPr>
              <w:t>投资资产</w:t>
            </w:r>
          </w:p>
        </w:tc>
        <w:tc>
          <w:tcPr>
            <w:tcW w:w="1450" w:type="pct"/>
          </w:tcPr>
          <w:p>
            <w:pPr>
              <w:rPr>
                <w:rFonts w:ascii="黑体" w:eastAsia="黑体" w:hAnsi="黑体"/>
                <w:szCs w:val="21"/>
              </w:rPr>
            </w:pPr>
            <w:r>
              <w:rPr>
                <w:rFonts w:ascii="黑体" w:eastAsia="黑体" w:hAnsi="黑体" w:hint="eastAsia"/>
                <w:szCs w:val="21"/>
              </w:rPr>
              <w:t>计划配置比例</w:t>
            </w:r>
          </w:p>
        </w:tc>
      </w:tr>
      <w:tr>
        <w:tblPrEx>
          <w:tblW w:w="4305" w:type="pct"/>
          <w:jc w:val="center"/>
          <w:tblCellMar>
            <w:top w:w="0" w:type="dxa"/>
            <w:left w:w="108" w:type="dxa"/>
            <w:bottom w:w="0" w:type="dxa"/>
            <w:right w:w="108" w:type="dxa"/>
          </w:tblCellMar>
        </w:tblPrEx>
        <w:trPr>
          <w:jc w:val="center"/>
        </w:trPr>
        <w:tc>
          <w:tcPr>
            <w:tcW w:w="3550" w:type="pct"/>
            <w:tcBorders>
              <w:top w:val="single" w:sz="4" w:space="0" w:color="auto"/>
              <w:left w:val="single" w:sz="4" w:space="0" w:color="auto"/>
              <w:bottom w:val="single" w:sz="4" w:space="0" w:color="auto"/>
              <w:right w:val="single" w:sz="4" w:space="0" w:color="auto"/>
            </w:tcBorders>
            <w:vAlign w:val="bottom"/>
          </w:tcPr>
          <w:p>
            <w:pPr>
              <w:ind w:firstLine="420" w:firstLineChars="200"/>
              <w:rPr>
                <w:rFonts w:ascii="黑体" w:eastAsia="黑体" w:hAnsi="黑体"/>
                <w:szCs w:val="21"/>
              </w:rPr>
            </w:pPr>
            <w:r>
              <w:rPr>
                <w:rFonts w:ascii="黑体" w:eastAsia="黑体" w:hAnsi="黑体" w:hint="eastAsia"/>
                <w:szCs w:val="21"/>
              </w:rPr>
              <w:t>固定收益类资产</w:t>
            </w:r>
          </w:p>
        </w:tc>
        <w:tc>
          <w:tcPr>
            <w:tcW w:w="1450" w:type="pct"/>
            <w:tcBorders>
              <w:top w:val="single" w:sz="4" w:space="0" w:color="auto"/>
              <w:left w:val="single" w:sz="4" w:space="0" w:color="auto"/>
              <w:bottom w:val="single" w:sz="4" w:space="0" w:color="auto"/>
              <w:right w:val="single" w:sz="4" w:space="0" w:color="auto"/>
            </w:tcBorders>
          </w:tcPr>
          <w:p>
            <w:pPr>
              <w:ind w:firstLine="420" w:firstLineChars="200"/>
              <w:rPr>
                <w:rFonts w:ascii="黑体" w:eastAsia="黑体" w:hAnsi="黑体"/>
                <w:szCs w:val="21"/>
              </w:rPr>
            </w:pPr>
            <w:r>
              <w:rPr>
                <w:rFonts w:ascii="黑体" w:eastAsia="黑体" w:hAnsi="黑体"/>
                <w:szCs w:val="21"/>
              </w:rPr>
              <w:t>8</w:t>
            </w:r>
            <w:r>
              <w:rPr>
                <w:rFonts w:ascii="黑体" w:eastAsia="黑体" w:hAnsi="黑体" w:hint="eastAsia"/>
                <w:szCs w:val="21"/>
              </w:rPr>
              <w:t>0</w:t>
            </w:r>
            <w:r>
              <w:rPr>
                <w:rFonts w:ascii="黑体" w:eastAsia="黑体" w:hAnsi="黑体"/>
                <w:szCs w:val="21"/>
              </w:rPr>
              <w:t>%-100%</w:t>
            </w:r>
          </w:p>
        </w:tc>
      </w:tr>
      <w:tr>
        <w:tblPrEx>
          <w:tblW w:w="4305" w:type="pct"/>
          <w:jc w:val="center"/>
          <w:tblCellMar>
            <w:top w:w="0" w:type="dxa"/>
            <w:left w:w="108" w:type="dxa"/>
            <w:bottom w:w="0" w:type="dxa"/>
            <w:right w:w="108" w:type="dxa"/>
          </w:tblCellMar>
        </w:tblPrEx>
        <w:trPr>
          <w:jc w:val="center"/>
        </w:trPr>
        <w:tc>
          <w:tcPr>
            <w:tcW w:w="3550" w:type="pct"/>
            <w:tcBorders>
              <w:top w:val="single" w:sz="4" w:space="0" w:color="auto"/>
              <w:left w:val="single" w:sz="4" w:space="0" w:color="auto"/>
              <w:bottom w:val="single" w:sz="4" w:space="0" w:color="auto"/>
              <w:right w:val="single" w:sz="4" w:space="0" w:color="auto"/>
            </w:tcBorders>
            <w:vAlign w:val="bottom"/>
          </w:tcPr>
          <w:p>
            <w:pPr>
              <w:ind w:firstLine="420" w:firstLineChars="200"/>
              <w:rPr>
                <w:rFonts w:ascii="黑体" w:eastAsia="黑体" w:hAnsi="黑体"/>
                <w:szCs w:val="21"/>
              </w:rPr>
            </w:pPr>
            <w:r>
              <w:rPr>
                <w:rFonts w:ascii="黑体" w:eastAsia="黑体" w:hAnsi="黑体" w:hint="eastAsia"/>
                <w:szCs w:val="21"/>
              </w:rPr>
              <w:t>权益类资产</w:t>
            </w:r>
          </w:p>
        </w:tc>
        <w:tc>
          <w:tcPr>
            <w:tcW w:w="1450" w:type="pct"/>
            <w:tcBorders>
              <w:top w:val="single" w:sz="4" w:space="0" w:color="auto"/>
              <w:left w:val="single" w:sz="4" w:space="0" w:color="auto"/>
              <w:bottom w:val="single" w:sz="4" w:space="0" w:color="auto"/>
              <w:right w:val="single" w:sz="4" w:space="0" w:color="auto"/>
            </w:tcBorders>
          </w:tcPr>
          <w:p>
            <w:pPr>
              <w:ind w:firstLine="420" w:firstLineChars="200"/>
              <w:rPr>
                <w:rFonts w:ascii="黑体" w:eastAsia="黑体" w:hAnsi="黑体"/>
                <w:szCs w:val="21"/>
              </w:rPr>
            </w:pPr>
            <w:r>
              <w:rPr>
                <w:rFonts w:ascii="黑体" w:eastAsia="黑体" w:hAnsi="黑体"/>
                <w:szCs w:val="21"/>
              </w:rPr>
              <w:t>0%-20%</w:t>
            </w:r>
          </w:p>
        </w:tc>
      </w:tr>
      <w:tr>
        <w:tblPrEx>
          <w:tblW w:w="4305" w:type="pct"/>
          <w:jc w:val="center"/>
          <w:tblCellMar>
            <w:top w:w="0" w:type="dxa"/>
            <w:left w:w="108" w:type="dxa"/>
            <w:bottom w:w="0" w:type="dxa"/>
            <w:right w:w="108" w:type="dxa"/>
          </w:tblCellMar>
        </w:tblPrEx>
        <w:trPr>
          <w:jc w:val="center"/>
        </w:trPr>
        <w:tc>
          <w:tcPr>
            <w:tcW w:w="3550" w:type="pct"/>
            <w:tcBorders>
              <w:top w:val="single" w:sz="4" w:space="0" w:color="auto"/>
              <w:left w:val="single" w:sz="4" w:space="0" w:color="auto"/>
              <w:bottom w:val="single" w:sz="4" w:space="0" w:color="auto"/>
              <w:right w:val="single" w:sz="4" w:space="0" w:color="auto"/>
            </w:tcBorders>
            <w:vAlign w:val="bottom"/>
          </w:tcPr>
          <w:p>
            <w:pPr>
              <w:ind w:firstLine="420" w:firstLineChars="200"/>
              <w:rPr>
                <w:rFonts w:ascii="黑体" w:eastAsia="黑体" w:hAnsi="黑体"/>
                <w:szCs w:val="21"/>
              </w:rPr>
            </w:pPr>
            <w:r>
              <w:rPr>
                <w:rFonts w:ascii="黑体" w:eastAsia="黑体" w:hAnsi="黑体" w:hint="eastAsia"/>
                <w:szCs w:val="21"/>
              </w:rPr>
              <w:t>商品及金融衍生品类资产</w:t>
            </w:r>
          </w:p>
        </w:tc>
        <w:tc>
          <w:tcPr>
            <w:tcW w:w="1450" w:type="pct"/>
            <w:tcBorders>
              <w:top w:val="single" w:sz="4" w:space="0" w:color="auto"/>
              <w:left w:val="single" w:sz="4" w:space="0" w:color="auto"/>
              <w:bottom w:val="single" w:sz="4" w:space="0" w:color="auto"/>
              <w:right w:val="single" w:sz="4" w:space="0" w:color="auto"/>
            </w:tcBorders>
          </w:tcPr>
          <w:p>
            <w:pPr>
              <w:ind w:firstLine="420" w:firstLineChars="200"/>
              <w:rPr>
                <w:rFonts w:ascii="黑体" w:eastAsia="黑体" w:hAnsi="黑体"/>
                <w:szCs w:val="21"/>
              </w:rPr>
            </w:pPr>
            <w:r>
              <w:rPr>
                <w:rFonts w:ascii="黑体" w:eastAsia="黑体" w:hAnsi="黑体"/>
                <w:szCs w:val="21"/>
              </w:rPr>
              <w:t>0%-</w:t>
            </w:r>
            <w:r>
              <w:rPr>
                <w:rFonts w:ascii="黑体" w:eastAsia="黑体" w:hAnsi="黑体" w:hint="eastAsia"/>
                <w:szCs w:val="21"/>
              </w:rPr>
              <w:t>5</w:t>
            </w:r>
            <w:r>
              <w:rPr>
                <w:rFonts w:ascii="黑体" w:eastAsia="黑体" w:hAnsi="黑体"/>
                <w:szCs w:val="21"/>
              </w:rPr>
              <w:t>%</w:t>
            </w:r>
          </w:p>
        </w:tc>
      </w:tr>
    </w:tbl>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hint="eastAsia"/>
          <w:szCs w:val="21"/>
        </w:rPr>
        <w:t>本产品可以通过质押式和买断式债券正回购进行融资。</w:t>
      </w:r>
      <w:r>
        <w:rPr>
          <w:rFonts w:ascii="黑体" w:eastAsia="黑体" w:hAnsi="黑体" w:cs="黑体" w:hint="eastAsia"/>
          <w:kern w:val="0"/>
          <w:szCs w:val="21"/>
        </w:rPr>
        <w:t>本产品</w:t>
      </w:r>
      <w:r>
        <w:rPr>
          <w:rFonts w:ascii="黑体" w:eastAsia="黑体" w:hAnsi="黑体" w:cs="黑体"/>
          <w:kern w:val="0"/>
          <w:szCs w:val="21"/>
        </w:rPr>
        <w:t>的</w:t>
      </w:r>
      <w:r>
        <w:rPr>
          <w:rFonts w:ascii="黑体" w:eastAsia="黑体" w:hAnsi="黑体" w:cs="黑体" w:hint="eastAsia"/>
          <w:kern w:val="0"/>
          <w:szCs w:val="21"/>
        </w:rPr>
        <w:t>杠杆率</w:t>
      </w:r>
      <w:r>
        <w:rPr>
          <w:rFonts w:ascii="黑体" w:eastAsia="黑体" w:hAnsi="黑体" w:cs="黑体"/>
          <w:kern w:val="0"/>
          <w:szCs w:val="21"/>
        </w:rPr>
        <w:t>不超过140%</w:t>
      </w:r>
      <w:r>
        <w:rPr>
          <w:rFonts w:ascii="黑体" w:eastAsia="黑体" w:hAnsi="黑体" w:cs="黑体" w:hint="eastAsia"/>
          <w:kern w:val="0"/>
          <w:szCs w:val="21"/>
        </w:rPr>
        <w:t>。</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2、本产品存续期间的投资比例将按上述计划配置比例合理浮动，非因主观因素导致突</w:t>
      </w:r>
      <w:r>
        <w:rPr>
          <w:rFonts w:ascii="黑体" w:eastAsia="黑体" w:hAnsi="黑体" w:cs="黑体" w:hint="eastAsia"/>
          <w:kern w:val="0"/>
          <w:szCs w:val="21"/>
        </w:rPr>
        <w:t>破上述比例限制的，产品管理人将在流动性受限资产可出售、可转让或者恢复交易之日的</w:t>
      </w:r>
      <w:r>
        <w:rPr>
          <w:rFonts w:ascii="黑体" w:eastAsia="黑体" w:hAnsi="黑体" w:cs="黑体"/>
          <w:kern w:val="0"/>
          <w:szCs w:val="21"/>
        </w:rPr>
        <w:t>15个</w:t>
      </w:r>
      <w:r>
        <w:rPr>
          <w:rFonts w:ascii="黑体" w:eastAsia="黑体" w:hAnsi="黑体" w:cs="黑体" w:hint="eastAsia"/>
          <w:kern w:val="0"/>
          <w:szCs w:val="21"/>
        </w:rPr>
        <w:t>交易日内</w:t>
      </w:r>
      <w:r>
        <w:rPr>
          <w:rFonts w:ascii="黑体" w:eastAsia="黑体" w:hAnsi="黑体" w:cs="黑体"/>
          <w:kern w:val="0"/>
          <w:szCs w:val="21"/>
        </w:rPr>
        <w:t>将投资比例调整至符合要求</w:t>
      </w:r>
      <w:r>
        <w:rPr>
          <w:rFonts w:ascii="黑体" w:eastAsia="黑体" w:hAnsi="黑体" w:cs="黑体" w:hint="eastAsia"/>
          <w:kern w:val="0"/>
          <w:szCs w:val="21"/>
        </w:rPr>
        <w:t>，国务院银行业监督管理机构规定的特殊情形除外。</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3、在本产品存续期内，前述投资比例暂时超出浮动区间且可能对产品单位净值产生重大影响的，产品管理人将根据</w:t>
      </w:r>
      <w:r>
        <w:rPr>
          <w:rFonts w:ascii="黑体" w:eastAsia="黑体" w:hAnsi="黑体" w:cs="黑体" w:hint="eastAsia"/>
          <w:kern w:val="0"/>
          <w:szCs w:val="21"/>
        </w:rPr>
        <w:t>理财产品销售文件约定向投资者进行信息披露。</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4、</w:t>
      </w:r>
      <w:r>
        <w:rPr>
          <w:rFonts w:ascii="黑体" w:eastAsia="黑体" w:hAnsi="黑体" w:cs="黑体" w:hint="eastAsia"/>
          <w:b/>
          <w:kern w:val="0"/>
          <w:szCs w:val="21"/>
        </w:rPr>
        <w:t>产品</w:t>
      </w:r>
      <w:r>
        <w:rPr>
          <w:rFonts w:ascii="黑体" w:eastAsia="黑体" w:hAnsi="黑体" w:cs="黑体"/>
          <w:b/>
          <w:kern w:val="0"/>
          <w:szCs w:val="21"/>
        </w:rPr>
        <w:t>管理人</w:t>
      </w:r>
      <w:r>
        <w:rPr>
          <w:rFonts w:ascii="黑体" w:eastAsia="黑体" w:hAnsi="黑体" w:cs="黑体" w:hint="eastAsia"/>
          <w:b/>
          <w:kern w:val="0"/>
          <w:szCs w:val="21"/>
        </w:rPr>
        <w:t>有权对投资范围、投资品种或投资比例进行调整，若发生调整情况，将提前至少</w:t>
      </w:r>
      <w:r>
        <w:rPr>
          <w:rFonts w:ascii="黑体" w:eastAsia="黑体" w:hAnsi="黑体" w:cs="黑体"/>
          <w:b/>
          <w:kern w:val="0"/>
          <w:szCs w:val="21"/>
        </w:rPr>
        <w:t>3个工作日进行相关信息披露。</w:t>
      </w:r>
      <w:r>
        <w:rPr>
          <w:rFonts w:ascii="黑体" w:eastAsia="黑体" w:hAnsi="黑体" w:cs="黑体" w:hint="eastAsia"/>
          <w:b/>
          <w:kern w:val="0"/>
          <w:szCs w:val="21"/>
        </w:rPr>
        <w:t>上述情况下产品</w:t>
      </w:r>
      <w:r>
        <w:rPr>
          <w:rFonts w:ascii="黑体" w:eastAsia="黑体" w:hAnsi="黑体" w:cs="黑体"/>
          <w:b/>
          <w:kern w:val="0"/>
          <w:szCs w:val="21"/>
        </w:rPr>
        <w:t>管理人</w:t>
      </w:r>
      <w:r>
        <w:rPr>
          <w:rFonts w:ascii="黑体" w:eastAsia="黑体" w:hAnsi="黑体" w:cs="黑体" w:hint="eastAsia"/>
          <w:b/>
          <w:kern w:val="0"/>
          <w:szCs w:val="21"/>
        </w:rPr>
        <w:t>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w:t>
      </w:r>
      <w:r>
        <w:rPr>
          <w:rFonts w:ascii="黑体" w:eastAsia="黑体" w:hAnsi="黑体" w:cs="黑体"/>
          <w:b/>
          <w:kern w:val="0"/>
          <w:szCs w:val="21"/>
        </w:rPr>
        <w:t>管理人</w:t>
      </w:r>
      <w:r>
        <w:rPr>
          <w:rFonts w:ascii="黑体" w:eastAsia="黑体" w:hAnsi="黑体" w:cs="黑体" w:hint="eastAsia"/>
          <w:b/>
          <w:kern w:val="0"/>
          <w:szCs w:val="21"/>
        </w:rPr>
        <w:t>将事先取得投资者书面同意。</w:t>
      </w:r>
    </w:p>
    <w:p>
      <w:pPr>
        <w:autoSpaceDE w:val="0"/>
        <w:autoSpaceDN w:val="0"/>
        <w:adjustRightInd w:val="0"/>
        <w:jc w:val="left"/>
        <w:rPr>
          <w:rFonts w:ascii="黑体" w:eastAsia="黑体" w:hAnsi="黑体" w:cs="黑体"/>
          <w:bCs/>
          <w:kern w:val="0"/>
          <w:szCs w:val="21"/>
        </w:rPr>
      </w:pPr>
      <w:r>
        <w:rPr>
          <w:rFonts w:ascii="黑体" w:eastAsia="黑体" w:hAnsi="黑体" w:cs="黑体" w:hint="eastAsia"/>
          <w:bCs/>
          <w:kern w:val="0"/>
          <w:szCs w:val="21"/>
        </w:rPr>
        <w:t>（二</w:t>
      </w:r>
      <w:r>
        <w:rPr>
          <w:rFonts w:ascii="黑体" w:eastAsia="黑体" w:hAnsi="黑体" w:cs="黑体"/>
          <w:bCs/>
          <w:kern w:val="0"/>
          <w:szCs w:val="21"/>
        </w:rPr>
        <w:t>）</w:t>
      </w:r>
      <w:r>
        <w:rPr>
          <w:rFonts w:ascii="黑体" w:eastAsia="黑体" w:hAnsi="黑体" w:cs="黑体" w:hint="eastAsia"/>
          <w:bCs/>
          <w:kern w:val="0"/>
          <w:szCs w:val="21"/>
        </w:rPr>
        <w:t>拟</w:t>
      </w:r>
      <w:r>
        <w:rPr>
          <w:rFonts w:ascii="黑体" w:eastAsia="黑体" w:hAnsi="黑体" w:cs="黑体"/>
          <w:bCs/>
          <w:kern w:val="0"/>
          <w:szCs w:val="21"/>
        </w:rPr>
        <w:t>投资市场</w:t>
      </w:r>
      <w:r>
        <w:rPr>
          <w:rFonts w:ascii="黑体" w:eastAsia="黑体" w:hAnsi="黑体" w:cs="黑体" w:hint="eastAsia"/>
          <w:bCs/>
          <w:kern w:val="0"/>
          <w:szCs w:val="21"/>
        </w:rPr>
        <w:t>和</w:t>
      </w:r>
      <w:r>
        <w:rPr>
          <w:rFonts w:ascii="黑体" w:eastAsia="黑体" w:hAnsi="黑体" w:cs="黑体"/>
          <w:bCs/>
          <w:kern w:val="0"/>
          <w:szCs w:val="21"/>
        </w:rPr>
        <w:t>资产</w:t>
      </w:r>
      <w:r>
        <w:rPr>
          <w:rFonts w:ascii="黑体" w:eastAsia="黑体" w:hAnsi="黑体" w:cs="黑体" w:hint="eastAsia"/>
          <w:bCs/>
          <w:kern w:val="0"/>
          <w:szCs w:val="21"/>
        </w:rPr>
        <w:t>的</w:t>
      </w:r>
      <w:r>
        <w:rPr>
          <w:rFonts w:ascii="黑体" w:eastAsia="黑体" w:hAnsi="黑体" w:cs="黑体"/>
          <w:bCs/>
          <w:kern w:val="0"/>
          <w:szCs w:val="21"/>
        </w:rPr>
        <w:t>风险评估</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产品拟</w:t>
      </w:r>
      <w:r>
        <w:rPr>
          <w:rFonts w:ascii="黑体" w:eastAsia="黑体" w:hAnsi="黑体" w:cs="黑体"/>
          <w:kern w:val="0"/>
          <w:szCs w:val="21"/>
        </w:rPr>
        <w:t>投资</w:t>
      </w:r>
      <w:r>
        <w:rPr>
          <w:rFonts w:ascii="黑体" w:eastAsia="黑体" w:hAnsi="黑体" w:cs="黑体" w:hint="eastAsia"/>
          <w:kern w:val="0"/>
          <w:szCs w:val="21"/>
        </w:rPr>
        <w:t>资产</w:t>
      </w:r>
      <w:r>
        <w:rPr>
          <w:rFonts w:ascii="黑体" w:eastAsia="黑体" w:hAnsi="黑体" w:cs="黑体"/>
          <w:kern w:val="0"/>
          <w:szCs w:val="21"/>
        </w:rPr>
        <w:t>类型</w:t>
      </w:r>
      <w:r>
        <w:rPr>
          <w:rFonts w:ascii="黑体" w:eastAsia="黑体" w:hAnsi="黑体" w:cs="黑体" w:hint="eastAsia"/>
          <w:kern w:val="0"/>
          <w:szCs w:val="21"/>
        </w:rPr>
        <w:t>以</w:t>
      </w:r>
      <w:r>
        <w:rPr>
          <w:rFonts w:ascii="黑体" w:eastAsia="黑体" w:hAnsi="黑体" w:cs="黑体"/>
          <w:kern w:val="0"/>
          <w:szCs w:val="21"/>
        </w:rPr>
        <w:t>本说明</w:t>
      </w:r>
      <w:r>
        <w:rPr>
          <w:rFonts w:ascii="黑体" w:eastAsia="黑体" w:hAnsi="黑体" w:cs="黑体" w:hint="eastAsia"/>
          <w:kern w:val="0"/>
          <w:szCs w:val="21"/>
        </w:rPr>
        <w:t>书</w:t>
      </w:r>
      <w:r>
        <w:rPr>
          <w:rFonts w:ascii="黑体" w:eastAsia="黑体" w:hAnsi="黑体" w:cs="黑体"/>
          <w:kern w:val="0"/>
          <w:szCs w:val="21"/>
        </w:rPr>
        <w:t>第</w:t>
      </w:r>
      <w:r>
        <w:rPr>
          <w:rFonts w:ascii="黑体" w:eastAsia="黑体" w:hAnsi="黑体" w:cs="黑体" w:hint="eastAsia"/>
          <w:kern w:val="0"/>
          <w:szCs w:val="21"/>
        </w:rPr>
        <w:t>三（一）</w:t>
      </w:r>
      <w:r>
        <w:rPr>
          <w:rFonts w:ascii="黑体" w:eastAsia="黑体" w:hAnsi="黑体" w:cs="黑体"/>
          <w:kern w:val="0"/>
          <w:szCs w:val="21"/>
        </w:rPr>
        <w:t>条</w:t>
      </w:r>
      <w:r>
        <w:rPr>
          <w:rFonts w:ascii="黑体" w:eastAsia="黑体" w:hAnsi="黑体" w:cs="黑体" w:hint="eastAsia"/>
          <w:kern w:val="0"/>
          <w:szCs w:val="21"/>
        </w:rPr>
        <w:t>载明</w:t>
      </w:r>
      <w:r>
        <w:rPr>
          <w:rFonts w:ascii="黑体" w:eastAsia="黑体" w:hAnsi="黑体" w:cs="黑体"/>
          <w:kern w:val="0"/>
          <w:szCs w:val="21"/>
        </w:rPr>
        <w:t>为准。</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投资于上述</w:t>
      </w:r>
      <w:r>
        <w:rPr>
          <w:rFonts w:ascii="黑体" w:eastAsia="黑体" w:hAnsi="黑体" w:cs="黑体"/>
          <w:b/>
          <w:kern w:val="0"/>
          <w:szCs w:val="21"/>
        </w:rPr>
        <w:t>市场和资产</w:t>
      </w:r>
      <w:r>
        <w:rPr>
          <w:rFonts w:ascii="黑体" w:eastAsia="黑体" w:hAnsi="黑体" w:cs="黑体" w:hint="eastAsia"/>
          <w:b/>
          <w:kern w:val="0"/>
          <w:szCs w:val="21"/>
        </w:rPr>
        <w:t>，可能</w:t>
      </w:r>
      <w:r>
        <w:rPr>
          <w:rFonts w:ascii="黑体" w:eastAsia="黑体" w:hAnsi="黑体" w:cs="黑体"/>
          <w:b/>
          <w:kern w:val="0"/>
          <w:szCs w:val="21"/>
        </w:rPr>
        <w:t>面临</w:t>
      </w:r>
      <w:r>
        <w:rPr>
          <w:rFonts w:ascii="黑体" w:eastAsia="黑体" w:hAnsi="黑体" w:cs="黑体" w:hint="eastAsia"/>
          <w:b/>
          <w:kern w:val="0"/>
          <w:szCs w:val="21"/>
        </w:rPr>
        <w:t>包括但不限于</w:t>
      </w:r>
      <w:r>
        <w:rPr>
          <w:rFonts w:ascii="黑体" w:eastAsia="黑体" w:hAnsi="黑体" w:cs="黑体"/>
          <w:b/>
          <w:kern w:val="0"/>
          <w:szCs w:val="21"/>
        </w:rPr>
        <w:t>如下风险：</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政策风险</w:t>
      </w:r>
      <w:r>
        <w:rPr>
          <w:rFonts w:ascii="黑体" w:eastAsia="黑体" w:hAnsi="黑体" w:cs="黑体"/>
          <w:b/>
          <w:kern w:val="0"/>
          <w:szCs w:val="21"/>
        </w:rPr>
        <w:t>：</w:t>
      </w:r>
      <w:r>
        <w:rPr>
          <w:rFonts w:ascii="黑体" w:eastAsia="黑体" w:hAnsi="黑体" w:cs="黑体" w:hint="eastAsia"/>
          <w:b/>
          <w:kern w:val="0"/>
          <w:szCs w:val="21"/>
        </w:rPr>
        <w:t>理财产品在运作过程中，由于国家宏观政策以及市场相关法律法规、监管规定发生变化，导致产品的发行、投资、兑付等流程受到影响，进而影响产品的投资运作和收益的风险。</w:t>
      </w:r>
    </w:p>
    <w:p>
      <w:pPr>
        <w:autoSpaceDE w:val="0"/>
        <w:autoSpaceDN w:val="0"/>
        <w:adjustRightInd w:val="0"/>
        <w:ind w:firstLine="420" w:firstLineChars="200"/>
        <w:jc w:val="left"/>
        <w:rPr>
          <w:rFonts w:ascii="黑体" w:eastAsia="黑体" w:hAnsi="黑体" w:cs="黑体"/>
          <w:b/>
          <w:kern w:val="0"/>
          <w:szCs w:val="21"/>
        </w:rPr>
      </w:pPr>
      <w:bookmarkStart w:id="13" w:name="_Hlk81141915"/>
      <w:r>
        <w:rPr>
          <w:rFonts w:ascii="黑体" w:eastAsia="黑体" w:hAnsi="黑体" w:cs="宋体" w:hint="eastAsia"/>
          <w:b/>
          <w:kern w:val="0"/>
          <w:szCs w:val="21"/>
        </w:rPr>
        <w:t>市场风险：</w:t>
      </w:r>
      <w:r>
        <w:rPr>
          <w:rFonts w:ascii="黑体" w:eastAsia="黑体" w:hAnsi="黑体" w:cs="黑体" w:hint="eastAsia"/>
          <w:b/>
          <w:kern w:val="0"/>
          <w:szCs w:val="21"/>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bookmarkEnd w:id="13"/>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信用风险：理财产品所投资产的相关债务人或关联责任人（包括但不限于担保人）等信用状况恶化、不能如期履约的风险。</w:t>
      </w:r>
    </w:p>
    <w:p>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hint="eastAsia"/>
          <w:b/>
          <w:kern w:val="0"/>
          <w:szCs w:val="21"/>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宋体" w:hint="eastAsia"/>
          <w:b/>
          <w:kern w:val="0"/>
          <w:szCs w:val="21"/>
        </w:rPr>
        <w:t>提前终止风险：</w:t>
      </w:r>
      <w:r>
        <w:rPr>
          <w:rFonts w:ascii="黑体" w:eastAsia="黑体" w:hAnsi="黑体" w:cs="黑体" w:hint="eastAsia"/>
          <w:b/>
          <w:kern w:val="0"/>
          <w:szCs w:val="21"/>
        </w:rPr>
        <w:t>在本产品存续期内，如遇包括但不限于国家金融政策发生重大调整、金融市场发生重大波动、</w:t>
      </w:r>
      <w:r>
        <w:rPr>
          <w:rFonts w:ascii="黑体" w:eastAsia="黑体" w:hAnsi="黑体" w:cs="黑体"/>
          <w:b/>
          <w:kern w:val="0"/>
          <w:szCs w:val="21"/>
        </w:rPr>
        <w:t>不可抗力</w:t>
      </w:r>
      <w:r>
        <w:rPr>
          <w:rFonts w:ascii="黑体" w:eastAsia="黑体" w:hAnsi="黑体" w:cs="黑体" w:hint="eastAsia"/>
          <w:b/>
          <w:kern w:val="0"/>
          <w:szCs w:val="21"/>
        </w:rPr>
        <w:t>、产品存续规模低于产品最低成立规模或产品管理人认为影响产品运作需要提前终止产品的其他情况，产品管理人有权提前终止产品，并至少于提前终止日前</w:t>
      </w:r>
      <w:r>
        <w:rPr>
          <w:rFonts w:ascii="黑体" w:eastAsia="黑体" w:hAnsi="黑体" w:cs="黑体"/>
          <w:b/>
          <w:kern w:val="0"/>
          <w:szCs w:val="21"/>
        </w:rPr>
        <w:t>3个工作日进行公告，相关兑付安排规则</w:t>
      </w:r>
      <w:r>
        <w:rPr>
          <w:rFonts w:ascii="黑体" w:eastAsia="黑体" w:hAnsi="黑体" w:cs="黑体" w:hint="eastAsia"/>
          <w:b/>
          <w:kern w:val="0"/>
          <w:szCs w:val="21"/>
        </w:rPr>
        <w:t>将在</w:t>
      </w:r>
      <w:r>
        <w:rPr>
          <w:rFonts w:ascii="黑体" w:eastAsia="黑体" w:hAnsi="黑体" w:cs="黑体"/>
          <w:b/>
          <w:kern w:val="0"/>
          <w:szCs w:val="21"/>
        </w:rPr>
        <w:t>公告</w:t>
      </w:r>
      <w:r>
        <w:rPr>
          <w:rFonts w:ascii="黑体" w:eastAsia="黑体" w:hAnsi="黑体" w:cs="黑体" w:hint="eastAsia"/>
          <w:b/>
          <w:kern w:val="0"/>
          <w:szCs w:val="21"/>
        </w:rPr>
        <w:t>中</w:t>
      </w:r>
      <w:r>
        <w:rPr>
          <w:rFonts w:ascii="黑体" w:eastAsia="黑体" w:hAnsi="黑体" w:cs="黑体"/>
          <w:b/>
          <w:kern w:val="0"/>
          <w:szCs w:val="21"/>
        </w:rPr>
        <w:t>披露。</w:t>
      </w:r>
      <w:r>
        <w:rPr>
          <w:rFonts w:ascii="黑体" w:eastAsia="黑体" w:hAnsi="黑体" w:cs="黑体" w:hint="eastAsia"/>
          <w:b/>
          <w:kern w:val="0"/>
          <w:szCs w:val="21"/>
        </w:rPr>
        <w:t>（具体信息及相关规则见七、理财产品到期与终止。）</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b/>
          <w:kern w:val="0"/>
          <w:szCs w:val="21"/>
        </w:rPr>
        <w:t>以上风险仅为列举性质，详见产品风险揭示书。</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2、综合考虑本产品的投资组合、同类产品过往业绩和风险水平（包括但不限于拟投资市场和资产的风险评估等）等因素，</w:t>
      </w:r>
      <w:r>
        <w:rPr>
          <w:rFonts w:ascii="黑体" w:eastAsia="黑体" w:hAnsi="黑体" w:cs="黑体"/>
          <w:b/>
          <w:kern w:val="0"/>
          <w:szCs w:val="21"/>
        </w:rPr>
        <w:t>本产品评级为PR2风险</w:t>
      </w:r>
      <w:r>
        <w:rPr>
          <w:rFonts w:ascii="黑体" w:eastAsia="黑体" w:hAnsi="黑体" w:cs="黑体"/>
          <w:kern w:val="0"/>
          <w:szCs w:val="21"/>
        </w:rPr>
        <w:t>（本评级为公司内部评级，仅供参考</w:t>
      </w:r>
      <w:r>
        <w:rPr>
          <w:rFonts w:ascii="黑体" w:eastAsia="黑体" w:hAnsi="黑体" w:cs="黑体" w:hint="eastAsia"/>
          <w:kern w:val="0"/>
          <w:szCs w:val="21"/>
        </w:rPr>
        <w:t>，该产品通过代理销售机构渠道销售的，理财产品评级应当以代理销售机构最终披露的评级结果为准）。</w:t>
      </w:r>
    </w:p>
    <w:p>
      <w:pPr>
        <w:autoSpaceDE w:val="0"/>
        <w:autoSpaceDN w:val="0"/>
        <w:adjustRightInd w:val="0"/>
        <w:ind w:firstLine="420" w:firstLineChars="200"/>
        <w:jc w:val="left"/>
        <w:rPr>
          <w:rFonts w:ascii="黑体" w:eastAsia="黑体" w:hAnsi="黑体" w:cs="黑体"/>
          <w:kern w:val="0"/>
          <w:szCs w:val="21"/>
        </w:rPr>
      </w:pP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四、产品交易相关规则</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（一）认购和</w:t>
      </w:r>
      <w:r>
        <w:rPr>
          <w:rFonts w:ascii="黑体" w:eastAsia="黑体" w:hAnsi="黑体" w:cs="宋体"/>
          <w:kern w:val="0"/>
          <w:szCs w:val="21"/>
        </w:rPr>
        <w:t>申购</w:t>
      </w:r>
      <w:r>
        <w:rPr>
          <w:rFonts w:ascii="黑体" w:eastAsia="黑体" w:hAnsi="黑体" w:cs="宋体" w:hint="eastAsia"/>
          <w:kern w:val="0"/>
          <w:szCs w:val="21"/>
        </w:rPr>
        <w:t>相关规则</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kern w:val="0"/>
          <w:szCs w:val="21"/>
        </w:rPr>
        <w:t>1</w:t>
      </w:r>
      <w:r>
        <w:rPr>
          <w:rFonts w:ascii="黑体" w:eastAsia="黑体" w:hAnsi="黑体" w:cs="黑体" w:hint="eastAsia"/>
          <w:kern w:val="0"/>
          <w:szCs w:val="21"/>
        </w:rPr>
        <w:t>、产品募集期内，投资者可以</w:t>
      </w:r>
      <w:r>
        <w:rPr>
          <w:rFonts w:ascii="黑体" w:eastAsia="黑体" w:hAnsi="黑体" w:cs="黑体"/>
          <w:kern w:val="0"/>
          <w:szCs w:val="21"/>
        </w:rPr>
        <w:t>对本产品进行认购、追加</w:t>
      </w:r>
      <w:r>
        <w:rPr>
          <w:rFonts w:ascii="黑体" w:eastAsia="黑体" w:hAnsi="黑体" w:cs="黑体" w:hint="eastAsia"/>
          <w:kern w:val="0"/>
          <w:szCs w:val="21"/>
        </w:rPr>
        <w:t>、</w:t>
      </w:r>
      <w:r>
        <w:rPr>
          <w:rFonts w:ascii="黑体" w:eastAsia="黑体" w:hAnsi="黑体" w:cs="黑体"/>
          <w:kern w:val="0"/>
          <w:szCs w:val="21"/>
        </w:rPr>
        <w:t>撤单</w:t>
      </w:r>
      <w:r>
        <w:rPr>
          <w:rFonts w:ascii="黑体" w:eastAsia="黑体" w:hAnsi="黑体" w:cs="黑体" w:hint="eastAsia"/>
          <w:kern w:val="0"/>
          <w:szCs w:val="21"/>
        </w:rPr>
        <w:t>，销售机构有权在投资者指定账户中对相应资金进行冻结或通过相关支付渠道</w:t>
      </w:r>
      <w:r>
        <w:rPr>
          <w:rFonts w:ascii="黑体" w:eastAsia="黑体" w:hAnsi="黑体" w:cs="黑体"/>
          <w:kern w:val="0"/>
          <w:szCs w:val="21"/>
        </w:rPr>
        <w:t>(</w:t>
      </w:r>
      <w:r>
        <w:rPr>
          <w:rFonts w:ascii="黑体" w:eastAsia="黑体" w:hAnsi="黑体" w:cs="黑体" w:hint="eastAsia"/>
          <w:kern w:val="0"/>
          <w:szCs w:val="21"/>
        </w:rPr>
        <w:t>如有</w:t>
      </w:r>
      <w:r>
        <w:rPr>
          <w:rFonts w:ascii="黑体" w:eastAsia="黑体" w:hAnsi="黑体" w:cs="黑体"/>
          <w:kern w:val="0"/>
          <w:szCs w:val="21"/>
        </w:rPr>
        <w:t>)划转，具体以销售机构实际</w:t>
      </w:r>
      <w:r>
        <w:rPr>
          <w:rFonts w:ascii="黑体" w:eastAsia="黑体" w:hAnsi="黑体" w:cs="黑体" w:hint="eastAsia"/>
          <w:kern w:val="0"/>
          <w:szCs w:val="21"/>
        </w:rPr>
        <w:t>处理为准，产品</w:t>
      </w:r>
      <w:r>
        <w:rPr>
          <w:rFonts w:ascii="黑体" w:eastAsia="黑体" w:hAnsi="黑体" w:cs="黑体"/>
          <w:kern w:val="0"/>
          <w:szCs w:val="21"/>
        </w:rPr>
        <w:t>管理人将在</w:t>
      </w:r>
      <w:r>
        <w:rPr>
          <w:rFonts w:ascii="黑体" w:eastAsia="黑体" w:hAnsi="黑体" w:cs="黑体" w:hint="eastAsia"/>
          <w:kern w:val="0"/>
          <w:szCs w:val="21"/>
        </w:rPr>
        <w:t>产品成立日</w:t>
      </w:r>
      <w:r>
        <w:rPr>
          <w:rFonts w:ascii="黑体" w:eastAsia="黑体" w:hAnsi="黑体" w:cs="黑体"/>
          <w:kern w:val="0"/>
          <w:szCs w:val="21"/>
        </w:rPr>
        <w:t>对</w:t>
      </w:r>
      <w:r>
        <w:rPr>
          <w:rFonts w:ascii="黑体" w:eastAsia="黑体" w:hAnsi="黑体" w:cs="黑体" w:hint="eastAsia"/>
          <w:kern w:val="0"/>
          <w:szCs w:val="21"/>
        </w:rPr>
        <w:t>募集期</w:t>
      </w:r>
      <w:r>
        <w:rPr>
          <w:rFonts w:ascii="黑体" w:eastAsia="黑体" w:hAnsi="黑体" w:cs="黑体"/>
          <w:kern w:val="0"/>
          <w:szCs w:val="21"/>
        </w:rPr>
        <w:t>的认购</w:t>
      </w:r>
      <w:r>
        <w:rPr>
          <w:rFonts w:ascii="黑体" w:eastAsia="黑体" w:hAnsi="黑体" w:cs="黑体" w:hint="eastAsia"/>
          <w:kern w:val="0"/>
          <w:szCs w:val="21"/>
        </w:rPr>
        <w:t>及</w:t>
      </w:r>
      <w:r>
        <w:rPr>
          <w:rFonts w:ascii="黑体" w:eastAsia="黑体" w:hAnsi="黑体" w:cs="黑体"/>
          <w:kern w:val="0"/>
          <w:szCs w:val="21"/>
        </w:rPr>
        <w:t>追加</w:t>
      </w:r>
      <w:r>
        <w:rPr>
          <w:rFonts w:ascii="黑体" w:eastAsia="黑体" w:hAnsi="黑体" w:cs="黑体" w:hint="eastAsia"/>
          <w:kern w:val="0"/>
          <w:szCs w:val="21"/>
        </w:rPr>
        <w:t>申请进行</w:t>
      </w:r>
      <w:bookmarkStart w:id="14" w:name="_Hlk33019208"/>
      <w:r>
        <w:rPr>
          <w:rFonts w:ascii="黑体" w:eastAsia="黑体" w:hAnsi="黑体" w:cs="黑体" w:hint="eastAsia"/>
          <w:kern w:val="0"/>
          <w:szCs w:val="21"/>
        </w:rPr>
        <w:t>确认和划款</w:t>
      </w:r>
      <w:bookmarkEnd w:id="14"/>
      <w:r>
        <w:rPr>
          <w:rFonts w:ascii="黑体" w:eastAsia="黑体" w:hAnsi="黑体" w:cs="黑体" w:hint="eastAsia"/>
          <w:kern w:val="0"/>
          <w:szCs w:val="21"/>
        </w:rPr>
        <w:t>。</w:t>
      </w:r>
      <w:r>
        <w:rPr>
          <w:rFonts w:ascii="黑体" w:eastAsia="黑体" w:hAnsi="黑体" w:cs="黑体" w:hint="eastAsia"/>
          <w:b/>
          <w:kern w:val="0"/>
          <w:szCs w:val="21"/>
        </w:rPr>
        <w:t>募集期内管理人不向投资者认购款项计付利息，销售机构是否计付利息以销售机构为准。</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产品募集期单位净值为</w:t>
      </w:r>
      <w:r>
        <w:rPr>
          <w:rFonts w:ascii="黑体" w:eastAsia="黑体" w:hAnsi="黑体" w:cs="黑体"/>
          <w:b/>
          <w:kern w:val="0"/>
          <w:szCs w:val="21"/>
        </w:rPr>
        <w:t>1元，募集期认购价格采用募集期单位净值。</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产品存续期间，</w:t>
      </w:r>
      <w:r>
        <w:rPr>
          <w:rFonts w:ascii="黑体" w:eastAsia="黑体" w:hAnsi="黑体" w:cs="黑体" w:hint="eastAsia"/>
          <w:color w:val="000000" w:themeColor="text1"/>
          <w:kern w:val="0"/>
          <w:szCs w:val="21"/>
          <w14:textFill>
            <w14:solidFill>
              <w14:schemeClr w14:val="tx1"/>
            </w14:solidFill>
          </w14:textFill>
        </w:rPr>
        <w:t>投资者可以对</w:t>
      </w:r>
      <w:r>
        <w:rPr>
          <w:rFonts w:ascii="黑体" w:eastAsia="黑体" w:hAnsi="黑体" w:cs="黑体" w:hint="eastAsia"/>
          <w:kern w:val="0"/>
          <w:szCs w:val="21"/>
        </w:rPr>
        <w:t>本产品</w:t>
      </w:r>
      <w:r>
        <w:rPr>
          <w:rFonts w:ascii="黑体" w:eastAsia="黑体" w:hAnsi="黑体" w:cs="黑体"/>
          <w:kern w:val="0"/>
          <w:szCs w:val="21"/>
        </w:rPr>
        <w:t>进行申购、追加、撤单</w:t>
      </w:r>
      <w:r>
        <w:rPr>
          <w:rFonts w:ascii="黑体" w:eastAsia="黑体" w:hAnsi="黑体" w:cs="黑体" w:hint="eastAsia"/>
          <w:kern w:val="0"/>
          <w:szCs w:val="21"/>
        </w:rPr>
        <w:t>，销售机构有权在投资者指定账户中对相应资金进行冻结或通过相关支付渠道</w:t>
      </w:r>
      <w:r>
        <w:rPr>
          <w:rFonts w:ascii="黑体" w:eastAsia="黑体" w:hAnsi="黑体" w:cs="黑体"/>
          <w:kern w:val="0"/>
          <w:szCs w:val="21"/>
        </w:rPr>
        <w:t>(如有)划转，具体以销售机构实际处理为准，产品管理人将在申购受理日对上述申购及追加申请进行处理，投资者实际申购、追加申购金额以产品管理人确认的金额为准，投资者的申购、追加申购金额将于申购确认日内划款。产品申购交易时间规则如下：</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765"/>
        <w:gridCol w:w="2765"/>
        <w:gridCol w:w="276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765" w:type="dxa"/>
            <w:vAlign w:val="center"/>
          </w:tcPr>
          <w:p>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申购发起时间</w:t>
            </w:r>
          </w:p>
        </w:tc>
        <w:tc>
          <w:tcPr>
            <w:tcW w:w="2765" w:type="dxa"/>
            <w:vAlign w:val="center"/>
          </w:tcPr>
          <w:p>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申购受理日</w:t>
            </w:r>
          </w:p>
        </w:tc>
        <w:tc>
          <w:tcPr>
            <w:tcW w:w="2766" w:type="dxa"/>
            <w:vAlign w:val="center"/>
          </w:tcPr>
          <w:p>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申购确认日</w:t>
            </w:r>
          </w:p>
        </w:tc>
      </w:tr>
      <w:tr>
        <w:tblPrEx>
          <w:tblW w:w="0" w:type="auto"/>
          <w:tblInd w:w="0" w:type="dxa"/>
          <w:tblCellMar>
            <w:top w:w="0" w:type="dxa"/>
            <w:left w:w="108" w:type="dxa"/>
            <w:bottom w:w="0" w:type="dxa"/>
            <w:right w:w="108" w:type="dxa"/>
          </w:tblCellMar>
        </w:tblPrEx>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每个工作日</w:t>
            </w:r>
            <w:r>
              <w:rPr>
                <w:rFonts w:ascii="黑体" w:eastAsia="黑体" w:hAnsi="黑体" w:cs="黑体"/>
                <w:kern w:val="0"/>
                <w:szCs w:val="21"/>
              </w:rPr>
              <w:t>0:00-16:00</w:t>
            </w:r>
          </w:p>
        </w:tc>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发起当日</w:t>
            </w:r>
          </w:p>
        </w:tc>
        <w:tc>
          <w:tcPr>
            <w:tcW w:w="2766"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r>
        <w:tblPrEx>
          <w:tblW w:w="0" w:type="auto"/>
          <w:tblInd w:w="0" w:type="dxa"/>
          <w:tblCellMar>
            <w:top w:w="0" w:type="dxa"/>
            <w:left w:w="108" w:type="dxa"/>
            <w:bottom w:w="0" w:type="dxa"/>
            <w:right w:w="108" w:type="dxa"/>
          </w:tblCellMar>
        </w:tblPrEx>
        <w:trPr>
          <w:trHeight w:val="187"/>
        </w:trPr>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每个工作日</w:t>
            </w:r>
            <w:r>
              <w:rPr>
                <w:rFonts w:ascii="黑体" w:eastAsia="黑体" w:hAnsi="黑体" w:cs="黑体"/>
                <w:kern w:val="0"/>
                <w:szCs w:val="21"/>
              </w:rPr>
              <w:t>16:00-24:00</w:t>
            </w:r>
          </w:p>
        </w:tc>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发起日下一工作日</w:t>
            </w:r>
          </w:p>
        </w:tc>
        <w:tc>
          <w:tcPr>
            <w:tcW w:w="2766"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r>
        <w:tblPrEx>
          <w:tblW w:w="0" w:type="auto"/>
          <w:tblInd w:w="0" w:type="dxa"/>
          <w:tblCellMar>
            <w:top w:w="0" w:type="dxa"/>
            <w:left w:w="108" w:type="dxa"/>
            <w:bottom w:w="0" w:type="dxa"/>
            <w:right w:w="108" w:type="dxa"/>
          </w:tblCellMar>
        </w:tblPrEx>
        <w:trPr>
          <w:trHeight w:val="187"/>
        </w:trPr>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非工作日</w:t>
            </w:r>
            <w:r>
              <w:rPr>
                <w:rFonts w:ascii="黑体" w:eastAsia="黑体" w:hAnsi="黑体" w:cs="黑体"/>
                <w:kern w:val="0"/>
                <w:szCs w:val="21"/>
              </w:rPr>
              <w:t>0:00-24:00</w:t>
            </w:r>
          </w:p>
        </w:tc>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发起日下一工作日</w:t>
            </w:r>
          </w:p>
        </w:tc>
        <w:tc>
          <w:tcPr>
            <w:tcW w:w="2766"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bl>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b/>
          <w:kern w:val="0"/>
          <w:szCs w:val="21"/>
        </w:rPr>
        <w:t>具体申购确认时间以销售机构展示为准。</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申购</w:t>
      </w:r>
      <w:r>
        <w:rPr>
          <w:rFonts w:ascii="黑体" w:eastAsia="黑体" w:hAnsi="黑体" w:cs="黑体"/>
          <w:b/>
          <w:kern w:val="0"/>
          <w:szCs w:val="21"/>
        </w:rPr>
        <w:t>、追加</w:t>
      </w:r>
      <w:r>
        <w:rPr>
          <w:rFonts w:ascii="黑体" w:eastAsia="黑体" w:hAnsi="黑体" w:cs="黑体" w:hint="eastAsia"/>
          <w:b/>
          <w:kern w:val="0"/>
          <w:szCs w:val="21"/>
        </w:rPr>
        <w:t>的价格采用申购受理日的产品净值。</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、产品采用金额认（申）购规则</w:t>
      </w:r>
      <w:r>
        <w:rPr>
          <w:rFonts w:ascii="黑体" w:eastAsia="黑体" w:hAnsi="黑体" w:cs="黑体"/>
          <w:kern w:val="0"/>
          <w:szCs w:val="21"/>
        </w:rPr>
        <w:t>，</w:t>
      </w:r>
      <w:r>
        <w:rPr>
          <w:rFonts w:ascii="黑体" w:eastAsia="黑体" w:hAnsi="黑体" w:cs="黑体" w:hint="eastAsia"/>
          <w:kern w:val="0"/>
          <w:szCs w:val="21"/>
        </w:rPr>
        <w:t>即认（申）购以金额确定投资者</w:t>
      </w:r>
      <w:r>
        <w:rPr>
          <w:rFonts w:ascii="黑体" w:eastAsia="黑体" w:hAnsi="黑体" w:cs="黑体"/>
          <w:kern w:val="0"/>
          <w:szCs w:val="21"/>
        </w:rPr>
        <w:t>对应的</w:t>
      </w:r>
      <w:r>
        <w:rPr>
          <w:rFonts w:ascii="黑体" w:eastAsia="黑体" w:hAnsi="黑体" w:cs="黑体" w:hint="eastAsia"/>
          <w:kern w:val="0"/>
          <w:szCs w:val="21"/>
        </w:rPr>
        <w:t>产品份额</w:t>
      </w:r>
      <w:r>
        <w:rPr>
          <w:rFonts w:ascii="黑体" w:eastAsia="黑体" w:hAnsi="黑体" w:cs="黑体"/>
          <w:kern w:val="0"/>
          <w:szCs w:val="21"/>
        </w:rPr>
        <w:t>。</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4</w:t>
      </w:r>
      <w:r>
        <w:rPr>
          <w:rFonts w:ascii="黑体" w:eastAsia="黑体" w:hAnsi="黑体" w:cs="黑体" w:hint="eastAsia"/>
          <w:b/>
          <w:kern w:val="0"/>
          <w:szCs w:val="21"/>
        </w:rPr>
        <w:t>、产品募集期</w:t>
      </w:r>
      <w:r>
        <w:rPr>
          <w:rFonts w:ascii="黑体" w:eastAsia="黑体" w:hAnsi="黑体" w:cs="黑体"/>
          <w:b/>
          <w:kern w:val="0"/>
          <w:szCs w:val="21"/>
        </w:rPr>
        <w:t>及</w:t>
      </w:r>
      <w:r>
        <w:rPr>
          <w:rFonts w:ascii="黑体" w:eastAsia="黑体" w:hAnsi="黑体" w:cs="黑体" w:hint="eastAsia"/>
          <w:b/>
          <w:kern w:val="0"/>
          <w:szCs w:val="21"/>
        </w:rPr>
        <w:t>存续期内，若出现以下情况，产品</w:t>
      </w:r>
      <w:r>
        <w:rPr>
          <w:rFonts w:ascii="黑体" w:eastAsia="黑体" w:hAnsi="黑体" w:cs="黑体"/>
          <w:b/>
          <w:kern w:val="0"/>
          <w:szCs w:val="21"/>
        </w:rPr>
        <w:t>管理人</w:t>
      </w:r>
      <w:r>
        <w:rPr>
          <w:rFonts w:ascii="黑体" w:eastAsia="黑体" w:hAnsi="黑体" w:cs="黑体" w:hint="eastAsia"/>
          <w:b/>
          <w:kern w:val="0"/>
          <w:szCs w:val="21"/>
        </w:rPr>
        <w:t>有权拒绝或暂停接受投资者的认（申）购或追加认（申）购申请：</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1）因不可抗力导致</w:t>
      </w:r>
      <w:r>
        <w:rPr>
          <w:rFonts w:ascii="黑体" w:eastAsia="黑体" w:hAnsi="黑体" w:cs="黑体" w:hint="eastAsia"/>
          <w:kern w:val="0"/>
          <w:szCs w:val="21"/>
        </w:rPr>
        <w:t>产品管理机构无法接受投资者认（申）购或追加认（申）购申请；</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2）继续接受认（申）购申请可能对产品存量投资者利益构成重大不利影响；</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3</w:t>
      </w:r>
      <w:r>
        <w:rPr>
          <w:rFonts w:ascii="黑体" w:eastAsia="黑体" w:hAnsi="黑体" w:cs="黑体" w:hint="eastAsia"/>
          <w:kern w:val="0"/>
          <w:szCs w:val="21"/>
        </w:rPr>
        <w:t>）法律、法规或相关监管认定的其他情形，以及本说明书约定的其他情形。</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5、其他</w:t>
      </w:r>
      <w:r>
        <w:rPr>
          <w:rFonts w:ascii="黑体" w:eastAsia="黑体" w:hAnsi="黑体" w:cs="黑体" w:hint="eastAsia"/>
          <w:kern w:val="0"/>
          <w:szCs w:val="21"/>
        </w:rPr>
        <w:t>：无</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（二）赎回相关规则</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w:t>
      </w:r>
      <w:r>
        <w:rPr>
          <w:rFonts w:ascii="黑体" w:hAnsi="黑体" w:hint="eastAsia"/>
          <w:kern w:val="0"/>
        </w:rPr>
        <w:t>产品</w:t>
      </w:r>
      <w:r>
        <w:rPr>
          <w:rFonts w:ascii="黑体" w:eastAsia="黑体" w:hAnsi="黑体" w:cs="黑体" w:hint="eastAsia"/>
          <w:kern w:val="0"/>
          <w:szCs w:val="21"/>
        </w:rPr>
        <w:t>存续期间，投资者可以对满足最短持有期限要求的本产品份额进行</w:t>
      </w:r>
      <w:r>
        <w:rPr>
          <w:rFonts w:ascii="黑体" w:hAnsi="黑体" w:hint="eastAsia"/>
          <w:kern w:val="0"/>
        </w:rPr>
        <w:t>赎回</w:t>
      </w:r>
      <w:r>
        <w:rPr>
          <w:rFonts w:ascii="黑体" w:eastAsia="黑体" w:hAnsi="黑体" w:cs="黑体" w:hint="eastAsia"/>
          <w:kern w:val="0"/>
          <w:szCs w:val="21"/>
        </w:rPr>
        <w:t>，产品管理人将在赎回受理日对上述赎回申请进行处理，在赎回确认日</w:t>
      </w:r>
      <w:r>
        <w:rPr>
          <w:rFonts w:ascii="黑体" w:eastAsia="黑体" w:hAnsi="黑体" w:cs="黑体"/>
          <w:kern w:val="0"/>
          <w:szCs w:val="21"/>
        </w:rPr>
        <w:t>对上述赎回申请进行确认，</w:t>
      </w:r>
      <w:r>
        <w:rPr>
          <w:rFonts w:ascii="黑体" w:eastAsia="黑体" w:hAnsi="黑体" w:cs="黑体" w:hint="eastAsia"/>
          <w:kern w:val="0"/>
          <w:szCs w:val="21"/>
        </w:rPr>
        <w:t>投资者实际赎回份额以产品管理人确认的份额为准，</w:t>
      </w:r>
      <w:r>
        <w:rPr>
          <w:rFonts w:ascii="黑体" w:eastAsia="黑体" w:hAnsi="黑体" w:cs="黑体" w:hint="eastAsia"/>
          <w:b/>
          <w:kern w:val="0"/>
          <w:szCs w:val="21"/>
        </w:rPr>
        <w:t>投资者的赎回金额将于赎回确认日后</w:t>
      </w:r>
      <w:r>
        <w:rPr>
          <w:rFonts w:ascii="黑体" w:eastAsia="黑体" w:hAnsi="黑体" w:cs="黑体"/>
          <w:b/>
          <w:kern w:val="0"/>
          <w:szCs w:val="21"/>
        </w:rPr>
        <w:t>3</w:t>
      </w:r>
      <w:r>
        <w:rPr>
          <w:rFonts w:ascii="黑体" w:eastAsia="黑体" w:hAnsi="黑体" w:cs="黑体" w:hint="eastAsia"/>
          <w:b/>
          <w:kern w:val="0"/>
          <w:szCs w:val="21"/>
        </w:rPr>
        <w:t>个工作日内到账</w:t>
      </w:r>
      <w:r>
        <w:rPr>
          <w:rFonts w:ascii="黑体" w:eastAsia="黑体" w:hAnsi="黑体" w:cs="黑体" w:hint="eastAsia"/>
          <w:kern w:val="0"/>
          <w:szCs w:val="21"/>
        </w:rPr>
        <w:t>。</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赎回交易时间规则如下表所示：</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765"/>
        <w:gridCol w:w="2765"/>
        <w:gridCol w:w="276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765" w:type="dxa"/>
            <w:vAlign w:val="center"/>
          </w:tcPr>
          <w:p>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赎回发起时间</w:t>
            </w:r>
          </w:p>
        </w:tc>
        <w:tc>
          <w:tcPr>
            <w:tcW w:w="2765" w:type="dxa"/>
            <w:vAlign w:val="center"/>
          </w:tcPr>
          <w:p>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赎回受理日</w:t>
            </w:r>
          </w:p>
        </w:tc>
        <w:tc>
          <w:tcPr>
            <w:tcW w:w="2766" w:type="dxa"/>
            <w:vAlign w:val="center"/>
          </w:tcPr>
          <w:p>
            <w:pPr>
              <w:autoSpaceDE w:val="0"/>
              <w:autoSpaceDN w:val="0"/>
              <w:adjustRightInd w:val="0"/>
              <w:jc w:val="center"/>
              <w:rPr>
                <w:rFonts w:ascii="黑体" w:eastAsia="黑体" w:hAnsi="黑体" w:cs="黑体"/>
                <w:b/>
                <w:kern w:val="0"/>
                <w:szCs w:val="21"/>
              </w:rPr>
            </w:pPr>
            <w:r>
              <w:rPr>
                <w:rFonts w:ascii="黑体" w:eastAsia="黑体" w:hAnsi="黑体" w:cs="黑体" w:hint="eastAsia"/>
                <w:b/>
                <w:kern w:val="0"/>
                <w:szCs w:val="21"/>
              </w:rPr>
              <w:t>赎回确认日</w:t>
            </w:r>
          </w:p>
        </w:tc>
      </w:tr>
      <w:tr>
        <w:tblPrEx>
          <w:tblW w:w="0" w:type="auto"/>
          <w:tblInd w:w="0" w:type="dxa"/>
          <w:tblCellMar>
            <w:top w:w="0" w:type="dxa"/>
            <w:left w:w="108" w:type="dxa"/>
            <w:bottom w:w="0" w:type="dxa"/>
            <w:right w:w="108" w:type="dxa"/>
          </w:tblCellMar>
        </w:tblPrEx>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每个工作日</w:t>
            </w:r>
            <w:r>
              <w:rPr>
                <w:rFonts w:ascii="黑体" w:eastAsia="黑体" w:hAnsi="黑体" w:cs="黑体"/>
                <w:kern w:val="0"/>
                <w:szCs w:val="21"/>
              </w:rPr>
              <w:t>0:00-16:00</w:t>
            </w:r>
          </w:p>
        </w:tc>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发起当日</w:t>
            </w:r>
          </w:p>
        </w:tc>
        <w:tc>
          <w:tcPr>
            <w:tcW w:w="2766"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r>
        <w:tblPrEx>
          <w:tblW w:w="0" w:type="auto"/>
          <w:tblInd w:w="0" w:type="dxa"/>
          <w:tblCellMar>
            <w:top w:w="0" w:type="dxa"/>
            <w:left w:w="108" w:type="dxa"/>
            <w:bottom w:w="0" w:type="dxa"/>
            <w:right w:w="108" w:type="dxa"/>
          </w:tblCellMar>
        </w:tblPrEx>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每个工作日</w:t>
            </w:r>
            <w:r>
              <w:rPr>
                <w:rFonts w:ascii="黑体" w:eastAsia="黑体" w:hAnsi="黑体" w:cs="黑体"/>
                <w:kern w:val="0"/>
                <w:szCs w:val="21"/>
              </w:rPr>
              <w:t>16:00-24:00</w:t>
            </w:r>
          </w:p>
        </w:tc>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发起日下一工作日</w:t>
            </w:r>
          </w:p>
        </w:tc>
        <w:tc>
          <w:tcPr>
            <w:tcW w:w="2766"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r>
        <w:tblPrEx>
          <w:tblW w:w="0" w:type="auto"/>
          <w:tblInd w:w="0" w:type="dxa"/>
          <w:tblCellMar>
            <w:top w:w="0" w:type="dxa"/>
            <w:left w:w="108" w:type="dxa"/>
            <w:bottom w:w="0" w:type="dxa"/>
            <w:right w:w="108" w:type="dxa"/>
          </w:tblCellMar>
        </w:tblPrEx>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非工作日</w:t>
            </w:r>
            <w:r>
              <w:rPr>
                <w:rFonts w:ascii="黑体" w:eastAsia="黑体" w:hAnsi="黑体" w:cs="黑体"/>
                <w:kern w:val="0"/>
                <w:szCs w:val="21"/>
              </w:rPr>
              <w:t>0:00-24:00</w:t>
            </w:r>
          </w:p>
        </w:tc>
        <w:tc>
          <w:tcPr>
            <w:tcW w:w="2765"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发起日下一工作日</w:t>
            </w:r>
          </w:p>
        </w:tc>
        <w:tc>
          <w:tcPr>
            <w:tcW w:w="2766" w:type="dxa"/>
            <w:vAlign w:val="center"/>
          </w:tcPr>
          <w:p>
            <w:pPr>
              <w:autoSpaceDE w:val="0"/>
              <w:autoSpaceDN w:val="0"/>
              <w:adjustRightInd w:val="0"/>
              <w:jc w:val="center"/>
              <w:rPr>
                <w:rFonts w:ascii="黑体" w:eastAsia="黑体" w:hAnsi="黑体" w:cs="黑体"/>
                <w:kern w:val="0"/>
                <w:szCs w:val="21"/>
              </w:rPr>
            </w:pPr>
            <w:r>
              <w:rPr>
                <w:rFonts w:ascii="黑体" w:eastAsia="黑体" w:hAnsi="黑体" w:cs="黑体" w:hint="eastAsia"/>
                <w:kern w:val="0"/>
                <w:szCs w:val="21"/>
              </w:rPr>
              <w:t>受理日下一工作日</w:t>
            </w:r>
          </w:p>
        </w:tc>
      </w:tr>
    </w:tbl>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b/>
          <w:kern w:val="0"/>
          <w:szCs w:val="21"/>
        </w:rPr>
        <w:t>具体赎回确认时间以销售机构展示为准，在途期间投资者资金不计息。</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hint="eastAsia"/>
          <w:b/>
          <w:kern w:val="0"/>
        </w:rPr>
        <w:t>赎回价格采用</w:t>
      </w:r>
      <w:r>
        <w:rPr>
          <w:rFonts w:ascii="黑体" w:eastAsia="黑体" w:hAnsi="黑体" w:cs="黑体" w:hint="eastAsia"/>
          <w:b/>
          <w:kern w:val="0"/>
          <w:szCs w:val="21"/>
        </w:rPr>
        <w:t>赎回受理日</w:t>
      </w:r>
      <w:r>
        <w:rPr>
          <w:rFonts w:ascii="黑体" w:eastAsia="黑体" w:hAnsi="黑体" w:hint="eastAsia"/>
          <w:b/>
          <w:kern w:val="0"/>
        </w:rPr>
        <w:t>的产品净值。</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、投资者</w:t>
      </w:r>
      <w:r>
        <w:rPr>
          <w:rFonts w:ascii="黑体" w:eastAsia="黑体" w:hAnsi="黑体" w:cs="黑体"/>
          <w:kern w:val="0"/>
          <w:szCs w:val="21"/>
        </w:rPr>
        <w:t>持有</w:t>
      </w:r>
      <w:r>
        <w:rPr>
          <w:rFonts w:ascii="黑体" w:eastAsia="黑体" w:hAnsi="黑体" w:cs="黑体" w:hint="eastAsia"/>
          <w:kern w:val="0"/>
          <w:szCs w:val="21"/>
        </w:rPr>
        <w:t>本产品</w:t>
      </w:r>
      <w:r>
        <w:rPr>
          <w:rFonts w:ascii="黑体" w:eastAsia="黑体" w:hAnsi="黑体" w:cs="黑体"/>
          <w:kern w:val="0"/>
          <w:szCs w:val="21"/>
        </w:rPr>
        <w:t>份额根据</w:t>
      </w:r>
      <w:r>
        <w:rPr>
          <w:rFonts w:ascii="黑体" w:eastAsia="黑体" w:hAnsi="黑体" w:cs="黑体" w:hint="eastAsia"/>
          <w:kern w:val="0"/>
          <w:szCs w:val="21"/>
        </w:rPr>
        <w:t>认（申）</w:t>
      </w:r>
      <w:r>
        <w:rPr>
          <w:rFonts w:ascii="黑体" w:eastAsia="黑体" w:hAnsi="黑体" w:cs="黑体"/>
          <w:kern w:val="0"/>
          <w:szCs w:val="21"/>
        </w:rPr>
        <w:t>购交易</w:t>
      </w:r>
      <w:r>
        <w:rPr>
          <w:rFonts w:ascii="黑体" w:eastAsia="黑体" w:hAnsi="黑体" w:cs="黑体" w:hint="eastAsia"/>
          <w:kern w:val="0"/>
          <w:szCs w:val="21"/>
        </w:rPr>
        <w:t>记录逐</w:t>
      </w:r>
      <w:r>
        <w:rPr>
          <w:rFonts w:ascii="黑体" w:eastAsia="黑体" w:hAnsi="黑体" w:cs="黑体"/>
          <w:kern w:val="0"/>
          <w:szCs w:val="21"/>
        </w:rPr>
        <w:t>笔</w:t>
      </w:r>
      <w:r>
        <w:rPr>
          <w:rFonts w:ascii="黑体" w:eastAsia="黑体" w:hAnsi="黑体" w:cs="黑体" w:hint="eastAsia"/>
          <w:kern w:val="0"/>
          <w:szCs w:val="21"/>
        </w:rPr>
        <w:t>列出</w:t>
      </w:r>
      <w:r>
        <w:rPr>
          <w:rFonts w:ascii="黑体" w:eastAsia="黑体" w:hAnsi="黑体" w:cs="黑体"/>
          <w:kern w:val="0"/>
          <w:szCs w:val="21"/>
        </w:rPr>
        <w:t>，</w:t>
      </w:r>
      <w:r>
        <w:rPr>
          <w:rFonts w:ascii="黑体" w:eastAsia="黑体" w:hAnsi="黑体" w:cs="黑体" w:hint="eastAsia"/>
          <w:kern w:val="0"/>
          <w:szCs w:val="21"/>
        </w:rPr>
        <w:t>投资者</w:t>
      </w:r>
      <w:r>
        <w:rPr>
          <w:rFonts w:ascii="黑体" w:eastAsia="黑体" w:hAnsi="黑体" w:cs="黑体"/>
          <w:kern w:val="0"/>
          <w:szCs w:val="21"/>
        </w:rPr>
        <w:t>可选择</w:t>
      </w:r>
      <w:r>
        <w:rPr>
          <w:rFonts w:ascii="黑体" w:eastAsia="黑体" w:hAnsi="黑体" w:cs="黑体" w:hint="eastAsia"/>
          <w:kern w:val="0"/>
          <w:szCs w:val="21"/>
        </w:rPr>
        <w:t>相应</w:t>
      </w:r>
      <w:r>
        <w:rPr>
          <w:rFonts w:ascii="黑体" w:eastAsia="黑体" w:hAnsi="黑体" w:cs="黑体"/>
          <w:kern w:val="0"/>
          <w:szCs w:val="21"/>
        </w:rPr>
        <w:t>的份额进行赎回</w:t>
      </w:r>
      <w:r>
        <w:rPr>
          <w:rFonts w:ascii="黑体" w:eastAsia="黑体" w:hAnsi="黑体" w:cs="黑体" w:hint="eastAsia"/>
          <w:kern w:val="0"/>
          <w:szCs w:val="21"/>
        </w:rPr>
        <w:t>，或</w:t>
      </w:r>
      <w:r>
        <w:rPr>
          <w:rFonts w:ascii="黑体" w:eastAsia="黑体" w:hAnsi="黑体" w:cs="黑体"/>
          <w:kern w:val="0"/>
          <w:szCs w:val="21"/>
        </w:rPr>
        <w:t>遵循“先进先出”原则，即按照投资者持有该理财份额的先后次序进行顺序赎回</w:t>
      </w:r>
      <w:r>
        <w:rPr>
          <w:rFonts w:ascii="黑体" w:eastAsia="黑体" w:hAnsi="黑体" w:cs="黑体" w:hint="eastAsia"/>
          <w:kern w:val="0"/>
          <w:szCs w:val="21"/>
        </w:rPr>
        <w:t>，具体以销售机构实际展示或处理为准</w:t>
      </w:r>
      <w:r>
        <w:rPr>
          <w:rFonts w:ascii="黑体" w:eastAsia="黑体" w:hAnsi="黑体" w:cs="黑体"/>
          <w:kern w:val="0"/>
          <w:szCs w:val="21"/>
        </w:rPr>
        <w:t>。</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、产品采用份额赎回规则</w:t>
      </w:r>
      <w:r>
        <w:rPr>
          <w:rFonts w:ascii="黑体" w:eastAsia="黑体" w:hAnsi="黑体" w:cs="黑体"/>
          <w:kern w:val="0"/>
          <w:szCs w:val="21"/>
        </w:rPr>
        <w:t>，</w:t>
      </w:r>
      <w:r>
        <w:rPr>
          <w:rFonts w:ascii="黑体" w:eastAsia="黑体" w:hAnsi="黑体" w:cs="黑体" w:hint="eastAsia"/>
          <w:kern w:val="0"/>
          <w:szCs w:val="21"/>
        </w:rPr>
        <w:t>即赎回以份额确定投资者</w:t>
      </w:r>
      <w:r>
        <w:rPr>
          <w:rFonts w:ascii="黑体" w:eastAsia="黑体" w:hAnsi="黑体" w:cs="黑体"/>
          <w:kern w:val="0"/>
          <w:szCs w:val="21"/>
        </w:rPr>
        <w:t>对应的</w:t>
      </w:r>
      <w:r>
        <w:rPr>
          <w:rFonts w:ascii="黑体" w:eastAsia="黑体" w:hAnsi="黑体" w:cs="黑体" w:hint="eastAsia"/>
          <w:kern w:val="0"/>
          <w:szCs w:val="21"/>
        </w:rPr>
        <w:t>产品金额</w:t>
      </w:r>
      <w:r>
        <w:rPr>
          <w:rFonts w:ascii="黑体" w:eastAsia="黑体" w:hAnsi="黑体" w:cs="黑体"/>
          <w:kern w:val="0"/>
          <w:szCs w:val="21"/>
        </w:rPr>
        <w:t>。</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kern w:val="0"/>
          <w:szCs w:val="21"/>
        </w:rPr>
        <w:t>4、产品到期日时，</w:t>
      </w:r>
      <w:r>
        <w:rPr>
          <w:rFonts w:ascii="黑体" w:eastAsia="黑体" w:hAnsi="黑体" w:cs="黑体" w:hint="eastAsia"/>
          <w:kern w:val="0"/>
          <w:szCs w:val="21"/>
        </w:rPr>
        <w:t>投资者持有的理财份额将在产品到期日全部自动赎回，</w:t>
      </w:r>
      <w:r>
        <w:rPr>
          <w:rFonts w:ascii="黑体" w:eastAsia="黑体" w:hAnsi="黑体" w:cs="黑体" w:hint="eastAsia"/>
          <w:b/>
          <w:kern w:val="0"/>
          <w:szCs w:val="21"/>
        </w:rPr>
        <w:t>赎回价格采用到期时的产品净值。</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5</w:t>
      </w:r>
      <w:r>
        <w:rPr>
          <w:rFonts w:ascii="黑体" w:eastAsia="黑体" w:hAnsi="黑体" w:cs="黑体" w:hint="eastAsia"/>
          <w:b/>
          <w:kern w:val="0"/>
          <w:szCs w:val="21"/>
        </w:rPr>
        <w:t>、产品存续期内，若出现以下情况，产品</w:t>
      </w:r>
      <w:r>
        <w:rPr>
          <w:rFonts w:ascii="黑体" w:eastAsia="黑体" w:hAnsi="黑体" w:cs="黑体"/>
          <w:b/>
          <w:kern w:val="0"/>
          <w:szCs w:val="21"/>
        </w:rPr>
        <w:t>管理人</w:t>
      </w:r>
      <w:r>
        <w:rPr>
          <w:rFonts w:ascii="黑体" w:eastAsia="黑体" w:hAnsi="黑体" w:cs="黑体" w:hint="eastAsia"/>
          <w:b/>
          <w:kern w:val="0"/>
          <w:szCs w:val="21"/>
        </w:rPr>
        <w:t>有权拒绝或暂停接受投资者的全部或部分赎回申请：</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1）因不可抗力导致</w:t>
      </w:r>
      <w:r>
        <w:rPr>
          <w:rFonts w:ascii="黑体" w:eastAsia="黑体" w:hAnsi="黑体" w:cs="黑体" w:hint="eastAsia"/>
          <w:kern w:val="0"/>
          <w:szCs w:val="21"/>
        </w:rPr>
        <w:t>产品管理机构无法接受投资者赎回申请；</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2</w:t>
      </w:r>
      <w:r>
        <w:rPr>
          <w:rFonts w:ascii="黑体" w:eastAsia="黑体" w:hAnsi="黑体" w:cs="黑体" w:hint="eastAsia"/>
          <w:kern w:val="0"/>
          <w:szCs w:val="21"/>
        </w:rPr>
        <w:t>）产品</w:t>
      </w:r>
      <w:r>
        <w:rPr>
          <w:rFonts w:ascii="黑体" w:eastAsia="黑体" w:hAnsi="黑体" w:cs="黑体"/>
          <w:kern w:val="0"/>
          <w:szCs w:val="21"/>
        </w:rPr>
        <w:t>所投资</w:t>
      </w:r>
      <w:r>
        <w:rPr>
          <w:rFonts w:ascii="黑体" w:eastAsia="黑体" w:hAnsi="黑体" w:cs="黑体" w:hint="eastAsia"/>
          <w:kern w:val="0"/>
          <w:szCs w:val="21"/>
        </w:rPr>
        <w:t>资产无法及时、足额变现；</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3</w:t>
      </w:r>
      <w:r>
        <w:rPr>
          <w:rFonts w:ascii="黑体" w:eastAsia="黑体" w:hAnsi="黑体" w:cs="黑体" w:hint="eastAsia"/>
          <w:kern w:val="0"/>
          <w:szCs w:val="21"/>
        </w:rPr>
        <w:t>）触发</w:t>
      </w:r>
      <w:r>
        <w:rPr>
          <w:rFonts w:ascii="黑体" w:eastAsia="黑体" w:hAnsi="黑体" w:cs="黑体"/>
          <w:kern w:val="0"/>
          <w:szCs w:val="21"/>
        </w:rPr>
        <w:t>巨额赎回情形</w:t>
      </w:r>
      <w:r>
        <w:rPr>
          <w:rFonts w:ascii="黑体" w:eastAsia="黑体" w:hAnsi="黑体" w:cs="黑体" w:hint="eastAsia"/>
          <w:kern w:val="0"/>
          <w:szCs w:val="21"/>
        </w:rPr>
        <w:t>（</w:t>
      </w:r>
      <w:r>
        <w:rPr>
          <w:rFonts w:ascii="黑体" w:eastAsia="黑体" w:hAnsi="黑体" w:cs="黑体"/>
          <w:kern w:val="0"/>
          <w:szCs w:val="21"/>
        </w:rPr>
        <w:t>详见</w:t>
      </w:r>
      <w:r>
        <w:rPr>
          <w:rFonts w:ascii="黑体" w:eastAsia="黑体" w:hAnsi="黑体" w:cs="黑体" w:hint="eastAsia"/>
          <w:kern w:val="0"/>
          <w:szCs w:val="21"/>
        </w:rPr>
        <w:t>本</w:t>
      </w:r>
      <w:r>
        <w:rPr>
          <w:rFonts w:ascii="黑体" w:eastAsia="黑体" w:hAnsi="黑体" w:cs="黑体"/>
          <w:kern w:val="0"/>
          <w:szCs w:val="21"/>
        </w:rPr>
        <w:t>节第</w:t>
      </w:r>
      <w:r>
        <w:rPr>
          <w:rFonts w:ascii="黑体" w:eastAsia="黑体" w:hAnsi="黑体" w:cs="黑体" w:hint="eastAsia"/>
          <w:kern w:val="0"/>
          <w:szCs w:val="21"/>
        </w:rPr>
        <w:t>五</w:t>
      </w:r>
      <w:r>
        <w:rPr>
          <w:rFonts w:ascii="黑体" w:eastAsia="黑体" w:hAnsi="黑体" w:cs="黑体"/>
          <w:kern w:val="0"/>
          <w:szCs w:val="21"/>
        </w:rPr>
        <w:t>部分）</w:t>
      </w:r>
      <w:r>
        <w:rPr>
          <w:rFonts w:ascii="黑体" w:eastAsia="黑体" w:hAnsi="黑体" w:cs="黑体" w:hint="eastAsia"/>
          <w:kern w:val="0"/>
          <w:szCs w:val="21"/>
        </w:rPr>
        <w:t>；</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4</w:t>
      </w:r>
      <w:r>
        <w:rPr>
          <w:rFonts w:ascii="黑体" w:eastAsia="黑体" w:hAnsi="黑体" w:cs="黑体" w:hint="eastAsia"/>
          <w:kern w:val="0"/>
          <w:szCs w:val="21"/>
        </w:rPr>
        <w:t>）法律、法规或相关监管认定的其他情形。</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6</w:t>
      </w:r>
      <w:r>
        <w:rPr>
          <w:rFonts w:ascii="黑体" w:eastAsia="黑体" w:hAnsi="黑体" w:cs="黑体" w:hint="eastAsia"/>
          <w:kern w:val="0"/>
          <w:szCs w:val="21"/>
        </w:rPr>
        <w:t>、</w:t>
      </w:r>
      <w:r>
        <w:rPr>
          <w:rFonts w:ascii="黑体" w:eastAsia="黑体" w:hAnsi="黑体" w:cs="黑体"/>
          <w:kern w:val="0"/>
          <w:szCs w:val="21"/>
        </w:rPr>
        <w:t>其他</w:t>
      </w:r>
      <w:r>
        <w:rPr>
          <w:rFonts w:ascii="黑体" w:eastAsia="黑体" w:hAnsi="黑体" w:cs="黑体" w:hint="eastAsia"/>
          <w:kern w:val="0"/>
          <w:szCs w:val="21"/>
        </w:rPr>
        <w:t>：无</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（三</w:t>
      </w:r>
      <w:r>
        <w:rPr>
          <w:rFonts w:ascii="黑体" w:eastAsia="黑体" w:hAnsi="黑体" w:cs="宋体"/>
          <w:kern w:val="0"/>
          <w:szCs w:val="21"/>
        </w:rPr>
        <w:t>）产品净值公布方式</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产品净值</w:t>
      </w:r>
      <w:r>
        <w:rPr>
          <w:rFonts w:ascii="黑体" w:eastAsia="黑体" w:hAnsi="黑体" w:cs="黑体"/>
          <w:kern w:val="0"/>
          <w:szCs w:val="21"/>
        </w:rPr>
        <w:t>的计算按照四舍五入原则，保留至小数点后6</w:t>
      </w:r>
      <w:r>
        <w:rPr>
          <w:rFonts w:ascii="黑体" w:eastAsia="黑体" w:hAnsi="黑体" w:cs="黑体" w:hint="eastAsia"/>
          <w:kern w:val="0"/>
          <w:szCs w:val="21"/>
        </w:rPr>
        <w:t>位</w:t>
      </w:r>
      <w:r>
        <w:rPr>
          <w:rFonts w:ascii="黑体" w:eastAsia="黑体" w:hAnsi="黑体" w:cs="黑体"/>
          <w:kern w:val="0"/>
          <w:szCs w:val="21"/>
        </w:rPr>
        <w:t>。单位</w:t>
      </w:r>
      <w:r>
        <w:rPr>
          <w:rFonts w:ascii="黑体" w:eastAsia="黑体" w:hAnsi="黑体" w:cs="黑体" w:hint="eastAsia"/>
          <w:kern w:val="0"/>
          <w:szCs w:val="21"/>
        </w:rPr>
        <w:t>净值</w:t>
      </w:r>
      <w:r>
        <w:rPr>
          <w:rFonts w:ascii="黑体" w:eastAsia="黑体" w:hAnsi="黑体" w:cs="黑体"/>
          <w:kern w:val="0"/>
          <w:szCs w:val="21"/>
        </w:rPr>
        <w:t>为</w:t>
      </w:r>
      <w:r>
        <w:rPr>
          <w:rFonts w:ascii="黑体" w:eastAsia="黑体" w:hAnsi="黑体" w:cs="黑体" w:hint="eastAsia"/>
          <w:kern w:val="0"/>
          <w:szCs w:val="21"/>
        </w:rPr>
        <w:t>扣除固定管理费、销售服务费、托管</w:t>
      </w:r>
      <w:r>
        <w:rPr>
          <w:rFonts w:ascii="黑体" w:hAnsi="黑体" w:hint="eastAsia"/>
          <w:kern w:val="0"/>
        </w:rPr>
        <w:t>费</w:t>
      </w:r>
      <w:r>
        <w:rPr>
          <w:rFonts w:ascii="黑体" w:eastAsia="黑体" w:hAnsi="黑体" w:cs="黑体" w:hint="eastAsia"/>
          <w:kern w:val="0"/>
          <w:szCs w:val="21"/>
        </w:rPr>
        <w:t>、产品运作和清算中产生的其他费用、产品运营中发生的增值税及附加税费等费用</w:t>
      </w:r>
      <w:r>
        <w:rPr>
          <w:rFonts w:ascii="黑体" w:eastAsia="黑体" w:hAnsi="黑体" w:hint="eastAsia"/>
          <w:kern w:val="0"/>
        </w:rPr>
        <w:t>后</w:t>
      </w:r>
      <w:r>
        <w:rPr>
          <w:rFonts w:ascii="黑体" w:eastAsia="黑体" w:hAnsi="黑体" w:cs="黑体"/>
          <w:kern w:val="0"/>
          <w:szCs w:val="21"/>
        </w:rPr>
        <w:t>的单位产品净值。</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hint="eastAsia"/>
          <w:b/>
          <w:kern w:val="0"/>
        </w:rPr>
        <w:t>本产品成立后，每个产品开放日披露前一工作日的净值信息</w:t>
      </w:r>
      <w:r>
        <w:rPr>
          <w:rFonts w:ascii="黑体" w:eastAsia="黑体" w:hAnsi="黑体" w:cs="黑体" w:hint="eastAsia"/>
          <w:b/>
          <w:kern w:val="0"/>
          <w:szCs w:val="21"/>
        </w:rPr>
        <w:t>，</w:t>
      </w:r>
      <w:r>
        <w:rPr>
          <w:rFonts w:ascii="黑体" w:eastAsia="黑体" w:hAnsi="黑体" w:cs="黑体" w:hint="eastAsia"/>
          <w:kern w:val="0"/>
          <w:szCs w:val="21"/>
        </w:rPr>
        <w:t>每个产品开放日结束后</w:t>
      </w:r>
      <w:r>
        <w:rPr>
          <w:rFonts w:ascii="黑体" w:eastAsia="黑体" w:hAnsi="黑体" w:cs="黑体"/>
          <w:kern w:val="0"/>
          <w:szCs w:val="21"/>
        </w:rPr>
        <w:t>2</w:t>
      </w:r>
      <w:r>
        <w:rPr>
          <w:rFonts w:ascii="黑体" w:eastAsia="黑体" w:hAnsi="黑体" w:cs="黑体" w:hint="eastAsia"/>
          <w:kern w:val="0"/>
          <w:szCs w:val="21"/>
        </w:rPr>
        <w:t>个工作日内公告该产品开放日的产品净值、</w:t>
      </w:r>
      <w:r>
        <w:rPr>
          <w:rFonts w:ascii="黑体" w:eastAsia="黑体" w:hAnsi="黑体" w:cs="黑体"/>
          <w:kern w:val="0"/>
          <w:szCs w:val="21"/>
        </w:rPr>
        <w:t>申购和赎回价格</w:t>
      </w:r>
      <w:r>
        <w:rPr>
          <w:rFonts w:ascii="黑体" w:eastAsia="黑体" w:hAnsi="黑体" w:cs="黑体" w:hint="eastAsia"/>
          <w:kern w:val="0"/>
          <w:szCs w:val="21"/>
        </w:rPr>
        <w:t>。如有</w:t>
      </w:r>
      <w:r>
        <w:rPr>
          <w:rFonts w:ascii="黑体" w:eastAsia="黑体" w:hAnsi="黑体" w:cs="黑体"/>
          <w:kern w:val="0"/>
          <w:szCs w:val="21"/>
        </w:rPr>
        <w:t>其它</w:t>
      </w:r>
      <w:r>
        <w:rPr>
          <w:rFonts w:ascii="黑体" w:eastAsia="黑体" w:hAnsi="黑体" w:cs="黑体" w:hint="eastAsia"/>
          <w:kern w:val="0"/>
          <w:szCs w:val="21"/>
        </w:rPr>
        <w:t>特殊情况的</w:t>
      </w:r>
      <w:r>
        <w:rPr>
          <w:rFonts w:ascii="黑体" w:eastAsia="黑体" w:hAnsi="黑体" w:cs="黑体"/>
          <w:kern w:val="0"/>
          <w:szCs w:val="21"/>
        </w:rPr>
        <w:t>，以</w:t>
      </w:r>
      <w:r>
        <w:rPr>
          <w:rFonts w:ascii="黑体" w:eastAsia="黑体" w:hAnsi="黑体" w:cs="黑体" w:hint="eastAsia"/>
          <w:kern w:val="0"/>
          <w:szCs w:val="21"/>
        </w:rPr>
        <w:t>产品管理人</w:t>
      </w:r>
      <w:r>
        <w:rPr>
          <w:rFonts w:ascii="黑体" w:eastAsia="黑体" w:hAnsi="黑体" w:cs="黑体"/>
          <w:kern w:val="0"/>
          <w:szCs w:val="21"/>
        </w:rPr>
        <w:t>公告</w:t>
      </w:r>
      <w:r>
        <w:rPr>
          <w:rFonts w:ascii="黑体" w:eastAsia="黑体" w:hAnsi="黑体" w:cs="黑体" w:hint="eastAsia"/>
          <w:kern w:val="0"/>
          <w:szCs w:val="21"/>
        </w:rPr>
        <w:t>为准</w:t>
      </w:r>
      <w:r>
        <w:rPr>
          <w:rFonts w:ascii="黑体" w:eastAsia="黑体" w:hAnsi="黑体" w:cs="黑体"/>
          <w:kern w:val="0"/>
          <w:szCs w:val="21"/>
        </w:rPr>
        <w:t>。</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2、其他：</w:t>
      </w:r>
      <w:r>
        <w:rPr>
          <w:rFonts w:ascii="黑体" w:eastAsia="黑体" w:hAnsi="黑体" w:cs="黑体" w:hint="eastAsia"/>
          <w:kern w:val="0"/>
          <w:szCs w:val="21"/>
        </w:rPr>
        <w:t>若产品开放日后一个工作日遇非工作日，则产品开放日的相关净值信息在开放日申赎交易确认当日日终前披露</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（四</w:t>
      </w:r>
      <w:r>
        <w:rPr>
          <w:rFonts w:ascii="黑体" w:eastAsia="黑体" w:hAnsi="黑体" w:cs="宋体"/>
          <w:kern w:val="0"/>
          <w:szCs w:val="21"/>
        </w:rPr>
        <w:t>）</w:t>
      </w:r>
      <w:r>
        <w:rPr>
          <w:rFonts w:ascii="黑体" w:eastAsia="黑体" w:hAnsi="黑体" w:cs="宋体" w:hint="eastAsia"/>
          <w:kern w:val="0"/>
          <w:szCs w:val="21"/>
        </w:rPr>
        <w:t>投资者持有份额及金额计算规则</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1、计算规则</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认购确认份额</w:t>
      </w:r>
      <w:r>
        <w:rPr>
          <w:rFonts w:ascii="黑体" w:eastAsia="黑体" w:hAnsi="黑体" w:cs="黑体"/>
          <w:b/>
          <w:kern w:val="0"/>
          <w:szCs w:val="21"/>
        </w:rPr>
        <w:t>=</w:t>
      </w:r>
      <w:r>
        <w:rPr>
          <w:rFonts w:ascii="黑体" w:eastAsia="黑体" w:hAnsi="黑体" w:cs="黑体" w:hint="eastAsia"/>
          <w:b/>
          <w:kern w:val="0"/>
          <w:szCs w:val="21"/>
        </w:rPr>
        <w:t>认购金额</w:t>
      </w:r>
      <w:r>
        <w:rPr>
          <w:rFonts w:ascii="黑体" w:eastAsia="黑体" w:hAnsi="黑体" w:cs="黑体"/>
          <w:b/>
          <w:kern w:val="0"/>
          <w:szCs w:val="21"/>
        </w:rPr>
        <w:t>/</w:t>
      </w:r>
      <w:r>
        <w:rPr>
          <w:rFonts w:ascii="黑体" w:eastAsia="黑体" w:hAnsi="黑体" w:cs="黑体" w:hint="eastAsia"/>
          <w:b/>
          <w:kern w:val="0"/>
          <w:szCs w:val="21"/>
        </w:rPr>
        <w:t>认购价格</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申购确认份额</w:t>
      </w:r>
      <w:r>
        <w:rPr>
          <w:rFonts w:ascii="黑体" w:eastAsia="黑体" w:hAnsi="黑体" w:cs="黑体"/>
          <w:b/>
          <w:kern w:val="0"/>
          <w:szCs w:val="21"/>
        </w:rPr>
        <w:t>=</w:t>
      </w:r>
      <w:r>
        <w:rPr>
          <w:rFonts w:ascii="黑体" w:eastAsia="黑体" w:hAnsi="黑体" w:cs="黑体" w:hint="eastAsia"/>
          <w:b/>
          <w:kern w:val="0"/>
          <w:szCs w:val="21"/>
        </w:rPr>
        <w:t>申购金额</w:t>
      </w:r>
      <w:r>
        <w:rPr>
          <w:rFonts w:ascii="黑体" w:eastAsia="黑体" w:hAnsi="黑体" w:cs="黑体"/>
          <w:b/>
          <w:kern w:val="0"/>
          <w:szCs w:val="21"/>
        </w:rPr>
        <w:t>/</w:t>
      </w:r>
      <w:r>
        <w:rPr>
          <w:rFonts w:ascii="黑体" w:eastAsia="黑体" w:hAnsi="黑体" w:cs="黑体" w:hint="eastAsia"/>
          <w:b/>
          <w:kern w:val="0"/>
          <w:szCs w:val="21"/>
        </w:rPr>
        <w:t>申购价格</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赎回确认金额</w:t>
      </w:r>
      <w:r>
        <w:rPr>
          <w:rFonts w:ascii="黑体" w:eastAsia="黑体" w:hAnsi="黑体" w:cs="黑体"/>
          <w:b/>
          <w:kern w:val="0"/>
          <w:szCs w:val="21"/>
        </w:rPr>
        <w:t>=</w:t>
      </w:r>
      <w:r>
        <w:rPr>
          <w:rFonts w:ascii="黑体" w:eastAsia="黑体" w:hAnsi="黑体" w:cs="黑体" w:hint="eastAsia"/>
          <w:b/>
          <w:kern w:val="0"/>
          <w:szCs w:val="21"/>
        </w:rPr>
        <w:t>赎回份额</w:t>
      </w:r>
      <w:r>
        <w:rPr>
          <w:rFonts w:ascii="黑体" w:eastAsia="黑体" w:hAnsi="黑体" w:cs="黑体"/>
          <w:b/>
          <w:kern w:val="0"/>
          <w:szCs w:val="21"/>
        </w:rPr>
        <w:t>*</w:t>
      </w:r>
      <w:r>
        <w:rPr>
          <w:rFonts w:ascii="黑体" w:eastAsia="黑体" w:hAnsi="黑体" w:cs="黑体" w:hint="eastAsia"/>
          <w:b/>
          <w:kern w:val="0"/>
          <w:szCs w:val="21"/>
        </w:rPr>
        <w:t>赎回价格</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计算得出</w:t>
      </w:r>
      <w:r>
        <w:rPr>
          <w:rFonts w:ascii="黑体" w:eastAsia="黑体" w:hAnsi="黑体" w:cs="黑体"/>
          <w:kern w:val="0"/>
          <w:szCs w:val="21"/>
        </w:rPr>
        <w:t>的</w:t>
      </w:r>
      <w:r>
        <w:rPr>
          <w:rFonts w:ascii="黑体" w:eastAsia="黑体" w:hAnsi="黑体" w:cs="黑体" w:hint="eastAsia"/>
          <w:kern w:val="0"/>
          <w:szCs w:val="21"/>
        </w:rPr>
        <w:t>金额采取四舍五入后精确到小数点后</w:t>
      </w:r>
      <w:r>
        <w:rPr>
          <w:rFonts w:ascii="黑体" w:eastAsia="黑体" w:hAnsi="黑体" w:cs="黑体"/>
          <w:kern w:val="0"/>
          <w:szCs w:val="21"/>
        </w:rPr>
        <w:t>2位</w:t>
      </w:r>
      <w:r>
        <w:rPr>
          <w:rFonts w:ascii="黑体" w:eastAsia="黑体" w:hAnsi="黑体" w:cs="黑体" w:hint="eastAsia"/>
          <w:kern w:val="0"/>
          <w:szCs w:val="21"/>
        </w:rPr>
        <w:t>或采取截位规则</w:t>
      </w:r>
      <w:r>
        <w:rPr>
          <w:rFonts w:ascii="黑体" w:eastAsia="黑体" w:hAnsi="黑体" w:cs="黑体"/>
          <w:kern w:val="0"/>
          <w:szCs w:val="21"/>
        </w:rPr>
        <w:t>，</w:t>
      </w:r>
      <w:r>
        <w:rPr>
          <w:rFonts w:ascii="黑体" w:eastAsia="黑体" w:hAnsi="黑体" w:cs="黑体" w:hint="eastAsia"/>
          <w:kern w:val="0"/>
          <w:szCs w:val="21"/>
        </w:rPr>
        <w:t>计算得出的份额采取四舍五入后精确到小数点后2位，具体以产品管理人实际确认为准。</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2、计算示例</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情景</w:t>
      </w:r>
      <w:r>
        <w:rPr>
          <w:rFonts w:ascii="黑体" w:eastAsia="黑体" w:hAnsi="黑体" w:cs="黑体"/>
          <w:kern w:val="0"/>
          <w:szCs w:val="21"/>
        </w:rPr>
        <w:t>1：假设投资者于募集期内认购本产品，投资本金为100,000.00</w:t>
      </w:r>
      <w:r>
        <w:rPr>
          <w:rFonts w:ascii="黑体" w:eastAsia="黑体" w:hAnsi="黑体" w:cs="黑体" w:hint="eastAsia"/>
          <w:kern w:val="0"/>
          <w:szCs w:val="21"/>
        </w:rPr>
        <w:t>元人民币，购买价格为</w:t>
      </w:r>
      <w:r>
        <w:rPr>
          <w:rFonts w:ascii="黑体" w:eastAsia="黑体" w:hAnsi="黑体" w:cs="黑体"/>
          <w:kern w:val="0"/>
          <w:szCs w:val="21"/>
        </w:rPr>
        <w:t>1元/份，则投资者认购确认份额为：</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认购确认份额</w:t>
      </w:r>
      <w:r>
        <w:rPr>
          <w:rFonts w:ascii="黑体" w:eastAsia="黑体" w:hAnsi="黑体" w:cs="黑体"/>
          <w:kern w:val="0"/>
          <w:szCs w:val="21"/>
        </w:rPr>
        <w:t>=100,000.00÷1=100,000.00（份）</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情景</w:t>
      </w:r>
      <w:r>
        <w:rPr>
          <w:rFonts w:ascii="黑体" w:eastAsia="黑体" w:hAnsi="黑体" w:cs="黑体"/>
          <w:kern w:val="0"/>
          <w:szCs w:val="21"/>
        </w:rPr>
        <w:t>2：假设投资者于产品存续期申购本产品，投资本金为100,000.00</w:t>
      </w:r>
      <w:r>
        <w:rPr>
          <w:rFonts w:ascii="黑体" w:eastAsia="黑体" w:hAnsi="黑体" w:cs="黑体" w:hint="eastAsia"/>
          <w:kern w:val="0"/>
          <w:szCs w:val="21"/>
        </w:rPr>
        <w:t>元人民币，购买价格为</w:t>
      </w:r>
      <w:r>
        <w:rPr>
          <w:rFonts w:ascii="黑体" w:eastAsia="黑体" w:hAnsi="黑体" w:cs="黑体"/>
          <w:kern w:val="0"/>
          <w:szCs w:val="21"/>
        </w:rPr>
        <w:t>1.2元/份，则投资者申购确认份额为：</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申购确认份额</w:t>
      </w:r>
      <w:r>
        <w:rPr>
          <w:rFonts w:ascii="黑体" w:eastAsia="黑体" w:hAnsi="黑体" w:cs="黑体"/>
          <w:kern w:val="0"/>
          <w:szCs w:val="21"/>
        </w:rPr>
        <w:t>=100,000.00÷1.2=83,333.33（份）</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情景</w:t>
      </w:r>
      <w:r>
        <w:rPr>
          <w:rFonts w:ascii="黑体" w:eastAsia="黑体" w:hAnsi="黑体" w:cs="黑体"/>
          <w:kern w:val="0"/>
          <w:szCs w:val="21"/>
        </w:rPr>
        <w:t>3：假设投资者某日赎回持有份额100,000.00</w:t>
      </w:r>
      <w:r>
        <w:rPr>
          <w:rFonts w:ascii="黑体" w:eastAsia="黑体" w:hAnsi="黑体" w:cs="黑体" w:hint="eastAsia"/>
          <w:kern w:val="0"/>
          <w:szCs w:val="21"/>
        </w:rPr>
        <w:t>份，赎回价格为</w:t>
      </w:r>
      <w:r>
        <w:rPr>
          <w:rFonts w:ascii="黑体" w:eastAsia="黑体" w:hAnsi="黑体" w:cs="黑体"/>
          <w:kern w:val="0"/>
          <w:szCs w:val="21"/>
        </w:rPr>
        <w:t>1.0243</w:t>
      </w:r>
      <w:r>
        <w:rPr>
          <w:rFonts w:ascii="黑体" w:eastAsia="黑体" w:hAnsi="黑体" w:cs="黑体" w:hint="eastAsia"/>
          <w:kern w:val="0"/>
          <w:szCs w:val="21"/>
        </w:rPr>
        <w:t>元</w:t>
      </w:r>
      <w:r>
        <w:rPr>
          <w:rFonts w:ascii="黑体" w:eastAsia="黑体" w:hAnsi="黑体" w:cs="黑体"/>
          <w:kern w:val="0"/>
          <w:szCs w:val="21"/>
        </w:rPr>
        <w:t>/份，若赎回确认金额采取四舍五入后精确到小数点后2位，则兑付投资者的赎回确认金额为：</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赎回确认金额</w:t>
      </w:r>
      <w:r>
        <w:rPr>
          <w:rFonts w:ascii="黑体" w:eastAsia="黑体" w:hAnsi="黑体" w:cs="黑体"/>
          <w:kern w:val="0"/>
          <w:szCs w:val="21"/>
        </w:rPr>
        <w:t>=100,000.00×1.0243=102,430.00（元）</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测算收益不等于实际收益，投资须谨慎。</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（五）巨额赎回</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、在单个产品开放日，产品累计净赎回份额（累计赎回份额</w:t>
      </w:r>
      <w:r>
        <w:rPr>
          <w:rFonts w:ascii="黑体" w:eastAsia="黑体" w:hAnsi="黑体" w:cs="黑体"/>
          <w:kern w:val="0"/>
          <w:szCs w:val="21"/>
        </w:rPr>
        <w:t>-累计</w:t>
      </w:r>
      <w:r>
        <w:rPr>
          <w:rFonts w:ascii="黑体" w:eastAsia="黑体" w:hAnsi="黑体" w:cs="黑体" w:hint="eastAsia"/>
          <w:kern w:val="0"/>
          <w:szCs w:val="21"/>
        </w:rPr>
        <w:t>申购份额）超过开放日前一个工作日日终份额的</w:t>
      </w:r>
      <w:r>
        <w:rPr>
          <w:rFonts w:ascii="黑体" w:eastAsia="黑体" w:hAnsi="黑体" w:cs="黑体"/>
          <w:kern w:val="0"/>
          <w:szCs w:val="21"/>
        </w:rPr>
        <w:t>10%</w:t>
      </w:r>
      <w:r>
        <w:rPr>
          <w:rFonts w:ascii="黑体" w:eastAsia="黑体" w:hAnsi="黑体" w:cs="黑体" w:hint="eastAsia"/>
          <w:kern w:val="0"/>
          <w:szCs w:val="21"/>
        </w:rPr>
        <w:t>时，触发巨额赎回。</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2、</w:t>
      </w:r>
      <w:r>
        <w:rPr>
          <w:rFonts w:ascii="黑体" w:eastAsia="黑体" w:hAnsi="黑体" w:cs="宋体" w:hint="eastAsia"/>
          <w:kern w:val="0"/>
          <w:szCs w:val="21"/>
        </w:rPr>
        <w:t>产品在开放日发生巨额赎回时，产品管理人有权根据产品当时的投资运作情况决定采取全额赎回、部分赎回、暂停赎回、收取短期赎回费等措施。在运用部分赎回、暂停赎回、收取短期赎回费等措施后，产品管理人将在巨额赎回发生后</w:t>
      </w:r>
      <w:r>
        <w:rPr>
          <w:rFonts w:ascii="黑体" w:eastAsia="黑体" w:hAnsi="黑体" w:cs="宋体"/>
          <w:kern w:val="0"/>
          <w:szCs w:val="21"/>
        </w:rPr>
        <w:t>3个工作日内进行信息披露，并说明运用相关措施的原因、拟采取的应对安排等。</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w:t>
      </w:r>
      <w:r>
        <w:rPr>
          <w:rFonts w:ascii="黑体" w:eastAsia="黑体" w:hAnsi="黑体" w:cs="宋体"/>
          <w:kern w:val="0"/>
          <w:szCs w:val="21"/>
        </w:rPr>
        <w:t>1）全额赎回：当产品管理人有能力兑付投资者的全部赎回申请时，将在申请确认日按投资者申请赎回份额执行正常赎回程序。</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w:t>
      </w:r>
      <w:r>
        <w:rPr>
          <w:rFonts w:ascii="黑体" w:eastAsia="黑体" w:hAnsi="黑体" w:cs="宋体"/>
          <w:kern w:val="0"/>
          <w:szCs w:val="21"/>
        </w:rPr>
        <w:t>2）部分赎回：产品管理人在申请确认日</w:t>
      </w:r>
      <w:r>
        <w:rPr>
          <w:rFonts w:ascii="黑体" w:eastAsia="黑体" w:hAnsi="黑体" w:cs="宋体" w:hint="eastAsia"/>
          <w:kern w:val="0"/>
          <w:szCs w:val="21"/>
        </w:rPr>
        <w:t>确认受理赎回比例不低于上一日产品总份额</w:t>
      </w:r>
      <w:r>
        <w:rPr>
          <w:rFonts w:ascii="黑体" w:eastAsia="黑体" w:hAnsi="黑体" w:cs="宋体"/>
          <w:kern w:val="0"/>
          <w:szCs w:val="21"/>
        </w:rPr>
        <w:t>10%的前提下，有权拒绝</w:t>
      </w:r>
      <w:r>
        <w:rPr>
          <w:rFonts w:ascii="黑体" w:eastAsia="黑体" w:hAnsi="黑体" w:cs="宋体" w:hint="eastAsia"/>
          <w:kern w:val="0"/>
          <w:szCs w:val="21"/>
        </w:rPr>
        <w:t>受理其余部分或全部赎回申请。对于当期确认受理的总赎回申请份额，产品管理人将在申请确认日按单个投资者申请赎回份额占当期申请赎回总份额的比例，确定受理该单个投资者当期的赎回份额。针对当日未确认受理的赎回申请份额，投资者可在申请赎回时选择予以撤销，未选择撤销的赎回申请，产品管理人可以延迟至下一开放日处理，延迟至下一开放日的赎回申请不享有优先确认权。巨额赎回处理方式具体以销售机构展示为准。</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w:t>
      </w:r>
      <w:r>
        <w:rPr>
          <w:rFonts w:ascii="黑体" w:eastAsia="黑体" w:hAnsi="黑体" w:cs="宋体"/>
          <w:kern w:val="0"/>
          <w:szCs w:val="21"/>
        </w:rPr>
        <w:t>3）暂停赎回：</w:t>
      </w:r>
      <w:r>
        <w:rPr>
          <w:rFonts w:ascii="黑体" w:eastAsia="黑体" w:hAnsi="黑体" w:cs="宋体" w:hint="eastAsia"/>
          <w:kern w:val="0"/>
          <w:szCs w:val="21"/>
        </w:rPr>
        <w:t>产品连续</w:t>
      </w:r>
      <w:r>
        <w:rPr>
          <w:rFonts w:ascii="黑体" w:eastAsia="黑体" w:hAnsi="黑体" w:cs="宋体"/>
          <w:kern w:val="0"/>
          <w:szCs w:val="21"/>
        </w:rPr>
        <w:t>2个以上开放日发生巨额赎回的，除采取上述措施外，如产品管理人认为有必要，可暂停接受产品的赎回申请；对于已经接受的赎回申请，产品管理人有权</w:t>
      </w:r>
      <w:r>
        <w:rPr>
          <w:rFonts w:ascii="黑体" w:eastAsia="黑体" w:hAnsi="黑体" w:cs="宋体" w:hint="eastAsia"/>
          <w:kern w:val="0"/>
          <w:szCs w:val="21"/>
        </w:rPr>
        <w:t>延缓支付赎回款项，但延缓期限不得超过</w:t>
      </w:r>
      <w:r>
        <w:rPr>
          <w:rFonts w:ascii="黑体" w:eastAsia="黑体" w:hAnsi="黑体" w:cs="宋体"/>
          <w:kern w:val="0"/>
          <w:szCs w:val="21"/>
        </w:rPr>
        <w:t>20个工作日。</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宋体" w:hint="eastAsia"/>
          <w:b/>
          <w:kern w:val="0"/>
          <w:szCs w:val="21"/>
        </w:rPr>
        <w:t>（</w:t>
      </w:r>
      <w:r>
        <w:rPr>
          <w:rFonts w:ascii="黑体" w:eastAsia="黑体" w:hAnsi="黑体" w:cs="宋体"/>
          <w:b/>
          <w:kern w:val="0"/>
          <w:szCs w:val="21"/>
        </w:rPr>
        <w:t>4）收取短期赎回费：产品发生巨额赎回或产品管理人认为可能会导致产品流动性风险的其他情形下，产品管理人可向连续持有少于7日的开放式理财产品投资者收取短期赎回费，并将上述短期赎回费全额计入理财产品财产。</w:t>
      </w:r>
      <w:r>
        <w:rPr>
          <w:rFonts w:ascii="黑体" w:eastAsia="黑体" w:hAnsi="黑体" w:cs="黑体" w:hint="eastAsia"/>
          <w:b/>
          <w:kern w:val="0"/>
          <w:szCs w:val="21"/>
        </w:rPr>
        <w:t>产品</w:t>
      </w:r>
      <w:r>
        <w:rPr>
          <w:rFonts w:ascii="黑体" w:eastAsia="黑体" w:hAnsi="黑体" w:cs="黑体"/>
          <w:b/>
          <w:kern w:val="0"/>
          <w:szCs w:val="21"/>
        </w:rPr>
        <w:t>管理人将在</w:t>
      </w:r>
      <w:r>
        <w:rPr>
          <w:rFonts w:ascii="黑体" w:eastAsia="黑体" w:hAnsi="黑体" w:cs="黑体" w:hint="eastAsia"/>
          <w:b/>
          <w:kern w:val="0"/>
          <w:szCs w:val="21"/>
        </w:rPr>
        <w:t>收取</w:t>
      </w:r>
      <w:r>
        <w:rPr>
          <w:rFonts w:ascii="黑体" w:eastAsia="黑体" w:hAnsi="黑体" w:cs="黑体"/>
          <w:b/>
          <w:kern w:val="0"/>
          <w:szCs w:val="21"/>
        </w:rPr>
        <w:t>短期赎回费</w:t>
      </w:r>
      <w:r>
        <w:rPr>
          <w:rFonts w:ascii="黑体" w:eastAsia="黑体" w:hAnsi="黑体" w:cs="黑体" w:hint="eastAsia"/>
          <w:b/>
          <w:kern w:val="0"/>
          <w:szCs w:val="21"/>
        </w:rPr>
        <w:t>后</w:t>
      </w:r>
      <w:r>
        <w:rPr>
          <w:rFonts w:ascii="黑体" w:eastAsia="黑体" w:hAnsi="黑体" w:cs="黑体"/>
          <w:b/>
          <w:kern w:val="0"/>
          <w:szCs w:val="21"/>
        </w:rPr>
        <w:t>3个工作日内</w:t>
      </w:r>
      <w:r>
        <w:rPr>
          <w:rFonts w:ascii="黑体" w:eastAsia="黑体" w:hAnsi="黑体" w:cs="黑体" w:hint="eastAsia"/>
          <w:b/>
          <w:kern w:val="0"/>
          <w:szCs w:val="21"/>
        </w:rPr>
        <w:t>通过公告的形式</w:t>
      </w:r>
      <w:r>
        <w:rPr>
          <w:rFonts w:ascii="黑体" w:eastAsia="黑体" w:hAnsi="黑体" w:cs="黑体"/>
          <w:b/>
          <w:kern w:val="0"/>
          <w:szCs w:val="21"/>
        </w:rPr>
        <w:t>向相关</w:t>
      </w:r>
      <w:r>
        <w:rPr>
          <w:rFonts w:ascii="黑体" w:eastAsia="黑体" w:hAnsi="黑体" w:cs="黑体" w:hint="eastAsia"/>
          <w:b/>
          <w:kern w:val="0"/>
          <w:szCs w:val="21"/>
        </w:rPr>
        <w:t>投资者</w:t>
      </w:r>
      <w:r>
        <w:rPr>
          <w:rFonts w:ascii="黑体" w:eastAsia="黑体" w:hAnsi="黑体" w:cs="黑体"/>
          <w:b/>
          <w:kern w:val="0"/>
          <w:szCs w:val="21"/>
        </w:rPr>
        <w:t>披露</w:t>
      </w:r>
      <w:r>
        <w:rPr>
          <w:rFonts w:ascii="黑体" w:eastAsia="黑体" w:hAnsi="黑体" w:cs="黑体" w:hint="eastAsia"/>
          <w:b/>
          <w:kern w:val="0"/>
          <w:szCs w:val="21"/>
        </w:rPr>
        <w:t>短期赎回费率、费用计算方式、收费方式等信息</w:t>
      </w:r>
      <w:r>
        <w:rPr>
          <w:rFonts w:ascii="黑体" w:eastAsia="黑体" w:hAnsi="黑体" w:cs="黑体"/>
          <w:b/>
          <w:kern w:val="0"/>
          <w:szCs w:val="21"/>
        </w:rPr>
        <w:t>。</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w:t>
      </w:r>
      <w:r>
        <w:rPr>
          <w:rFonts w:ascii="黑体" w:eastAsia="黑体" w:hAnsi="黑体" w:cs="黑体"/>
          <w:kern w:val="0"/>
          <w:szCs w:val="21"/>
        </w:rPr>
        <w:t>其他</w:t>
      </w:r>
      <w:r>
        <w:rPr>
          <w:rFonts w:ascii="黑体" w:eastAsia="黑体" w:hAnsi="黑体" w:cs="黑体" w:hint="eastAsia"/>
          <w:kern w:val="0"/>
          <w:szCs w:val="21"/>
        </w:rPr>
        <w:t>：无</w:t>
      </w:r>
    </w:p>
    <w:p>
      <w:pPr>
        <w:autoSpaceDE w:val="0"/>
        <w:autoSpaceDN w:val="0"/>
        <w:adjustRightInd w:val="0"/>
        <w:jc w:val="left"/>
        <w:rPr>
          <w:rFonts w:ascii="黑体" w:eastAsia="黑体" w:hAnsi="黑体" w:cs="黑体"/>
          <w:kern w:val="0"/>
          <w:szCs w:val="21"/>
        </w:rPr>
      </w:pPr>
      <w:r>
        <w:rPr>
          <w:rFonts w:ascii="黑体" w:eastAsia="黑体" w:hAnsi="黑体" w:cs="黑体" w:hint="eastAsia"/>
          <w:kern w:val="0"/>
          <w:szCs w:val="21"/>
        </w:rPr>
        <w:t>（六</w:t>
      </w:r>
      <w:r>
        <w:rPr>
          <w:rFonts w:ascii="黑体" w:eastAsia="黑体" w:hAnsi="黑体" w:cs="黑体"/>
          <w:kern w:val="0"/>
          <w:szCs w:val="21"/>
        </w:rPr>
        <w:t>）分红规则</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本产品存续期间不分红。</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2、产品管理人有权根据产品实际运作情况，对本产品的分红规则进行调整，如有相应调整，公司将于调整</w:t>
      </w:r>
      <w:r>
        <w:rPr>
          <w:rFonts w:ascii="黑体" w:hAnsi="黑体" w:hint="eastAsia"/>
          <w:kern w:val="0"/>
        </w:rPr>
        <w:t>前</w:t>
      </w:r>
      <w:r>
        <w:rPr>
          <w:rFonts w:ascii="黑体" w:eastAsia="黑体" w:hAnsi="黑体" w:cs="黑体"/>
          <w:kern w:val="0"/>
          <w:szCs w:val="21"/>
        </w:rPr>
        <w:t>3</w:t>
      </w:r>
      <w:r>
        <w:rPr>
          <w:rFonts w:ascii="黑体" w:eastAsia="黑体" w:hAnsi="黑体" w:cs="黑体" w:hint="eastAsia"/>
          <w:kern w:val="0"/>
          <w:szCs w:val="21"/>
        </w:rPr>
        <w:t>个工作日进行信息披露。</w:t>
      </w:r>
    </w:p>
    <w:p>
      <w:pPr>
        <w:autoSpaceDE w:val="0"/>
        <w:autoSpaceDN w:val="0"/>
        <w:adjustRightInd w:val="0"/>
        <w:jc w:val="left"/>
        <w:rPr>
          <w:rFonts w:ascii="黑体" w:eastAsia="黑体" w:hAnsi="黑体" w:cs="ËÎÌå"/>
          <w:kern w:val="0"/>
          <w:szCs w:val="21"/>
        </w:rPr>
      </w:pPr>
      <w:r>
        <w:rPr>
          <w:rFonts w:ascii="黑体" w:eastAsia="黑体" w:hAnsi="黑体" w:cs="黑体" w:hint="eastAsia"/>
          <w:kern w:val="0"/>
          <w:szCs w:val="21"/>
        </w:rPr>
        <w:t>（七）</w:t>
      </w:r>
      <w:r>
        <w:rPr>
          <w:rFonts w:ascii="黑体" w:eastAsia="黑体" w:hAnsi="黑体" w:cs="ËÎÌå" w:hint="eastAsia"/>
          <w:kern w:val="0"/>
          <w:szCs w:val="21"/>
        </w:rPr>
        <w:t>摆动定价机制</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当本产品发生大额认（申）购或赎回情形时，产品管理人可采用摆动定价机制，以确保产品估值的公平性，并于实施后</w:t>
      </w:r>
      <w:r>
        <w:rPr>
          <w:rFonts w:ascii="黑体" w:eastAsia="黑体" w:hAnsi="黑体" w:cs="黑体"/>
          <w:kern w:val="0"/>
          <w:szCs w:val="21"/>
        </w:rPr>
        <w:t>3个工作日内进行公告。摆动定价机制指当本产品遭遇大额认（申）购或赎回时，通过调整理财产品份额净值的方式，将理财产品调整投资组合的市场冲击成本分配给实际认（申）购、赎回的投资者，从而减少对存量理财产品份额持有人利益的不利影响。</w:t>
      </w:r>
      <w:r>
        <w:rPr>
          <w:rFonts w:ascii="黑体" w:eastAsia="黑体" w:hAnsi="黑体" w:cs="黑体" w:hint="eastAsia"/>
          <w:kern w:val="0"/>
          <w:szCs w:val="21"/>
        </w:rPr>
        <w:t>具体操作按照相关法律法规、监管规定和自律规则执行。</w:t>
      </w:r>
    </w:p>
    <w:p>
      <w:pPr>
        <w:autoSpaceDE w:val="0"/>
        <w:autoSpaceDN w:val="0"/>
        <w:adjustRightInd w:val="0"/>
        <w:ind w:firstLine="420" w:firstLineChars="200"/>
        <w:jc w:val="left"/>
        <w:rPr>
          <w:rFonts w:ascii="黑体" w:eastAsia="黑体" w:hAnsi="黑体" w:cs="黑体"/>
          <w:kern w:val="0"/>
          <w:szCs w:val="21"/>
        </w:rPr>
      </w:pP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五、产品资产估值原则</w:t>
      </w:r>
      <w:r>
        <w:rPr>
          <w:rFonts w:ascii="黑体" w:eastAsia="黑体" w:hAnsi="黑体" w:cs="黑体"/>
          <w:b/>
          <w:kern w:val="0"/>
          <w:szCs w:val="21"/>
        </w:rPr>
        <w:t>及方法</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（一）估值日</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本产品估值日为国家法定工作日。</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（二</w:t>
      </w:r>
      <w:r>
        <w:rPr>
          <w:rFonts w:ascii="黑体" w:eastAsia="黑体" w:hAnsi="黑体" w:cs="宋体"/>
          <w:kern w:val="0"/>
          <w:szCs w:val="21"/>
        </w:rPr>
        <w:t>）</w:t>
      </w:r>
      <w:r>
        <w:rPr>
          <w:rFonts w:ascii="黑体" w:eastAsia="黑体" w:hAnsi="黑体" w:cs="宋体" w:hint="eastAsia"/>
          <w:kern w:val="0"/>
          <w:szCs w:val="21"/>
        </w:rPr>
        <w:t>估值</w:t>
      </w:r>
      <w:r>
        <w:rPr>
          <w:rFonts w:ascii="黑体" w:eastAsia="黑体" w:hAnsi="黑体" w:cs="宋体"/>
          <w:kern w:val="0"/>
          <w:szCs w:val="21"/>
        </w:rPr>
        <w:t>原则</w:t>
      </w:r>
    </w:p>
    <w:p>
      <w:pPr>
        <w:autoSpaceDE w:val="0"/>
        <w:autoSpaceDN w:val="0"/>
        <w:adjustRightInd w:val="0"/>
        <w:ind w:firstLine="420" w:firstLineChars="200"/>
        <w:rPr>
          <w:rFonts w:ascii="黑体" w:eastAsia="黑体" w:hAnsi="黑体" w:cs="黑体"/>
          <w:b/>
          <w:kern w:val="0"/>
          <w:szCs w:val="21"/>
        </w:rPr>
      </w:pPr>
      <w:r>
        <w:rPr>
          <w:rFonts w:ascii="黑体" w:eastAsia="黑体" w:hAnsi="黑体" w:cs="黑体" w:hint="eastAsia"/>
          <w:kern w:val="0"/>
          <w:szCs w:val="21"/>
        </w:rPr>
        <w:t>公司理财产品投资金融资产在符合企业会计准则的前提下坚持公允价值计量原则，鼓励使用市值计量。</w:t>
      </w:r>
      <w:r>
        <w:rPr>
          <w:rFonts w:ascii="黑体" w:eastAsia="黑体" w:hAnsi="黑体" w:cs="黑体" w:hint="eastAsia"/>
          <w:b/>
          <w:kern w:val="0"/>
          <w:szCs w:val="21"/>
        </w:rPr>
        <w:t>符合以下条件之一的，可按照企业会计准则以摊余成本进行计量：</w:t>
      </w:r>
    </w:p>
    <w:p>
      <w:pPr>
        <w:autoSpaceDE w:val="0"/>
        <w:autoSpaceDN w:val="0"/>
        <w:adjustRightInd w:val="0"/>
        <w:ind w:firstLine="420" w:firstLineChars="200"/>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1）资产管理产品为封闭式产品，且所投金融资产以收取合同现金流量为目的并且持有到期。</w:t>
      </w:r>
    </w:p>
    <w:p>
      <w:pPr>
        <w:autoSpaceDE w:val="0"/>
        <w:autoSpaceDN w:val="0"/>
        <w:adjustRightInd w:val="0"/>
        <w:ind w:firstLine="420" w:firstLineChars="200"/>
        <w:rPr>
          <w:rFonts w:ascii="黑体" w:eastAsia="黑体" w:hAnsi="黑体" w:cs="黑体"/>
          <w:kern w:val="0"/>
          <w:szCs w:val="21"/>
        </w:rPr>
      </w:pPr>
      <w:r>
        <w:rPr>
          <w:rFonts w:ascii="黑体" w:eastAsia="黑体" w:hAnsi="黑体" w:cs="黑体" w:hint="eastAsia"/>
          <w:kern w:val="0"/>
          <w:szCs w:val="21"/>
        </w:rPr>
        <w:t>（</w:t>
      </w:r>
      <w:r>
        <w:rPr>
          <w:rFonts w:ascii="黑体" w:eastAsia="黑体" w:hAnsi="黑体" w:cs="黑体"/>
          <w:kern w:val="0"/>
          <w:szCs w:val="21"/>
        </w:rPr>
        <w:t>2）资产管理产品为封闭式产品，且所投金融资产暂不具备活跃交易市场，或者在活跃市场中没有报价、也不能采用估值技术可靠计量公允价值。</w:t>
      </w:r>
    </w:p>
    <w:p>
      <w:pPr>
        <w:autoSpaceDE w:val="0"/>
        <w:autoSpaceDN w:val="0"/>
        <w:adjustRightInd w:val="0"/>
        <w:ind w:firstLine="420" w:firstLineChars="200"/>
        <w:rPr>
          <w:rFonts w:ascii="黑体" w:eastAsia="黑体" w:hAnsi="黑体" w:cs="黑体"/>
          <w:b/>
          <w:kern w:val="0"/>
          <w:szCs w:val="21"/>
        </w:rPr>
      </w:pPr>
      <w:r>
        <w:rPr>
          <w:rFonts w:ascii="黑体" w:eastAsia="黑体" w:hAnsi="黑体" w:cs="黑体" w:hint="eastAsia"/>
          <w:kern w:val="0"/>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w:t>
      </w:r>
      <w:r>
        <w:rPr>
          <w:rFonts w:ascii="黑体" w:eastAsia="黑体" w:hAnsi="黑体" w:cs="黑体" w:hint="eastAsia"/>
          <w:b/>
          <w:kern w:val="0"/>
          <w:szCs w:val="21"/>
        </w:rPr>
        <w:t>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w:t>
      </w:r>
      <w:r>
        <w:rPr>
          <w:rFonts w:ascii="黑体" w:eastAsia="黑体" w:hAnsi="黑体" w:cs="黑体"/>
          <w:b/>
          <w:kern w:val="0"/>
          <w:szCs w:val="21"/>
        </w:rPr>
        <w:t>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pPr>
        <w:autoSpaceDE w:val="0"/>
        <w:autoSpaceDN w:val="0"/>
        <w:adjustRightInd w:val="0"/>
        <w:ind w:firstLine="420" w:firstLineChars="200"/>
        <w:rPr>
          <w:rFonts w:ascii="黑体" w:eastAsia="黑体" w:hAnsi="黑体" w:cs="黑体"/>
          <w:kern w:val="0"/>
          <w:szCs w:val="21"/>
        </w:rPr>
      </w:pPr>
      <w:r>
        <w:rPr>
          <w:rFonts w:ascii="黑体" w:eastAsia="黑体" w:hAnsi="黑体" w:cs="黑体" w:hint="eastAsia"/>
          <w:kern w:val="0"/>
          <w:szCs w:val="21"/>
        </w:rPr>
        <w:t>如财政部、中国人民银行、国家金融监督管理总局等有关部门对估值原则另有规定的，从其规定。</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（三）估值对象</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本产品所持有的所有资产。</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（四）资产估值方法</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1、权益类证券</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2、固定收益类证券</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理财产品直接持有的在证券交易所和全国银行间市场交易的债券，以交易为目的的，</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按第三方估值机构（中债、中证等）提供的估值数据，对本组合持有的债券进行估值，具体第三方估值机构由管理人和托管行具体协商确定；以收取合同现金流量为目的并持有到期的，在符合监管规定的情况下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资产支持证券和资产支持票据原则上按第三方估值机构（中债、中证等）提供的估值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3、存款类资产</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包括：活期存款、定期存款、通知存款、存放同业、大额存单等。按照约定利率在持有期内逐日计提应收利息，在利息到账日以实收利息入账。</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4、非上市基金</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理财产品投资的境内非货币市场基金，</w:t>
      </w:r>
      <w:r>
        <w:rPr>
          <w:rFonts w:ascii="黑体" w:eastAsia="黑体" w:hAnsi="黑体" w:cs="黑体" w:hint="eastAsia"/>
          <w:kern w:val="0"/>
          <w:szCs w:val="21"/>
        </w:rPr>
        <w:t>根据理财产品估值频率，以其最近公布的基金份额净值为基础估值</w:t>
      </w:r>
      <w:r>
        <w:rPr>
          <w:rFonts w:ascii="黑体" w:eastAsia="黑体" w:hAnsi="黑体" w:cs="宋体" w:hint="eastAsia"/>
          <w:kern w:val="0"/>
          <w:szCs w:val="21"/>
        </w:rPr>
        <w:t>；境内货币市场基金，按所投资基金前一估值日后至估值日期间（含节假日）的万份收益计提估值日基金收益。</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5、上市证券投资基金</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理财产品投资的</w:t>
      </w:r>
      <w:r>
        <w:rPr>
          <w:rFonts w:ascii="黑体" w:eastAsia="黑体" w:hAnsi="黑体" w:cs="宋体"/>
          <w:kern w:val="0"/>
          <w:szCs w:val="21"/>
        </w:rPr>
        <w:t>ETF</w:t>
      </w:r>
      <w:r>
        <w:rPr>
          <w:rFonts w:ascii="黑体" w:eastAsia="黑体" w:hAnsi="黑体" w:cs="宋体" w:hint="eastAsia"/>
          <w:kern w:val="0"/>
          <w:szCs w:val="21"/>
        </w:rPr>
        <w:t>基金、境内上市定期开放式基金、封闭式基金，按所投资基金估值日的收盘价估值；境内上市开放式基金（</w:t>
      </w:r>
      <w:r>
        <w:rPr>
          <w:rFonts w:ascii="黑体" w:eastAsia="黑体" w:hAnsi="黑体" w:cs="宋体"/>
          <w:kern w:val="0"/>
          <w:szCs w:val="21"/>
        </w:rPr>
        <w:t>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6、净值型资管产品</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净值型资管产品包括基金资管计划、信托计划等。理财产品投资的资产管理产品，按资产管理人提供的资管产品份额净值估值，净值频率以管理人发布为准。</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7、衍生品</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对非上市交易的衍生品，且第三方估值机构（中证或中债）未提供估值价格的，采用估值技术确定其公允价值。</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8、非标准化债权资产</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符合《关于规范金融机构资产管理业务的指导意见》中规定的可以使用摊余成本法计量的非标准化债权资产，可使用摊余成本法计量，其余采用公允价值法计量。</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9、其他</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各类资产具体估值方法的确认，可参考《企业会计准则》以及相关监管政策的规定。</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10、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11、在任何情况下，产品管理人与托管人所共同认可的估值方式均视为客观、公允的估值方法。该产品估值均以产品公布的估值结果为准。</w:t>
      </w:r>
    </w:p>
    <w:p>
      <w:pPr>
        <w:autoSpaceDE w:val="0"/>
        <w:autoSpaceDN w:val="0"/>
        <w:adjustRightInd w:val="0"/>
        <w:ind w:firstLine="420" w:firstLineChars="200"/>
        <w:rPr>
          <w:rFonts w:ascii="黑体" w:eastAsia="黑体" w:hAnsi="黑体" w:cs="黑体"/>
          <w:color w:val="000000" w:themeColor="text1"/>
          <w:kern w:val="0"/>
          <w:szCs w:val="21"/>
          <w14:textFill>
            <w14:solidFill>
              <w14:schemeClr w14:val="tx1"/>
            </w14:solidFill>
          </w14:textFill>
        </w:rPr>
      </w:pPr>
      <w:r>
        <w:rPr>
          <w:rFonts w:ascii="黑体" w:eastAsia="黑体" w:hAnsi="黑体" w:cs="黑体"/>
          <w:color w:val="000000" w:themeColor="text1"/>
          <w:kern w:val="0"/>
          <w:szCs w:val="21"/>
          <w14:textFill>
            <w14:solidFill>
              <w14:schemeClr w14:val="tx1"/>
            </w14:solidFill>
          </w14:textFill>
        </w:rPr>
        <w:t>12、以上估值方法所涉及的资产类型仅为条款完备性而列举，不代表本产品实际投向该类型资产。本产品的投资范围以说明书“三、产品投资管理（一）投资范围”载明为准。</w:t>
      </w:r>
    </w:p>
    <w:p>
      <w:pPr>
        <w:autoSpaceDE w:val="0"/>
        <w:autoSpaceDN w:val="0"/>
        <w:adjustRightInd w:val="0"/>
        <w:ind w:firstLine="420" w:firstLineChars="200"/>
        <w:jc w:val="left"/>
        <w:rPr>
          <w:rFonts w:ascii="黑体" w:eastAsia="黑体" w:hAnsi="黑体" w:cs="宋体"/>
          <w:kern w:val="0"/>
          <w:szCs w:val="21"/>
        </w:rPr>
      </w:pPr>
    </w:p>
    <w:p>
      <w:pPr>
        <w:autoSpaceDE w:val="0"/>
        <w:autoSpaceDN w:val="0"/>
        <w:adjustRightInd w:val="0"/>
        <w:jc w:val="left"/>
        <w:rPr>
          <w:rFonts w:ascii="黑体" w:eastAsia="黑体" w:hAnsi="黑体" w:cs="ËÎÌå"/>
          <w:kern w:val="0"/>
          <w:szCs w:val="21"/>
        </w:rPr>
      </w:pPr>
      <w:r>
        <w:rPr>
          <w:rFonts w:ascii="黑体" w:eastAsia="黑体" w:hAnsi="黑体" w:cs="ËÎÌå" w:hint="eastAsia"/>
          <w:kern w:val="0"/>
          <w:szCs w:val="21"/>
        </w:rPr>
        <w:t>（五）估值错误的处理</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产品</w:t>
      </w:r>
      <w:r>
        <w:rPr>
          <w:rFonts w:ascii="黑体" w:eastAsia="黑体" w:hAnsi="黑体" w:cs="黑体"/>
          <w:kern w:val="0"/>
          <w:szCs w:val="21"/>
        </w:rPr>
        <w:t>管理人</w:t>
      </w:r>
      <w:r>
        <w:rPr>
          <w:rFonts w:ascii="黑体" w:eastAsia="黑体" w:hAnsi="黑体" w:cs="黑体" w:hint="eastAsia"/>
          <w:kern w:val="0"/>
          <w:szCs w:val="21"/>
        </w:rPr>
        <w:t>和托管机构将采取必要、适当合理的措施确保产品资产估值的准确性、及时性。当产品单位净值出现错误时，产品</w:t>
      </w:r>
      <w:r>
        <w:rPr>
          <w:rFonts w:ascii="黑体" w:eastAsia="黑体" w:hAnsi="黑体" w:cs="黑体"/>
          <w:kern w:val="0"/>
          <w:szCs w:val="21"/>
        </w:rPr>
        <w:t>管理人</w:t>
      </w:r>
      <w:r>
        <w:rPr>
          <w:rFonts w:ascii="黑体" w:eastAsia="黑体" w:hAnsi="黑体" w:cs="黑体" w:hint="eastAsia"/>
          <w:kern w:val="0"/>
          <w:szCs w:val="21"/>
        </w:rPr>
        <w:t>应当立即予以纠正，并采取合理的措施防止损失进一步扩大。由于本产品估值所用的价格来源出现错误，或由于其它不可抗力原因，产品</w:t>
      </w:r>
      <w:r>
        <w:rPr>
          <w:rFonts w:ascii="黑体" w:eastAsia="黑体" w:hAnsi="黑体" w:cs="黑体"/>
          <w:kern w:val="0"/>
          <w:szCs w:val="21"/>
        </w:rPr>
        <w:t>管理人</w:t>
      </w:r>
      <w:r>
        <w:rPr>
          <w:rFonts w:ascii="黑体" w:eastAsia="黑体" w:hAnsi="黑体" w:cs="黑体" w:hint="eastAsia"/>
          <w:kern w:val="0"/>
          <w:szCs w:val="21"/>
        </w:rPr>
        <w:t>和托管机构虽然已经采取必要、适当、合理的措施进行检查，但是未能发现该错误的，</w:t>
      </w:r>
      <w:r>
        <w:rPr>
          <w:rFonts w:ascii="黑体" w:eastAsia="黑体" w:hAnsi="黑体" w:cs="黑体" w:hint="eastAsia"/>
          <w:b/>
          <w:kern w:val="0"/>
          <w:szCs w:val="21"/>
        </w:rPr>
        <w:t>由此造成的产品资产估值错误，产品</w:t>
      </w:r>
      <w:r>
        <w:rPr>
          <w:rFonts w:ascii="黑体" w:eastAsia="黑体" w:hAnsi="黑体" w:cs="黑体"/>
          <w:b/>
          <w:kern w:val="0"/>
          <w:szCs w:val="21"/>
        </w:rPr>
        <w:t>管理人</w:t>
      </w:r>
      <w:r>
        <w:rPr>
          <w:rFonts w:ascii="黑体" w:eastAsia="黑体" w:hAnsi="黑体" w:cs="黑体" w:hint="eastAsia"/>
          <w:b/>
          <w:kern w:val="0"/>
          <w:szCs w:val="21"/>
        </w:rPr>
        <w:t>和托管机构不承担责任。</w:t>
      </w:r>
      <w:r>
        <w:rPr>
          <w:rFonts w:ascii="黑体" w:eastAsia="黑体" w:hAnsi="黑体" w:cs="黑体" w:hint="eastAsia"/>
          <w:kern w:val="0"/>
          <w:szCs w:val="21"/>
        </w:rPr>
        <w:t>但产品</w:t>
      </w:r>
      <w:r>
        <w:rPr>
          <w:rFonts w:ascii="黑体" w:eastAsia="黑体" w:hAnsi="黑体" w:cs="黑体"/>
          <w:kern w:val="0"/>
          <w:szCs w:val="21"/>
        </w:rPr>
        <w:t>管理人</w:t>
      </w:r>
      <w:r>
        <w:rPr>
          <w:rFonts w:ascii="黑体" w:eastAsia="黑体" w:hAnsi="黑体" w:cs="黑体" w:hint="eastAsia"/>
          <w:kern w:val="0"/>
          <w:szCs w:val="21"/>
        </w:rPr>
        <w:t>和托管机构应当积极采取必要的措施消除或减轻由此造成的影响。</w:t>
      </w:r>
    </w:p>
    <w:p>
      <w:pPr>
        <w:autoSpaceDE w:val="0"/>
        <w:autoSpaceDN w:val="0"/>
        <w:adjustRightInd w:val="0"/>
        <w:jc w:val="left"/>
        <w:rPr>
          <w:rFonts w:ascii="黑体" w:eastAsia="黑体" w:hAnsi="黑体" w:cs="ËÎÌå"/>
          <w:kern w:val="0"/>
          <w:szCs w:val="21"/>
        </w:rPr>
      </w:pPr>
      <w:r>
        <w:rPr>
          <w:rFonts w:ascii="黑体" w:eastAsia="黑体" w:hAnsi="黑体" w:cs="ËÎÌå" w:hint="eastAsia"/>
          <w:kern w:val="0"/>
          <w:szCs w:val="21"/>
        </w:rPr>
        <w:t>（六）暂停估值</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当本产品资产的估值因不可抗力或其它情形致使产品</w:t>
      </w:r>
      <w:r>
        <w:rPr>
          <w:rFonts w:ascii="黑体" w:eastAsia="黑体" w:hAnsi="黑体" w:cs="黑体"/>
          <w:kern w:val="0"/>
          <w:szCs w:val="21"/>
        </w:rPr>
        <w:t>管理人</w:t>
      </w:r>
      <w:r>
        <w:rPr>
          <w:rFonts w:ascii="黑体" w:eastAsia="黑体" w:hAnsi="黑体" w:cs="黑体" w:hint="eastAsia"/>
          <w:kern w:val="0"/>
          <w:szCs w:val="21"/>
        </w:rPr>
        <w:t>、托管机构无法准确评估产品资产价值的，当本产品在前一估值日内，产品资产净值</w:t>
      </w:r>
      <w:r>
        <w:rPr>
          <w:rFonts w:ascii="黑体" w:eastAsia="黑体" w:hAnsi="黑体" w:cs="黑体"/>
          <w:kern w:val="0"/>
          <w:szCs w:val="21"/>
        </w:rPr>
        <w:t>50%以上的资产不具备活跃交易市场或者在活跃市场中无报价，且不能采用估值技术可靠计量公允价值</w:t>
      </w:r>
      <w:r>
        <w:rPr>
          <w:rFonts w:ascii="黑体" w:eastAsia="黑体" w:hAnsi="黑体" w:cs="黑体" w:hint="eastAsia"/>
          <w:kern w:val="0"/>
          <w:szCs w:val="21"/>
        </w:rPr>
        <w:t>的，或当本产品存在国家金融监督管理总局认定的导致无法准确估值的其它情形的，产品</w:t>
      </w:r>
      <w:r>
        <w:rPr>
          <w:rFonts w:ascii="黑体" w:eastAsia="黑体" w:hAnsi="黑体" w:cs="黑体"/>
          <w:kern w:val="0"/>
          <w:szCs w:val="21"/>
        </w:rPr>
        <w:t>管理人</w:t>
      </w:r>
      <w:r>
        <w:rPr>
          <w:rFonts w:ascii="黑体" w:eastAsia="黑体" w:hAnsi="黑体" w:cs="黑体" w:hint="eastAsia"/>
          <w:kern w:val="0"/>
          <w:szCs w:val="21"/>
        </w:rPr>
        <w:t>可暂停产品的估值直至另行通知，并采取延缓支付赎回款项或暂停接受理财产品认（申）购、赎回申请等措施，同时在</w:t>
      </w:r>
      <w:r>
        <w:rPr>
          <w:rFonts w:ascii="黑体" w:eastAsia="黑体" w:hAnsi="黑体" w:cs="黑体"/>
          <w:kern w:val="0"/>
          <w:szCs w:val="21"/>
        </w:rPr>
        <w:t>3个工作日内告知本产品的投资者，并说明运用相关措施的原因、拟采取的应对安排等。</w:t>
      </w:r>
      <w:r>
        <w:rPr>
          <w:rFonts w:ascii="黑体" w:eastAsia="黑体" w:hAnsi="黑体" w:cs="黑体" w:hint="eastAsia"/>
          <w:b/>
          <w:kern w:val="0"/>
          <w:szCs w:val="21"/>
        </w:rPr>
        <w:t>由此造成的损失，产品</w:t>
      </w:r>
      <w:r>
        <w:rPr>
          <w:rFonts w:ascii="黑体" w:eastAsia="黑体" w:hAnsi="黑体" w:cs="黑体"/>
          <w:b/>
          <w:kern w:val="0"/>
          <w:szCs w:val="21"/>
        </w:rPr>
        <w:t>管理人</w:t>
      </w:r>
      <w:r>
        <w:rPr>
          <w:rFonts w:ascii="黑体" w:eastAsia="黑体" w:hAnsi="黑体" w:cs="黑体" w:hint="eastAsia"/>
          <w:b/>
          <w:kern w:val="0"/>
          <w:szCs w:val="21"/>
        </w:rPr>
        <w:t>和托管机构不承担责任。</w:t>
      </w:r>
    </w:p>
    <w:p>
      <w:pPr>
        <w:autoSpaceDE w:val="0"/>
        <w:autoSpaceDN w:val="0"/>
        <w:adjustRightInd w:val="0"/>
        <w:ind w:firstLine="496" w:firstLineChars="236"/>
        <w:jc w:val="left"/>
        <w:rPr>
          <w:rFonts w:ascii="黑体" w:eastAsia="黑体" w:hAnsi="黑体" w:cs="ËÎÌå"/>
          <w:kern w:val="0"/>
          <w:szCs w:val="21"/>
        </w:rPr>
      </w:pP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六、产品费用、收益及税收说明</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（一）产品费用计提方法、计提标准和支付方式</w:t>
      </w:r>
    </w:p>
    <w:p>
      <w:pPr>
        <w:autoSpaceDE w:val="0"/>
        <w:autoSpaceDN w:val="0"/>
        <w:adjustRightInd w:val="0"/>
        <w:ind w:firstLine="420" w:firstLineChars="200"/>
        <w:jc w:val="left"/>
        <w:rPr>
          <w:rFonts w:ascii="黑体" w:eastAsia="黑体" w:hAnsi="黑体" w:cs="黑体"/>
          <w:b/>
          <w:kern w:val="0"/>
          <w:szCs w:val="21"/>
        </w:rPr>
      </w:pPr>
      <w:bookmarkStart w:id="15" w:name="_Hlk33053751"/>
      <w:bookmarkStart w:id="16" w:name="_Hlk33107492"/>
      <w:r>
        <w:rPr>
          <w:rFonts w:ascii="黑体" w:eastAsia="黑体" w:hAnsi="黑体" w:cs="黑体" w:hint="eastAsia"/>
          <w:b/>
          <w:kern w:val="0"/>
          <w:szCs w:val="21"/>
        </w:rPr>
        <w:t>本产品收取的费用包括销售服务费、固定管理费、托管费等</w:t>
      </w:r>
      <w:r>
        <w:rPr>
          <w:rFonts w:ascii="黑体" w:eastAsia="黑体" w:hAnsi="黑体" w:cs="黑体"/>
          <w:b/>
          <w:kern w:val="0"/>
          <w:szCs w:val="21"/>
        </w:rPr>
        <w:t>，具体计提方法、计提标准和支付方式如下：</w:t>
      </w:r>
    </w:p>
    <w:p>
      <w:pPr>
        <w:autoSpaceDE w:val="0"/>
        <w:autoSpaceDN w:val="0"/>
        <w:adjustRightInd w:val="0"/>
        <w:ind w:firstLine="420" w:firstLineChars="200"/>
        <w:jc w:val="left"/>
        <w:rPr>
          <w:rFonts w:ascii="黑体" w:eastAsia="黑体" w:hAnsi="黑体"/>
          <w:b/>
          <w:color w:val="000000" w:themeColor="text1"/>
          <w:kern w:val="0"/>
          <w14:textFill>
            <w14:solidFill>
              <w14:schemeClr w14:val="tx1"/>
            </w14:solidFill>
          </w14:textFill>
        </w:rPr>
      </w:pPr>
      <w:r>
        <w:rPr>
          <w:rFonts w:ascii="黑体" w:eastAsia="黑体" w:hAnsi="黑体" w:cs="黑体"/>
          <w:b/>
          <w:kern w:val="0"/>
          <w:szCs w:val="21"/>
        </w:rPr>
        <w:t>1</w:t>
      </w:r>
      <w:r>
        <w:rPr>
          <w:rFonts w:ascii="黑体" w:eastAsia="黑体" w:hAnsi="黑体" w:cs="黑体" w:hint="eastAsia"/>
          <w:b/>
          <w:kern w:val="0"/>
          <w:szCs w:val="21"/>
        </w:rPr>
        <w:t>、销售服务费：本产品</w:t>
      </w:r>
      <w:r>
        <w:rPr>
          <w:rFonts w:ascii="黑体" w:eastAsia="黑体" w:hAnsi="黑体" w:hint="eastAsia"/>
          <w:b/>
          <w:color w:val="000000" w:themeColor="text1"/>
          <w:kern w:val="0"/>
          <w14:textFill>
            <w14:solidFill>
              <w14:schemeClr w14:val="tx1"/>
            </w14:solidFill>
          </w14:textFill>
        </w:rPr>
        <w:t>销售服务费按</w:t>
      </w:r>
      <w:r>
        <w:rPr>
          <w:rFonts w:ascii="黑体" w:eastAsia="黑体" w:hAnsi="黑体" w:cs="黑体"/>
          <w:b/>
          <w:color w:val="000000" w:themeColor="text1"/>
          <w:kern w:val="0"/>
          <w:szCs w:val="21"/>
          <w14:textFill>
            <w14:solidFill>
              <w14:schemeClr w14:val="tx1"/>
            </w14:solidFill>
          </w14:textFill>
        </w:rPr>
        <w:t>当日产品扣除回购融资、产品运作及清算中产生的其他费用、产品运营中发生的增值税及附加税费等费用后的资产净值的0.30%</w:t>
      </w:r>
      <w:r>
        <w:rPr>
          <w:rFonts w:ascii="黑体" w:eastAsia="黑体" w:hAnsi="黑体" w:cs="黑体" w:hint="eastAsia"/>
          <w:b/>
          <w:color w:val="000000" w:themeColor="text1"/>
          <w:kern w:val="0"/>
          <w:szCs w:val="21"/>
          <w14:textFill>
            <w14:solidFill>
              <w14:schemeClr w14:val="tx1"/>
            </w14:solidFill>
          </w14:textFill>
        </w:rPr>
        <w:t>（适用于</w:t>
      </w:r>
      <w:r>
        <w:rPr>
          <w:rFonts w:ascii="黑体" w:eastAsia="黑体" w:hAnsi="黑体" w:cs="黑体"/>
          <w:b/>
          <w:color w:val="000000" w:themeColor="text1"/>
          <w:kern w:val="0"/>
          <w:szCs w:val="21"/>
          <w14:textFill>
            <w14:solidFill>
              <w14:schemeClr w14:val="tx1"/>
            </w14:solidFill>
          </w14:textFill>
        </w:rPr>
        <w:t>A、B</w:t>
      </w:r>
      <w:r>
        <w:rPr>
          <w:rFonts w:ascii="黑体" w:eastAsia="黑体" w:hAnsi="黑体" w:cs="黑体" w:hint="eastAsia"/>
          <w:b/>
          <w:color w:val="000000" w:themeColor="text1"/>
          <w:kern w:val="0"/>
          <w:szCs w:val="21"/>
          <w14:textFill>
            <w14:solidFill>
              <w14:schemeClr w14:val="tx1"/>
            </w14:solidFill>
          </w14:textFill>
        </w:rPr>
        <w:t>、</w:t>
      </w:r>
      <w:r>
        <w:rPr>
          <w:rFonts w:ascii="黑体" w:eastAsia="黑体" w:hAnsi="黑体" w:cs="黑体"/>
          <w:b/>
          <w:color w:val="000000" w:themeColor="text1"/>
          <w:kern w:val="0"/>
          <w:szCs w:val="21"/>
          <w14:textFill>
            <w14:solidFill>
              <w14:schemeClr w14:val="tx1"/>
            </w14:solidFill>
          </w14:textFill>
        </w:rPr>
        <w:t>D、E</w:t>
      </w:r>
      <w:r>
        <w:rPr>
          <w:rFonts w:ascii="黑体" w:eastAsia="黑体" w:hAnsi="黑体" w:cs="黑体" w:hint="eastAsia"/>
          <w:b/>
          <w:color w:val="000000" w:themeColor="text1"/>
          <w:kern w:val="0"/>
          <w:szCs w:val="21"/>
          <w14:textFill>
            <w14:solidFill>
              <w14:schemeClr w14:val="tx1"/>
            </w14:solidFill>
          </w14:textFill>
        </w:rPr>
        <w:t>、G、J、P、S份额）/</w:t>
      </w:r>
      <w:r>
        <w:rPr>
          <w:rFonts w:ascii="黑体" w:eastAsia="黑体" w:hAnsi="黑体" w:cs="黑体"/>
          <w:b/>
          <w:color w:val="000000" w:themeColor="text1"/>
          <w:kern w:val="0"/>
          <w:szCs w:val="21"/>
          <w14:textFill>
            <w14:solidFill>
              <w14:schemeClr w14:val="tx1"/>
            </w14:solidFill>
          </w14:textFill>
        </w:rPr>
        <w:t>0.27%</w:t>
      </w:r>
      <w:r>
        <w:rPr>
          <w:rFonts w:ascii="黑体" w:eastAsia="黑体" w:hAnsi="黑体" w:cs="黑体" w:hint="eastAsia"/>
          <w:b/>
          <w:color w:val="000000" w:themeColor="text1"/>
          <w:kern w:val="0"/>
          <w:szCs w:val="21"/>
          <w14:textFill>
            <w14:solidFill>
              <w14:schemeClr w14:val="tx1"/>
            </w14:solidFill>
          </w14:textFill>
        </w:rPr>
        <w:t>（适用于K份额）/</w:t>
      </w:r>
      <w:r>
        <w:rPr>
          <w:rFonts w:ascii="黑体" w:eastAsia="黑体" w:hAnsi="黑体" w:cs="黑体"/>
          <w:b/>
          <w:color w:val="000000" w:themeColor="text1"/>
          <w:kern w:val="0"/>
          <w:szCs w:val="21"/>
          <w14:textFill>
            <w14:solidFill>
              <w14:schemeClr w14:val="tx1"/>
            </w14:solidFill>
          </w14:textFill>
        </w:rPr>
        <w:t>0.10%</w:t>
      </w:r>
      <w:r>
        <w:rPr>
          <w:rFonts w:ascii="黑体" w:eastAsia="黑体" w:hAnsi="黑体" w:cs="黑体" w:hint="eastAsia"/>
          <w:b/>
          <w:color w:val="000000" w:themeColor="text1"/>
          <w:kern w:val="0"/>
          <w:szCs w:val="21"/>
          <w14:textFill>
            <w14:solidFill>
              <w14:schemeClr w14:val="tx1"/>
            </w14:solidFill>
          </w14:textFill>
        </w:rPr>
        <w:t>（适用于</w:t>
      </w:r>
      <w:r>
        <w:rPr>
          <w:rFonts w:ascii="黑体" w:eastAsia="黑体" w:hAnsi="黑体" w:cs="黑体"/>
          <w:b/>
          <w:color w:val="000000" w:themeColor="text1"/>
          <w:kern w:val="0"/>
          <w:szCs w:val="21"/>
          <w14:textFill>
            <w14:solidFill>
              <w14:schemeClr w14:val="tx1"/>
            </w14:solidFill>
          </w14:textFill>
        </w:rPr>
        <w:t>L</w:t>
      </w:r>
      <w:r>
        <w:rPr>
          <w:rFonts w:ascii="黑体" w:eastAsia="黑体" w:hAnsi="黑体" w:cs="黑体" w:hint="eastAsia"/>
          <w:b/>
          <w:color w:val="000000" w:themeColor="text1"/>
          <w:kern w:val="0"/>
          <w:szCs w:val="21"/>
          <w14:textFill>
            <w14:solidFill>
              <w14:schemeClr w14:val="tx1"/>
            </w14:solidFill>
          </w14:textFill>
        </w:rPr>
        <w:t>份额）年费率计提。</w:t>
      </w:r>
      <w:r>
        <w:rPr>
          <w:rFonts w:ascii="黑体" w:eastAsia="黑体" w:hAnsi="黑体" w:hint="eastAsia"/>
          <w:b/>
          <w:color w:val="000000" w:themeColor="text1"/>
          <w:kern w:val="0"/>
          <w14:textFill>
            <w14:solidFill>
              <w14:schemeClr w14:val="tx1"/>
            </w14:solidFill>
          </w14:textFill>
        </w:rPr>
        <w:t>计算方法如下：</w:t>
      </w:r>
    </w:p>
    <w:p>
      <w:pPr>
        <w:autoSpaceDE w:val="0"/>
        <w:autoSpaceDN w:val="0"/>
        <w:adjustRightInd w:val="0"/>
        <w:ind w:left="420" w:left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b/>
          <w:color w:val="000000" w:themeColor="text1"/>
          <w:kern w:val="0"/>
          <w:szCs w:val="21"/>
          <w14:textFill>
            <w14:solidFill>
              <w14:schemeClr w14:val="tx1"/>
            </w14:solidFill>
          </w14:textFill>
        </w:rPr>
        <w:t>F=E×销售服务费率（年化）÷365</w:t>
      </w:r>
      <w:r>
        <w:rPr>
          <w:rFonts w:ascii="黑体" w:eastAsia="黑体" w:hAnsi="黑体" w:cs="黑体"/>
          <w:b/>
          <w:color w:val="000000" w:themeColor="text1"/>
          <w:kern w:val="0"/>
          <w:szCs w:val="21"/>
          <w14:textFill>
            <w14:solidFill>
              <w14:schemeClr w14:val="tx1"/>
            </w14:solidFill>
          </w14:textFill>
        </w:rPr>
        <w:br/>
      </w:r>
      <w:r>
        <w:rPr>
          <w:rFonts w:ascii="黑体" w:eastAsia="黑体" w:hAnsi="黑体" w:cs="黑体"/>
          <w:b/>
          <w:color w:val="000000" w:themeColor="text1"/>
          <w:kern w:val="0"/>
          <w:szCs w:val="21"/>
          <w14:textFill>
            <w14:solidFill>
              <w14:schemeClr w14:val="tx1"/>
            </w14:solidFill>
          </w14:textFill>
        </w:rPr>
        <w:t>F为每一自然日应计提的销售服务费</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b/>
          <w:color w:val="000000" w:themeColor="text1"/>
          <w:kern w:val="0"/>
          <w:szCs w:val="21"/>
          <w14:textFill>
            <w14:solidFill>
              <w14:schemeClr w14:val="tx1"/>
            </w14:solidFill>
          </w14:textFill>
        </w:rPr>
        <w:t>E为</w:t>
      </w:r>
      <w:r>
        <w:rPr>
          <w:rFonts w:ascii="黑体" w:eastAsia="黑体" w:hAnsi="黑体" w:cs="黑体" w:hint="eastAsia"/>
          <w:b/>
          <w:color w:val="000000" w:themeColor="text1"/>
          <w:kern w:val="0"/>
          <w:szCs w:val="21"/>
          <w14:textFill>
            <w14:solidFill>
              <w14:schemeClr w14:val="tx1"/>
            </w14:solidFill>
          </w14:textFill>
        </w:rPr>
        <w:t>估值日产品扣除回购融资、产品运作及清算中产生的其他费用、产品运营中发生的增值税及附加税费等费用后的资产净值</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hint="eastAsia"/>
          <w:b/>
          <w:color w:val="000000" w:themeColor="text1"/>
          <w:kern w:val="0"/>
          <w:szCs w:val="21"/>
          <w14:textFill>
            <w14:solidFill>
              <w14:schemeClr w14:val="tx1"/>
            </w14:solidFill>
          </w14:textFill>
        </w:rPr>
        <w:t>销售服务费每日计提，按季支付，或由管理人向托管人发送指令，托管人复核后从产品资产中支付。</w:t>
      </w:r>
    </w:p>
    <w:p>
      <w:pPr>
        <w:autoSpaceDE w:val="0"/>
        <w:autoSpaceDN w:val="0"/>
        <w:adjustRightInd w:val="0"/>
        <w:jc w:val="left"/>
        <w:rPr>
          <w:rFonts w:ascii="黑体" w:eastAsia="黑体" w:hAnsi="黑体" w:cs="黑体"/>
          <w:b/>
          <w:color w:val="000000" w:themeColor="text1"/>
          <w:kern w:val="0"/>
          <w:szCs w:val="21"/>
          <w14:textFill>
            <w14:solidFill>
              <w14:schemeClr w14:val="tx1"/>
            </w14:solidFill>
          </w14:textFill>
        </w:rPr>
      </w:pP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2</w:t>
      </w:r>
      <w:r>
        <w:rPr>
          <w:rFonts w:ascii="黑体" w:eastAsia="黑体" w:hAnsi="黑体" w:cs="黑体" w:hint="eastAsia"/>
          <w:b/>
          <w:kern w:val="0"/>
          <w:szCs w:val="21"/>
        </w:rPr>
        <w:t>、固定管理费：本产品固定管理费按当日产品扣除回购融资、产品运作及清算中产生的其他费用、产品运营中发生的增值税及附加税费等费用后的资产净值的</w:t>
      </w:r>
      <w:r>
        <w:rPr>
          <w:rFonts w:ascii="黑体" w:eastAsia="黑体" w:hAnsi="黑体" w:cs="黑体"/>
          <w:b/>
          <w:kern w:val="0"/>
          <w:szCs w:val="21"/>
        </w:rPr>
        <w:t>0.50%</w:t>
      </w:r>
      <w:r>
        <w:rPr>
          <w:rFonts w:ascii="黑体" w:eastAsia="黑体" w:hAnsi="黑体" w:cs="黑体" w:hint="eastAsia"/>
          <w:b/>
          <w:color w:val="000000" w:themeColor="text1"/>
          <w:kern w:val="0"/>
          <w:szCs w:val="21"/>
          <w14:textFill>
            <w14:solidFill>
              <w14:schemeClr w14:val="tx1"/>
            </w14:solidFill>
          </w14:textFill>
        </w:rPr>
        <w:t>（适用于</w:t>
      </w:r>
      <w:r>
        <w:rPr>
          <w:rFonts w:ascii="黑体" w:eastAsia="黑体" w:hAnsi="黑体" w:cs="黑体"/>
          <w:b/>
          <w:color w:val="000000" w:themeColor="text1"/>
          <w:kern w:val="0"/>
          <w:szCs w:val="21"/>
          <w14:textFill>
            <w14:solidFill>
              <w14:schemeClr w14:val="tx1"/>
            </w14:solidFill>
          </w14:textFill>
        </w:rPr>
        <w:t>A、B</w:t>
      </w:r>
      <w:r>
        <w:rPr>
          <w:rFonts w:ascii="黑体" w:eastAsia="黑体" w:hAnsi="黑体" w:cs="黑体" w:hint="eastAsia"/>
          <w:b/>
          <w:color w:val="000000" w:themeColor="text1"/>
          <w:kern w:val="0"/>
          <w:szCs w:val="21"/>
          <w14:textFill>
            <w14:solidFill>
              <w14:schemeClr w14:val="tx1"/>
            </w14:solidFill>
          </w14:textFill>
        </w:rPr>
        <w:t>、</w:t>
      </w:r>
      <w:r>
        <w:rPr>
          <w:rFonts w:ascii="黑体" w:eastAsia="黑体" w:hAnsi="黑体" w:cs="黑体"/>
          <w:b/>
          <w:color w:val="000000" w:themeColor="text1"/>
          <w:kern w:val="0"/>
          <w:szCs w:val="21"/>
          <w14:textFill>
            <w14:solidFill>
              <w14:schemeClr w14:val="tx1"/>
            </w14:solidFill>
          </w14:textFill>
        </w:rPr>
        <w:t>E</w:t>
      </w:r>
      <w:r>
        <w:rPr>
          <w:rFonts w:ascii="黑体" w:eastAsia="黑体" w:hAnsi="黑体" w:cs="黑体" w:hint="eastAsia"/>
          <w:b/>
          <w:color w:val="000000" w:themeColor="text1"/>
          <w:kern w:val="0"/>
          <w:szCs w:val="21"/>
          <w14:textFill>
            <w14:solidFill>
              <w14:schemeClr w14:val="tx1"/>
            </w14:solidFill>
          </w14:textFill>
        </w:rPr>
        <w:t>、G、J、K、L、P、S份额）</w:t>
      </w:r>
      <w:r>
        <w:rPr>
          <w:rFonts w:ascii="黑体" w:eastAsia="黑体" w:hAnsi="黑体" w:cs="黑体"/>
          <w:b/>
          <w:color w:val="000000" w:themeColor="text1"/>
          <w:kern w:val="0"/>
          <w:szCs w:val="21"/>
          <w14:textFill>
            <w14:solidFill>
              <w14:schemeClr w14:val="tx1"/>
            </w14:solidFill>
          </w14:textFill>
        </w:rPr>
        <w:t>/</w:t>
      </w:r>
      <w:r>
        <w:rPr>
          <w:rFonts w:ascii="黑体" w:eastAsia="黑体" w:hAnsi="黑体" w:cs="黑体"/>
          <w:b/>
          <w:kern w:val="0"/>
          <w:szCs w:val="21"/>
        </w:rPr>
        <w:t>0.40%</w:t>
      </w:r>
      <w:r>
        <w:rPr>
          <w:rFonts w:ascii="黑体" w:eastAsia="黑体" w:hAnsi="黑体" w:cs="黑体" w:hint="eastAsia"/>
          <w:b/>
          <w:color w:val="000000" w:themeColor="text1"/>
          <w:kern w:val="0"/>
          <w:szCs w:val="21"/>
          <w14:textFill>
            <w14:solidFill>
              <w14:schemeClr w14:val="tx1"/>
            </w14:solidFill>
          </w14:textFill>
        </w:rPr>
        <w:t>（适用于</w:t>
      </w:r>
      <w:r>
        <w:rPr>
          <w:rFonts w:ascii="黑体" w:eastAsia="黑体" w:hAnsi="黑体" w:cs="黑体"/>
          <w:b/>
          <w:color w:val="000000" w:themeColor="text1"/>
          <w:kern w:val="0"/>
          <w:szCs w:val="21"/>
          <w14:textFill>
            <w14:solidFill>
              <w14:schemeClr w14:val="tx1"/>
            </w14:solidFill>
          </w14:textFill>
        </w:rPr>
        <w:t>D份额）</w:t>
      </w:r>
      <w:r>
        <w:rPr>
          <w:rFonts w:ascii="黑体" w:eastAsia="黑体" w:hAnsi="黑体" w:cs="黑体"/>
          <w:b/>
          <w:kern w:val="0"/>
          <w:szCs w:val="21"/>
        </w:rPr>
        <w:t>年费率计提。计算方法如下：</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b/>
          <w:color w:val="000000" w:themeColor="text1"/>
          <w:kern w:val="0"/>
          <w:szCs w:val="21"/>
          <w14:textFill>
            <w14:solidFill>
              <w14:schemeClr w14:val="tx1"/>
            </w14:solidFill>
          </w14:textFill>
        </w:rPr>
        <w:t>H=Y×固定管理费率（年化）÷365</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b/>
          <w:color w:val="000000" w:themeColor="text1"/>
          <w:kern w:val="0"/>
          <w:szCs w:val="21"/>
          <w14:textFill>
            <w14:solidFill>
              <w14:schemeClr w14:val="tx1"/>
            </w14:solidFill>
          </w14:textFill>
        </w:rPr>
        <w:t>H为每一自然日应计提的固定管理费</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b/>
          <w:color w:val="000000" w:themeColor="text1"/>
          <w:kern w:val="0"/>
          <w:szCs w:val="21"/>
          <w14:textFill>
            <w14:solidFill>
              <w14:schemeClr w14:val="tx1"/>
            </w14:solidFill>
          </w14:textFill>
        </w:rPr>
        <w:t>Y为估值日产品扣除回购融资、产品运作及清算中产生的其他费用、产品运营中发生的增值税及附加税费等费用后的资产净值</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hint="eastAsia"/>
          <w:b/>
          <w:color w:val="000000" w:themeColor="text1"/>
          <w:kern w:val="0"/>
          <w:szCs w:val="21"/>
          <w14:textFill>
            <w14:solidFill>
              <w14:schemeClr w14:val="tx1"/>
            </w14:solidFill>
          </w14:textFill>
        </w:rPr>
        <w:t>固定管理费每日计提，按季支付，或由管理人向托管人发送指令，托管人复核后从产品资产中支付。</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b/>
          <w:color w:val="000000" w:themeColor="text1"/>
          <w:kern w:val="0"/>
          <w:szCs w:val="21"/>
          <w14:textFill>
            <w14:solidFill>
              <w14:schemeClr w14:val="tx1"/>
            </w14:solidFill>
          </w14:textFill>
        </w:rPr>
        <w:t>3</w:t>
      </w:r>
      <w:r>
        <w:rPr>
          <w:rFonts w:ascii="黑体" w:eastAsia="黑体" w:hAnsi="黑体" w:cs="黑体" w:hint="eastAsia"/>
          <w:b/>
          <w:color w:val="000000" w:themeColor="text1"/>
          <w:kern w:val="0"/>
          <w:szCs w:val="21"/>
          <w14:textFill>
            <w14:solidFill>
              <w14:schemeClr w14:val="tx1"/>
            </w14:solidFill>
          </w14:textFill>
        </w:rPr>
        <w:t>、浮动管理费：无</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p>
    <w:p>
      <w:pPr>
        <w:autoSpaceDE w:val="0"/>
        <w:autoSpaceDN w:val="0"/>
        <w:adjustRightInd w:val="0"/>
        <w:ind w:firstLine="420" w:firstLineChars="200"/>
        <w:jc w:val="left"/>
        <w:rPr>
          <w:rFonts w:ascii="黑体" w:eastAsia="黑体" w:hAnsi="黑体"/>
          <w:b/>
          <w:color w:val="000000" w:themeColor="text1"/>
          <w:kern w:val="0"/>
          <w14:textFill>
            <w14:solidFill>
              <w14:schemeClr w14:val="tx1"/>
            </w14:solidFill>
          </w14:textFill>
        </w:rPr>
      </w:pPr>
      <w:r>
        <w:rPr>
          <w:rFonts w:ascii="黑体" w:eastAsia="黑体" w:hAnsi="黑体"/>
          <w:b/>
          <w:color w:val="000000" w:themeColor="text1"/>
          <w:kern w:val="0"/>
          <w14:textFill>
            <w14:solidFill>
              <w14:schemeClr w14:val="tx1"/>
            </w14:solidFill>
          </w14:textFill>
        </w:rPr>
        <w:t>4</w:t>
      </w:r>
      <w:r>
        <w:rPr>
          <w:rFonts w:ascii="黑体" w:eastAsia="黑体" w:hAnsi="黑体" w:hint="eastAsia"/>
          <w:b/>
          <w:color w:val="000000" w:themeColor="text1"/>
          <w:kern w:val="0"/>
          <w14:textFill>
            <w14:solidFill>
              <w14:schemeClr w14:val="tx1"/>
            </w14:solidFill>
          </w14:textFill>
        </w:rPr>
        <w:t>、托管费：本产品托管费按</w:t>
      </w:r>
      <w:r>
        <w:rPr>
          <w:rFonts w:ascii="黑体" w:eastAsia="黑体" w:hAnsi="黑体" w:cs="黑体" w:hint="eastAsia"/>
          <w:b/>
          <w:color w:val="000000" w:themeColor="text1"/>
          <w:kern w:val="0"/>
          <w:szCs w:val="21"/>
          <w14:textFill>
            <w14:solidFill>
              <w14:schemeClr w14:val="tx1"/>
            </w14:solidFill>
          </w14:textFill>
        </w:rPr>
        <w:t>当日产品扣除回购融资、产品运作及清算中产生的其他费用、产品运营中发生的增值税及附加税费等费用后的资产净值的</w:t>
      </w:r>
      <w:r>
        <w:rPr>
          <w:rFonts w:ascii="黑体" w:eastAsia="黑体" w:hAnsi="黑体" w:cs="黑体"/>
          <w:b/>
          <w:color w:val="000000" w:themeColor="text1"/>
          <w:kern w:val="0"/>
          <w:szCs w:val="21"/>
          <w14:textFill>
            <w14:solidFill>
              <w14:schemeClr w14:val="tx1"/>
            </w14:solidFill>
          </w14:textFill>
        </w:rPr>
        <w:t>0.01%年费率计提。</w:t>
      </w:r>
      <w:r>
        <w:rPr>
          <w:rFonts w:ascii="黑体" w:eastAsia="黑体" w:hAnsi="黑体" w:hint="eastAsia"/>
          <w:b/>
          <w:color w:val="000000" w:themeColor="text1"/>
          <w:kern w:val="0"/>
          <w14:textFill>
            <w14:solidFill>
              <w14:schemeClr w14:val="tx1"/>
            </w14:solidFill>
          </w14:textFill>
        </w:rPr>
        <w:t>计算方法如下：</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b/>
          <w:color w:val="000000" w:themeColor="text1"/>
          <w:kern w:val="0"/>
          <w:szCs w:val="21"/>
          <w14:textFill>
            <w14:solidFill>
              <w14:schemeClr w14:val="tx1"/>
            </w14:solidFill>
          </w14:textFill>
        </w:rPr>
        <w:t>T＝B×托管费率（年化）÷365</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b/>
          <w:color w:val="000000" w:themeColor="text1"/>
          <w:kern w:val="0"/>
          <w:szCs w:val="21"/>
          <w14:textFill>
            <w14:solidFill>
              <w14:schemeClr w14:val="tx1"/>
            </w14:solidFill>
          </w14:textFill>
        </w:rPr>
        <w:t>T为每一自然日应计提的产品托管费</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b/>
          <w:color w:val="000000" w:themeColor="text1"/>
          <w:kern w:val="0"/>
          <w:szCs w:val="21"/>
          <w14:textFill>
            <w14:solidFill>
              <w14:schemeClr w14:val="tx1"/>
            </w14:solidFill>
          </w14:textFill>
        </w:rPr>
        <w:t>B为估值日产品扣除回购融资、产品运作及清算中产生的其他费用、产品运营中发生的增值税及附加税费等费用后的资产净值</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r>
        <w:rPr>
          <w:rFonts w:ascii="黑体" w:eastAsia="黑体" w:hAnsi="黑体" w:cs="黑体" w:hint="eastAsia"/>
          <w:b/>
          <w:color w:val="000000" w:themeColor="text1"/>
          <w:kern w:val="0"/>
          <w:szCs w:val="21"/>
          <w14:textFill>
            <w14:solidFill>
              <w14:schemeClr w14:val="tx1"/>
            </w14:solidFill>
          </w14:textFill>
        </w:rPr>
        <w:t>托管费每日计提，按季支付，或由管理人向托管人发送指令，托管人复核后从产品资产中支付。</w:t>
      </w:r>
    </w:p>
    <w:p>
      <w:pPr>
        <w:autoSpaceDE w:val="0"/>
        <w:autoSpaceDN w:val="0"/>
        <w:adjustRightInd w:val="0"/>
        <w:ind w:firstLine="420" w:firstLineChars="200"/>
        <w:jc w:val="left"/>
        <w:rPr>
          <w:rFonts w:ascii="黑体" w:eastAsia="黑体" w:hAnsi="黑体" w:cs="黑体"/>
          <w:b/>
          <w:color w:val="000000" w:themeColor="text1"/>
          <w:kern w:val="0"/>
          <w:szCs w:val="21"/>
          <w14:textFill>
            <w14:solidFill>
              <w14:schemeClr w14:val="tx1"/>
            </w14:solidFill>
          </w14:textFill>
        </w:rPr>
      </w:pP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5</w:t>
      </w:r>
      <w:r>
        <w:rPr>
          <w:rFonts w:ascii="黑体" w:eastAsia="黑体" w:hAnsi="黑体" w:cs="黑体" w:hint="eastAsia"/>
          <w:b/>
          <w:kern w:val="0"/>
          <w:szCs w:val="21"/>
        </w:rPr>
        <w:t>、手续费</w:t>
      </w:r>
      <w:r>
        <w:rPr>
          <w:rFonts w:ascii="黑体" w:eastAsia="黑体" w:hAnsi="黑体" w:cs="黑体"/>
          <w:b/>
          <w:kern w:val="0"/>
          <w:szCs w:val="21"/>
        </w:rPr>
        <w:t>：</w:t>
      </w:r>
      <w:bookmarkStart w:id="17" w:name="_Hlk33053737"/>
      <w:r>
        <w:rPr>
          <w:rFonts w:ascii="黑体" w:eastAsia="黑体" w:hAnsi="黑体" w:cs="黑体" w:hint="eastAsia"/>
          <w:b/>
          <w:kern w:val="0"/>
          <w:szCs w:val="21"/>
        </w:rPr>
        <w:t>无</w:t>
      </w:r>
    </w:p>
    <w:bookmarkEnd w:id="17"/>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6、其他费用：</w:t>
      </w:r>
      <w:r>
        <w:rPr>
          <w:rFonts w:ascii="黑体" w:eastAsia="黑体" w:hAnsi="黑体" w:cs="黑体" w:hint="eastAsia"/>
          <w:b/>
          <w:kern w:val="0"/>
          <w:szCs w:val="21"/>
        </w:rPr>
        <w:t>无</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7、</w:t>
      </w:r>
      <w:r>
        <w:rPr>
          <w:rFonts w:ascii="黑体" w:eastAsia="黑体" w:hAnsi="黑体" w:cs="黑体" w:hint="eastAsia"/>
          <w:b/>
          <w:kern w:val="0"/>
          <w:szCs w:val="21"/>
        </w:rPr>
        <w:t>产品运作和清算中产生的其他费用，包括但不限于资金汇划费、结算费、交易手续费、注册登记费、信息披露费、账户服务费、审计费、项目推荐费、相关机构为本理财产品投资交易提供保管、咨询、顾问、管理等服务所收取的费用、代表投资者利益行使诉讼权利或实施其他法律行为所产生的费用（包括但不限于资产处置费、诉讼费、仲裁费、保全费、律师费、鉴定费、公证费、评估费）等，按照实际发生情况从产品中列支。</w:t>
      </w:r>
      <w:bookmarkEnd w:id="15"/>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8</w:t>
      </w:r>
      <w:r>
        <w:rPr>
          <w:rFonts w:ascii="黑体" w:eastAsia="黑体" w:hAnsi="黑体" w:cs="黑体" w:hint="eastAsia"/>
          <w:kern w:val="0"/>
          <w:szCs w:val="21"/>
        </w:rPr>
        <w:t>、上述费用将按相关</w:t>
      </w:r>
      <w:r>
        <w:rPr>
          <w:rFonts w:ascii="黑体" w:eastAsia="黑体" w:hAnsi="黑体" w:cs="黑体"/>
          <w:kern w:val="0"/>
          <w:szCs w:val="21"/>
        </w:rPr>
        <w:t>合同</w:t>
      </w:r>
      <w:r>
        <w:rPr>
          <w:rFonts w:ascii="黑体" w:eastAsia="黑体" w:hAnsi="黑体" w:cs="黑体" w:hint="eastAsia"/>
          <w:kern w:val="0"/>
          <w:szCs w:val="21"/>
        </w:rPr>
        <w:t>约定的时间和方式支付给收款方。</w:t>
      </w:r>
    </w:p>
    <w:bookmarkEnd w:id="16"/>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9</w:t>
      </w:r>
      <w:r>
        <w:rPr>
          <w:rFonts w:ascii="黑体" w:eastAsia="黑体" w:hAnsi="黑体" w:cs="黑体" w:hint="eastAsia"/>
          <w:b/>
          <w:kern w:val="0"/>
          <w:szCs w:val="21"/>
        </w:rPr>
        <w:t>、产品管理人有权根据市场情况等调整上述各项收费项目、收费条件、收费标准和收费方式，并至少于调整日之前</w:t>
      </w:r>
      <w:r>
        <w:rPr>
          <w:rFonts w:ascii="黑体" w:eastAsia="黑体" w:hAnsi="黑体" w:cs="黑体"/>
          <w:b/>
          <w:kern w:val="0"/>
          <w:szCs w:val="21"/>
        </w:rPr>
        <w:t>3</w:t>
      </w:r>
      <w:r>
        <w:rPr>
          <w:rFonts w:ascii="黑体" w:eastAsia="黑体" w:hAnsi="黑体" w:cs="黑体" w:hint="eastAsia"/>
          <w:b/>
          <w:kern w:val="0"/>
          <w:szCs w:val="21"/>
        </w:rPr>
        <w:t>个工作日进行公告。上述情况下产品</w:t>
      </w:r>
      <w:r>
        <w:rPr>
          <w:rFonts w:ascii="黑体" w:eastAsia="黑体" w:hAnsi="黑体" w:cs="黑体"/>
          <w:b/>
          <w:kern w:val="0"/>
          <w:szCs w:val="21"/>
        </w:rPr>
        <w:t>管理人</w:t>
      </w:r>
      <w:r>
        <w:rPr>
          <w:rFonts w:ascii="黑体" w:eastAsia="黑体" w:hAnsi="黑体" w:cs="黑体" w:hint="eastAsia"/>
          <w:b/>
          <w:kern w:val="0"/>
          <w:szCs w:val="21"/>
        </w:rPr>
        <w:t>将可能开放赎回，具体以信息披露公告为准。投资者不同意公告内容的，可按公告约定全部赎回本产品。若投资者在公告执行后继续持有本产品的，视同接受公告内容。</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（二）</w:t>
      </w:r>
      <w:bookmarkStart w:id="18" w:name="_Hlk33085424"/>
      <w:r>
        <w:rPr>
          <w:rFonts w:ascii="黑体" w:eastAsia="黑体" w:hAnsi="黑体" w:cs="宋体" w:hint="eastAsia"/>
          <w:kern w:val="0"/>
          <w:szCs w:val="21"/>
        </w:rPr>
        <w:t>产品收益计算示例</w:t>
      </w:r>
      <w:bookmarkEnd w:id="18"/>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以下示例均为</w:t>
      </w:r>
      <w:r>
        <w:rPr>
          <w:rFonts w:ascii="黑体" w:eastAsia="黑体" w:hAnsi="黑体" w:cs="黑体" w:hint="eastAsia"/>
          <w:b/>
          <w:kern w:val="0"/>
          <w:szCs w:val="21"/>
        </w:rPr>
        <w:t>采用假设数据计算。具体产品的认购、申购、赎回相关规则详见本说明书第四部分产品交易相关规则，费用计算以展示不同情境下费用计算过程为目的，具体产品费率以本说明书第六部分产品费用、收益及税收说明和相关公告为准，测算收益不等于实际收益，投资须谨慎。</w:t>
      </w:r>
    </w:p>
    <w:p>
      <w:pPr>
        <w:autoSpaceDE w:val="0"/>
        <w:autoSpaceDN w:val="0"/>
        <w:adjustRightInd w:val="0"/>
        <w:ind w:firstLine="420" w:firstLineChars="200"/>
        <w:jc w:val="left"/>
        <w:rPr>
          <w:rFonts w:ascii="黑体" w:eastAsia="黑体" w:hAnsi="黑体" w:cs="黑体"/>
          <w:color w:val="000000" w:themeColor="text1"/>
          <w:kern w:val="0"/>
          <w:szCs w:val="21"/>
          <w14:textFill>
            <w14:solidFill>
              <w14:schemeClr w14:val="tx1"/>
            </w14:solidFill>
          </w14:textFill>
        </w:rPr>
      </w:pPr>
      <w:r>
        <w:rPr>
          <w:rFonts w:ascii="黑体" w:eastAsia="黑体" w:hAnsi="黑体" w:cs="黑体" w:hint="eastAsia"/>
          <w:color w:val="000000" w:themeColor="text1"/>
          <w:kern w:val="0"/>
          <w:szCs w:val="21"/>
          <w14:textFill>
            <w14:solidFill>
              <w14:schemeClr w14:val="tx1"/>
            </w14:solidFill>
          </w14:textFill>
        </w:rPr>
        <w:t>示例1：份额持有区间年化收益率超过【当期浮动管理费的提取基准】。</w:t>
      </w:r>
    </w:p>
    <w:p>
      <w:pPr>
        <w:autoSpaceDE w:val="0"/>
        <w:autoSpaceDN w:val="0"/>
        <w:adjustRightInd w:val="0"/>
        <w:ind w:firstLine="420" w:firstLineChars="200"/>
        <w:jc w:val="left"/>
        <w:rPr>
          <w:rFonts w:ascii="黑体" w:eastAsia="黑体" w:hAnsi="黑体" w:cs="黑体"/>
          <w:color w:val="000000" w:themeColor="text1"/>
          <w:kern w:val="0"/>
          <w:szCs w:val="21"/>
          <w14:textFill>
            <w14:solidFill>
              <w14:schemeClr w14:val="tx1"/>
            </w14:solidFill>
          </w14:textFill>
        </w:rPr>
      </w:pPr>
      <w:r>
        <w:rPr>
          <w:rFonts w:ascii="黑体" w:eastAsia="黑体" w:hAnsi="黑体" w:cs="黑体" w:hint="eastAsia"/>
          <w:color w:val="000000" w:themeColor="text1"/>
          <w:kern w:val="0"/>
          <w:szCs w:val="21"/>
          <w14:textFill>
            <w14:solidFill>
              <w14:schemeClr w14:val="tx1"/>
            </w14:solidFill>
          </w14:textFill>
        </w:rPr>
        <w:t>假设投资者本金为10000元，申购受理日产品的单位净值和累计净值均为1.00元/份，则投资者持有份额为10000份，</w:t>
      </w:r>
      <w:r>
        <w:rPr>
          <w:rFonts w:ascii="黑体" w:eastAsia="黑体" w:hAnsi="黑体" w:cs="黑体" w:hint="eastAsia"/>
          <w:color w:val="000000" w:themeColor="text1"/>
          <w:kern w:val="0"/>
          <w14:textFill>
            <w14:solidFill>
              <w14:schemeClr w14:val="tx1"/>
            </w14:solidFill>
          </w14:textFill>
        </w:rPr>
        <w:t>投资者持有满产品最短持有期后依照说明书约定提交全部份额的赎回申请（假设提交赎回申请时投资者持有该产品300天），</w:t>
      </w:r>
      <w:r>
        <w:rPr>
          <w:rFonts w:ascii="黑体" w:eastAsia="黑体" w:hAnsi="黑体" w:cs="黑体" w:hint="eastAsia"/>
          <w:color w:val="000000" w:themeColor="text1"/>
          <w:kern w:val="0"/>
          <w:szCs w:val="21"/>
          <w14:textFill>
            <w14:solidFill>
              <w14:schemeClr w14:val="tx1"/>
            </w14:solidFill>
          </w14:textFill>
        </w:rPr>
        <w:t>赎回受理日产品的累计净值为1.</w:t>
      </w:r>
      <w:r>
        <w:rPr>
          <w:rFonts w:ascii="黑体" w:eastAsia="黑体" w:hAnsi="黑体" w:cs="黑体"/>
          <w:color w:val="000000" w:themeColor="text1"/>
          <w:kern w:val="0"/>
          <w:szCs w:val="21"/>
          <w14:textFill>
            <w14:solidFill>
              <w14:schemeClr w14:val="tx1"/>
            </w14:solidFill>
          </w14:textFill>
        </w:rPr>
        <w:t>05</w:t>
      </w:r>
      <w:r>
        <w:rPr>
          <w:rFonts w:ascii="黑体" w:eastAsia="黑体" w:hAnsi="黑体" w:cs="黑体" w:hint="eastAsia"/>
          <w:color w:val="000000" w:themeColor="text1"/>
          <w:kern w:val="0"/>
          <w:szCs w:val="21"/>
          <w14:textFill>
            <w14:solidFill>
              <w14:schemeClr w14:val="tx1"/>
            </w14:solidFill>
          </w14:textFill>
        </w:rPr>
        <w:t>元/份，单位净值为1.</w:t>
      </w:r>
      <w:r>
        <w:rPr>
          <w:rFonts w:ascii="黑体" w:eastAsia="黑体" w:hAnsi="黑体" w:cs="黑体"/>
          <w:color w:val="000000" w:themeColor="text1"/>
          <w:kern w:val="0"/>
          <w:szCs w:val="21"/>
          <w14:textFill>
            <w14:solidFill>
              <w14:schemeClr w14:val="tx1"/>
            </w14:solidFill>
          </w14:textFill>
        </w:rPr>
        <w:t>05</w:t>
      </w:r>
      <w:r>
        <w:rPr>
          <w:rFonts w:ascii="黑体" w:eastAsia="黑体" w:hAnsi="黑体" w:cs="黑体" w:hint="eastAsia"/>
          <w:color w:val="000000" w:themeColor="text1"/>
          <w:kern w:val="0"/>
          <w:szCs w:val="21"/>
          <w14:textFill>
            <w14:solidFill>
              <w14:schemeClr w14:val="tx1"/>
            </w14:solidFill>
          </w14:textFill>
        </w:rPr>
        <w:t>元/份，则投资者所赎回份额的持有区间年化收益率为（1.</w:t>
      </w:r>
      <w:r>
        <w:rPr>
          <w:rFonts w:ascii="黑体" w:eastAsia="黑体" w:hAnsi="黑体" w:cs="黑体"/>
          <w:color w:val="000000" w:themeColor="text1"/>
          <w:kern w:val="0"/>
          <w:szCs w:val="21"/>
          <w14:textFill>
            <w14:solidFill>
              <w14:schemeClr w14:val="tx1"/>
            </w14:solidFill>
          </w14:textFill>
        </w:rPr>
        <w:t>05</w:t>
      </w:r>
      <w:r>
        <w:rPr>
          <w:rFonts w:ascii="黑体" w:eastAsia="黑体" w:hAnsi="黑体" w:cs="黑体" w:hint="eastAsia"/>
          <w:color w:val="000000" w:themeColor="text1"/>
          <w:kern w:val="0"/>
          <w:szCs w:val="21"/>
          <w14:textFill>
            <w14:solidFill>
              <w14:schemeClr w14:val="tx1"/>
            </w14:solidFill>
          </w14:textFill>
        </w:rPr>
        <w:t>元/份-1.00元/份）/</w:t>
      </w:r>
      <w:r>
        <w:rPr>
          <w:rFonts w:ascii="黑体" w:eastAsia="黑体" w:hAnsi="黑体" w:cs="黑体"/>
          <w:color w:val="000000" w:themeColor="text1"/>
          <w:kern w:val="0"/>
          <w:szCs w:val="21"/>
          <w14:textFill>
            <w14:solidFill>
              <w14:schemeClr w14:val="tx1"/>
            </w14:solidFill>
          </w14:textFill>
        </w:rPr>
        <w:t>300</w:t>
      </w:r>
      <w:r>
        <w:rPr>
          <w:rFonts w:ascii="黑体" w:eastAsia="黑体" w:hAnsi="黑体" w:cs="黑体" w:hint="eastAsia"/>
          <w:color w:val="000000" w:themeColor="text1"/>
          <w:kern w:val="0"/>
          <w:szCs w:val="21"/>
          <w14:textFill>
            <w14:solidFill>
              <w14:schemeClr w14:val="tx1"/>
            </w14:solidFill>
          </w14:textFill>
        </w:rPr>
        <w:t>*365=</w:t>
      </w:r>
      <w:r>
        <w:rPr>
          <w:rFonts w:ascii="黑体" w:eastAsia="黑体" w:hAnsi="黑体" w:cs="黑体"/>
          <w:color w:val="000000" w:themeColor="text1"/>
          <w:kern w:val="0"/>
          <w:szCs w:val="21"/>
          <w14:textFill>
            <w14:solidFill>
              <w14:schemeClr w14:val="tx1"/>
            </w14:solidFill>
          </w14:textFill>
        </w:rPr>
        <w:t>6.08</w:t>
      </w:r>
      <w:r>
        <w:rPr>
          <w:rFonts w:ascii="黑体" w:eastAsia="黑体" w:hAnsi="黑体" w:cs="黑体" w:hint="eastAsia"/>
          <w:color w:val="000000" w:themeColor="text1"/>
          <w:kern w:val="0"/>
          <w:szCs w:val="21"/>
          <w14:textFill>
            <w14:solidFill>
              <w14:schemeClr w14:val="tx1"/>
            </w14:solidFill>
          </w14:textFill>
        </w:rPr>
        <w:t>%，假设当期浮动管理费的提取基准为4%，</w:t>
      </w:r>
      <w:r>
        <w:rPr>
          <w:rFonts w:ascii="黑体" w:eastAsia="黑体" w:hAnsi="黑体" w:cs="黑体" w:hint="eastAsia"/>
          <w:kern w:val="0"/>
          <w:szCs w:val="21"/>
        </w:rPr>
        <w:t>浮费提取比例为30%，</w:t>
      </w:r>
      <w:r>
        <w:rPr>
          <w:rFonts w:ascii="黑体" w:eastAsia="黑体" w:hAnsi="黑体" w:cs="黑体" w:hint="eastAsia"/>
          <w:color w:val="000000" w:themeColor="text1"/>
          <w:kern w:val="0"/>
          <w:szCs w:val="21"/>
          <w14:textFill>
            <w14:solidFill>
              <w14:schemeClr w14:val="tx1"/>
            </w14:solidFill>
          </w14:textFill>
        </w:rPr>
        <w:t>则产品管理人提取的浮动管理费为：（</w:t>
      </w:r>
      <w:r>
        <w:rPr>
          <w:rFonts w:ascii="黑体" w:eastAsia="黑体" w:hAnsi="黑体" w:cs="黑体"/>
          <w:color w:val="000000" w:themeColor="text1"/>
          <w:kern w:val="0"/>
          <w:szCs w:val="21"/>
          <w14:textFill>
            <w14:solidFill>
              <w14:schemeClr w14:val="tx1"/>
            </w14:solidFill>
          </w14:textFill>
        </w:rPr>
        <w:t>6.08</w:t>
      </w:r>
      <w:r>
        <w:rPr>
          <w:rFonts w:ascii="黑体" w:eastAsia="黑体" w:hAnsi="黑体" w:cs="黑体" w:hint="eastAsia"/>
          <w:color w:val="000000" w:themeColor="text1"/>
          <w:kern w:val="0"/>
          <w:szCs w:val="21"/>
          <w14:textFill>
            <w14:solidFill>
              <w14:schemeClr w14:val="tx1"/>
            </w14:solidFill>
          </w14:textFill>
        </w:rPr>
        <w:t>%-</w:t>
      </w:r>
      <w:r>
        <w:rPr>
          <w:rFonts w:ascii="黑体" w:eastAsia="黑体" w:hAnsi="黑体" w:cs="黑体"/>
          <w:color w:val="000000" w:themeColor="text1"/>
          <w:kern w:val="0"/>
          <w:szCs w:val="21"/>
          <w14:textFill>
            <w14:solidFill>
              <w14:schemeClr w14:val="tx1"/>
            </w14:solidFill>
          </w14:textFill>
        </w:rPr>
        <w:t>4</w:t>
      </w:r>
      <w:r>
        <w:rPr>
          <w:rFonts w:ascii="黑体" w:eastAsia="黑体" w:hAnsi="黑体" w:cs="黑体" w:hint="eastAsia"/>
          <w:color w:val="000000" w:themeColor="text1"/>
          <w:kern w:val="0"/>
          <w:szCs w:val="21"/>
          <w14:textFill>
            <w14:solidFill>
              <w14:schemeClr w14:val="tx1"/>
            </w14:solidFill>
          </w14:textFill>
        </w:rPr>
        <w:t>%）*3</w:t>
      </w:r>
      <w:r>
        <w:rPr>
          <w:rFonts w:ascii="黑体" w:eastAsia="黑体" w:hAnsi="黑体" w:cs="黑体"/>
          <w:color w:val="000000" w:themeColor="text1"/>
          <w:kern w:val="0"/>
          <w:szCs w:val="21"/>
          <w14:textFill>
            <w14:solidFill>
              <w14:schemeClr w14:val="tx1"/>
            </w14:solidFill>
          </w14:textFill>
        </w:rPr>
        <w:t>0</w:t>
      </w:r>
      <w:r>
        <w:rPr>
          <w:rFonts w:ascii="黑体" w:eastAsia="黑体" w:hAnsi="黑体" w:cs="黑体" w:hint="eastAsia"/>
          <w:color w:val="000000" w:themeColor="text1"/>
          <w:kern w:val="0"/>
          <w:szCs w:val="21"/>
          <w14:textFill>
            <w14:solidFill>
              <w14:schemeClr w14:val="tx1"/>
            </w14:solidFill>
          </w14:textFill>
        </w:rPr>
        <w:t>%*10000份*</w:t>
      </w:r>
      <w:r>
        <w:rPr>
          <w:rFonts w:ascii="黑体" w:eastAsia="黑体" w:hAnsi="黑体" w:cs="黑体"/>
          <w:color w:val="000000" w:themeColor="text1"/>
          <w:kern w:val="0"/>
          <w:szCs w:val="21"/>
          <w14:textFill>
            <w14:solidFill>
              <w14:schemeClr w14:val="tx1"/>
            </w14:solidFill>
          </w14:textFill>
        </w:rPr>
        <w:t>300</w:t>
      </w:r>
      <w:r>
        <w:rPr>
          <w:rFonts w:ascii="黑体" w:eastAsia="黑体" w:hAnsi="黑体" w:cs="黑体" w:hint="eastAsia"/>
          <w:color w:val="000000" w:themeColor="text1"/>
          <w:kern w:val="0"/>
          <w:szCs w:val="21"/>
          <w14:textFill>
            <w14:solidFill>
              <w14:schemeClr w14:val="tx1"/>
            </w14:solidFill>
          </w14:textFill>
        </w:rPr>
        <w:t>/365=</w:t>
      </w:r>
      <w:r>
        <w:rPr>
          <w:rFonts w:ascii="黑体" w:eastAsia="黑体" w:hAnsi="黑体" w:cs="黑体"/>
          <w:color w:val="000000" w:themeColor="text1"/>
          <w:kern w:val="0"/>
          <w:szCs w:val="21"/>
          <w14:textFill>
            <w14:solidFill>
              <w14:schemeClr w14:val="tx1"/>
            </w14:solidFill>
          </w14:textFill>
        </w:rPr>
        <w:t>51.37</w:t>
      </w:r>
      <w:r>
        <w:rPr>
          <w:rFonts w:ascii="黑体" w:eastAsia="黑体" w:hAnsi="黑体" w:cs="黑体" w:hint="eastAsia"/>
          <w:color w:val="000000" w:themeColor="text1"/>
          <w:kern w:val="0"/>
          <w:szCs w:val="21"/>
          <w14:textFill>
            <w14:solidFill>
              <w14:schemeClr w14:val="tx1"/>
            </w14:solidFill>
          </w14:textFill>
        </w:rPr>
        <w:t>元，若赎回确认金额采取四舍五入后精确到小数点后2位，则投资者赎回份额的兑付金额为：10000份×1.</w:t>
      </w:r>
      <w:r>
        <w:rPr>
          <w:rFonts w:ascii="黑体" w:eastAsia="黑体" w:hAnsi="黑体" w:cs="黑体"/>
          <w:color w:val="000000" w:themeColor="text1"/>
          <w:kern w:val="0"/>
          <w:szCs w:val="21"/>
          <w14:textFill>
            <w14:solidFill>
              <w14:schemeClr w14:val="tx1"/>
            </w14:solidFill>
          </w14:textFill>
        </w:rPr>
        <w:t>05</w:t>
      </w:r>
      <w:r>
        <w:rPr>
          <w:rFonts w:ascii="黑体" w:eastAsia="黑体" w:hAnsi="黑体" w:cs="黑体" w:hint="eastAsia"/>
          <w:color w:val="000000" w:themeColor="text1"/>
          <w:kern w:val="0"/>
          <w:szCs w:val="21"/>
          <w14:textFill>
            <w14:solidFill>
              <w14:schemeClr w14:val="tx1"/>
            </w14:solidFill>
          </w14:textFill>
        </w:rPr>
        <w:t>元/份-</w:t>
      </w:r>
      <w:r>
        <w:rPr>
          <w:rFonts w:ascii="黑体" w:eastAsia="黑体" w:hAnsi="黑体" w:cs="黑体"/>
          <w:color w:val="000000" w:themeColor="text1"/>
          <w:kern w:val="0"/>
          <w:szCs w:val="21"/>
          <w14:textFill>
            <w14:solidFill>
              <w14:schemeClr w14:val="tx1"/>
            </w14:solidFill>
          </w14:textFill>
        </w:rPr>
        <w:t>51.37</w:t>
      </w:r>
      <w:r>
        <w:rPr>
          <w:rFonts w:ascii="黑体" w:eastAsia="黑体" w:hAnsi="黑体" w:cs="黑体" w:hint="eastAsia"/>
          <w:color w:val="000000" w:themeColor="text1"/>
          <w:kern w:val="0"/>
          <w:szCs w:val="21"/>
          <w14:textFill>
            <w14:solidFill>
              <w14:schemeClr w14:val="tx1"/>
            </w14:solidFill>
          </w14:textFill>
        </w:rPr>
        <w:t>元＝1</w:t>
      </w:r>
      <w:r>
        <w:rPr>
          <w:rFonts w:ascii="黑体" w:eastAsia="黑体" w:hAnsi="黑体" w:cs="黑体"/>
          <w:color w:val="000000" w:themeColor="text1"/>
          <w:kern w:val="0"/>
          <w:szCs w:val="21"/>
          <w14:textFill>
            <w14:solidFill>
              <w14:schemeClr w14:val="tx1"/>
            </w14:solidFill>
          </w14:textFill>
        </w:rPr>
        <w:t>0448.63</w:t>
      </w:r>
      <w:r>
        <w:rPr>
          <w:rFonts w:ascii="黑体" w:eastAsia="黑体" w:hAnsi="黑体" w:cs="黑体" w:hint="eastAsia"/>
          <w:color w:val="000000" w:themeColor="text1"/>
          <w:kern w:val="0"/>
          <w:szCs w:val="21"/>
          <w14:textFill>
            <w14:solidFill>
              <w14:schemeClr w14:val="tx1"/>
            </w14:solidFill>
          </w14:textFill>
        </w:rPr>
        <w:t>元，投资者理财收益</w:t>
      </w:r>
      <w:r>
        <w:rPr>
          <w:rFonts w:ascii="黑体" w:eastAsia="黑体" w:hAnsi="黑体" w:cs="黑体"/>
          <w:color w:val="000000" w:themeColor="text1"/>
          <w:kern w:val="0"/>
          <w:szCs w:val="21"/>
          <w14:textFill>
            <w14:solidFill>
              <w14:schemeClr w14:val="tx1"/>
            </w14:solidFill>
          </w14:textFill>
        </w:rPr>
        <w:t>448.63</w:t>
      </w:r>
      <w:r>
        <w:rPr>
          <w:rFonts w:ascii="黑体" w:eastAsia="黑体" w:hAnsi="黑体" w:cs="黑体" w:hint="eastAsia"/>
          <w:color w:val="000000" w:themeColor="text1"/>
          <w:kern w:val="0"/>
          <w:szCs w:val="21"/>
          <w14:textFill>
            <w14:solidFill>
              <w14:schemeClr w14:val="tx1"/>
            </w14:solidFill>
          </w14:textFill>
        </w:rPr>
        <w:t>元。</w:t>
      </w:r>
    </w:p>
    <w:p>
      <w:pPr>
        <w:autoSpaceDE w:val="0"/>
        <w:autoSpaceDN w:val="0"/>
        <w:adjustRightInd w:val="0"/>
        <w:ind w:firstLine="420" w:firstLineChars="200"/>
        <w:jc w:val="left"/>
        <w:rPr>
          <w:rFonts w:ascii="黑体" w:eastAsia="黑体" w:hAnsi="黑体" w:cs="黑体"/>
          <w:color w:val="000000" w:themeColor="text1"/>
          <w:kern w:val="0"/>
          <w:szCs w:val="21"/>
          <w14:textFill>
            <w14:solidFill>
              <w14:schemeClr w14:val="tx1"/>
            </w14:solidFill>
          </w14:textFill>
        </w:rPr>
      </w:pPr>
    </w:p>
    <w:p>
      <w:pPr>
        <w:autoSpaceDE w:val="0"/>
        <w:autoSpaceDN w:val="0"/>
        <w:adjustRightInd w:val="0"/>
        <w:ind w:firstLine="420" w:firstLineChars="200"/>
        <w:jc w:val="left"/>
        <w:rPr>
          <w:rFonts w:ascii="黑体" w:eastAsia="黑体" w:hAnsi="黑体" w:cs="黑体"/>
          <w:color w:val="000000" w:themeColor="text1"/>
          <w:kern w:val="0"/>
          <w:szCs w:val="21"/>
          <w14:textFill>
            <w14:solidFill>
              <w14:schemeClr w14:val="tx1"/>
            </w14:solidFill>
          </w14:textFill>
        </w:rPr>
      </w:pPr>
      <w:r>
        <w:rPr>
          <w:rFonts w:ascii="黑体" w:eastAsia="黑体" w:hAnsi="黑体" w:cs="黑体" w:hint="eastAsia"/>
          <w:color w:val="000000" w:themeColor="text1"/>
          <w:kern w:val="0"/>
          <w:szCs w:val="21"/>
          <w14:textFill>
            <w14:solidFill>
              <w14:schemeClr w14:val="tx1"/>
            </w14:solidFill>
          </w14:textFill>
        </w:rPr>
        <w:t>示例2：份额持有区间年化收益率为正，但未达到【当期浮动管理费的提取基准】。</w:t>
      </w:r>
    </w:p>
    <w:p>
      <w:pPr>
        <w:autoSpaceDE w:val="0"/>
        <w:autoSpaceDN w:val="0"/>
        <w:adjustRightInd w:val="0"/>
        <w:ind w:firstLine="420" w:firstLineChars="200"/>
        <w:jc w:val="left"/>
        <w:rPr>
          <w:rFonts w:ascii="黑体" w:eastAsia="黑体" w:hAnsi="黑体" w:cs="黑体"/>
          <w:color w:val="000000" w:themeColor="text1"/>
          <w:kern w:val="0"/>
          <w:szCs w:val="21"/>
          <w14:textFill>
            <w14:solidFill>
              <w14:schemeClr w14:val="tx1"/>
            </w14:solidFill>
          </w14:textFill>
        </w:rPr>
      </w:pPr>
      <w:r>
        <w:rPr>
          <w:rFonts w:ascii="黑体" w:eastAsia="黑体" w:hAnsi="黑体" w:cs="黑体" w:hint="eastAsia"/>
          <w:color w:val="000000" w:themeColor="text1"/>
          <w:kern w:val="0"/>
          <w:szCs w:val="21"/>
          <w14:textFill>
            <w14:solidFill>
              <w14:schemeClr w14:val="tx1"/>
            </w14:solidFill>
          </w14:textFill>
        </w:rPr>
        <w:t>假设投资者本金为10000元，申购受理日产品的单位净值和累计净值均为1.00元/份，则投资者持有份额为10000份，投资者持有满产品最短持有期后依照说明书约定提交全部份额的赎回申请（假设提交赎回申请时投资者持有该产品300天），赎回受理日产品的累计净值为1.0</w:t>
      </w:r>
      <w:r>
        <w:rPr>
          <w:rFonts w:ascii="黑体" w:eastAsia="黑体" w:hAnsi="黑体" w:cs="黑体"/>
          <w:color w:val="000000" w:themeColor="text1"/>
          <w:kern w:val="0"/>
          <w:szCs w:val="21"/>
          <w14:textFill>
            <w14:solidFill>
              <w14:schemeClr w14:val="tx1"/>
            </w14:solidFill>
          </w14:textFill>
        </w:rPr>
        <w:t>1</w:t>
      </w:r>
      <w:r>
        <w:rPr>
          <w:rFonts w:ascii="黑体" w:eastAsia="黑体" w:hAnsi="黑体" w:cs="黑体" w:hint="eastAsia"/>
          <w:color w:val="000000" w:themeColor="text1"/>
          <w:kern w:val="0"/>
          <w:szCs w:val="21"/>
          <w14:textFill>
            <w14:solidFill>
              <w14:schemeClr w14:val="tx1"/>
            </w14:solidFill>
          </w14:textFill>
        </w:rPr>
        <w:t>元/份，单位净值为1.0</w:t>
      </w:r>
      <w:r>
        <w:rPr>
          <w:rFonts w:ascii="黑体" w:eastAsia="黑体" w:hAnsi="黑体" w:cs="黑体"/>
          <w:color w:val="000000" w:themeColor="text1"/>
          <w:kern w:val="0"/>
          <w:szCs w:val="21"/>
          <w14:textFill>
            <w14:solidFill>
              <w14:schemeClr w14:val="tx1"/>
            </w14:solidFill>
          </w14:textFill>
        </w:rPr>
        <w:t>1</w:t>
      </w:r>
      <w:r>
        <w:rPr>
          <w:rFonts w:ascii="黑体" w:eastAsia="黑体" w:hAnsi="黑体" w:cs="黑体" w:hint="eastAsia"/>
          <w:color w:val="000000" w:themeColor="text1"/>
          <w:kern w:val="0"/>
          <w:szCs w:val="21"/>
          <w14:textFill>
            <w14:solidFill>
              <w14:schemeClr w14:val="tx1"/>
            </w14:solidFill>
          </w14:textFill>
        </w:rPr>
        <w:t>元/份，则投资者所赎回份额的持有区间年化收益率为（1.0</w:t>
      </w:r>
      <w:r>
        <w:rPr>
          <w:rFonts w:ascii="黑体" w:eastAsia="黑体" w:hAnsi="黑体" w:cs="黑体"/>
          <w:color w:val="000000" w:themeColor="text1"/>
          <w:kern w:val="0"/>
          <w:szCs w:val="21"/>
          <w14:textFill>
            <w14:solidFill>
              <w14:schemeClr w14:val="tx1"/>
            </w14:solidFill>
          </w14:textFill>
        </w:rPr>
        <w:t>1</w:t>
      </w:r>
      <w:r>
        <w:rPr>
          <w:rFonts w:ascii="黑体" w:eastAsia="黑体" w:hAnsi="黑体" w:cs="黑体" w:hint="eastAsia"/>
          <w:color w:val="000000" w:themeColor="text1"/>
          <w:kern w:val="0"/>
          <w:szCs w:val="21"/>
          <w14:textFill>
            <w14:solidFill>
              <w14:schemeClr w14:val="tx1"/>
            </w14:solidFill>
          </w14:textFill>
        </w:rPr>
        <w:t>元/份-1.00元/份）/</w:t>
      </w:r>
      <w:r>
        <w:rPr>
          <w:rFonts w:ascii="黑体" w:eastAsia="黑体" w:hAnsi="黑体" w:cs="黑体"/>
          <w:color w:val="000000" w:themeColor="text1"/>
          <w:kern w:val="0"/>
          <w:szCs w:val="21"/>
          <w14:textFill>
            <w14:solidFill>
              <w14:schemeClr w14:val="tx1"/>
            </w14:solidFill>
          </w14:textFill>
        </w:rPr>
        <w:t>300</w:t>
      </w:r>
      <w:r>
        <w:rPr>
          <w:rFonts w:ascii="黑体" w:eastAsia="黑体" w:hAnsi="黑体" w:cs="黑体" w:hint="eastAsia"/>
          <w:color w:val="000000" w:themeColor="text1"/>
          <w:kern w:val="0"/>
          <w:szCs w:val="21"/>
          <w14:textFill>
            <w14:solidFill>
              <w14:schemeClr w14:val="tx1"/>
            </w14:solidFill>
          </w14:textFill>
        </w:rPr>
        <w:t>*365=</w:t>
      </w:r>
      <w:r>
        <w:rPr>
          <w:rFonts w:ascii="黑体" w:eastAsia="黑体" w:hAnsi="黑体" w:cs="黑体"/>
          <w:color w:val="000000" w:themeColor="text1"/>
          <w:kern w:val="0"/>
          <w:szCs w:val="21"/>
          <w14:textFill>
            <w14:solidFill>
              <w14:schemeClr w14:val="tx1"/>
            </w14:solidFill>
          </w14:textFill>
        </w:rPr>
        <w:t>1.22</w:t>
      </w:r>
      <w:r>
        <w:rPr>
          <w:rFonts w:ascii="黑体" w:eastAsia="黑体" w:hAnsi="黑体" w:cs="黑体" w:hint="eastAsia"/>
          <w:color w:val="000000" w:themeColor="text1"/>
          <w:kern w:val="0"/>
          <w:szCs w:val="21"/>
          <w14:textFill>
            <w14:solidFill>
              <w14:schemeClr w14:val="tx1"/>
            </w14:solidFill>
          </w14:textFill>
        </w:rPr>
        <w:t>%，假设当期浮动管理费的提取基准为4%，1</w:t>
      </w:r>
      <w:r>
        <w:rPr>
          <w:rFonts w:ascii="黑体" w:eastAsia="黑体" w:hAnsi="黑体" w:cs="黑体"/>
          <w:color w:val="000000" w:themeColor="text1"/>
          <w:kern w:val="0"/>
          <w:szCs w:val="21"/>
          <w14:textFill>
            <w14:solidFill>
              <w14:schemeClr w14:val="tx1"/>
            </w14:solidFill>
          </w14:textFill>
        </w:rPr>
        <w:t>.22</w:t>
      </w:r>
      <w:r>
        <w:rPr>
          <w:rFonts w:ascii="黑体" w:eastAsia="黑体" w:hAnsi="黑体" w:cs="黑体" w:hint="eastAsia"/>
          <w:color w:val="000000" w:themeColor="text1"/>
          <w:kern w:val="0"/>
          <w:szCs w:val="21"/>
          <w14:textFill>
            <w14:solidFill>
              <w14:schemeClr w14:val="tx1"/>
            </w14:solidFill>
          </w14:textFill>
        </w:rPr>
        <w:t xml:space="preserve">% &lt; </w:t>
      </w:r>
      <w:r>
        <w:rPr>
          <w:rFonts w:ascii="黑体" w:eastAsia="黑体" w:hAnsi="黑体" w:cs="黑体"/>
          <w:color w:val="000000" w:themeColor="text1"/>
          <w:kern w:val="0"/>
          <w:szCs w:val="21"/>
          <w14:textFill>
            <w14:solidFill>
              <w14:schemeClr w14:val="tx1"/>
            </w14:solidFill>
          </w14:textFill>
        </w:rPr>
        <w:t>4</w:t>
      </w:r>
      <w:r>
        <w:rPr>
          <w:rFonts w:ascii="黑体" w:eastAsia="黑体" w:hAnsi="黑体" w:cs="黑体" w:hint="eastAsia"/>
          <w:color w:val="000000" w:themeColor="text1"/>
          <w:kern w:val="0"/>
          <w:szCs w:val="21"/>
          <w14:textFill>
            <w14:solidFill>
              <w14:schemeClr w14:val="tx1"/>
            </w14:solidFill>
          </w14:textFill>
        </w:rPr>
        <w:t>%，则产品管理人不提取浮动管理费。若赎回确认金额采取四舍五入后精确到小数点后2位，则投资者赎回份额的兑付金额为：10000份×1.0</w:t>
      </w:r>
      <w:r>
        <w:rPr>
          <w:rFonts w:ascii="黑体" w:eastAsia="黑体" w:hAnsi="黑体" w:cs="黑体"/>
          <w:color w:val="000000" w:themeColor="text1"/>
          <w:kern w:val="0"/>
          <w:szCs w:val="21"/>
          <w14:textFill>
            <w14:solidFill>
              <w14:schemeClr w14:val="tx1"/>
            </w14:solidFill>
          </w14:textFill>
        </w:rPr>
        <w:t>1</w:t>
      </w:r>
      <w:r>
        <w:rPr>
          <w:rFonts w:ascii="黑体" w:eastAsia="黑体" w:hAnsi="黑体" w:cs="黑体" w:hint="eastAsia"/>
          <w:color w:val="000000" w:themeColor="text1"/>
          <w:kern w:val="0"/>
          <w:szCs w:val="21"/>
          <w14:textFill>
            <w14:solidFill>
              <w14:schemeClr w14:val="tx1"/>
            </w14:solidFill>
          </w14:textFill>
        </w:rPr>
        <w:t>元/份＝10</w:t>
      </w:r>
      <w:r>
        <w:rPr>
          <w:rFonts w:ascii="黑体" w:eastAsia="黑体" w:hAnsi="黑体" w:cs="黑体"/>
          <w:color w:val="000000" w:themeColor="text1"/>
          <w:kern w:val="0"/>
          <w:szCs w:val="21"/>
          <w14:textFill>
            <w14:solidFill>
              <w14:schemeClr w14:val="tx1"/>
            </w14:solidFill>
          </w14:textFill>
        </w:rPr>
        <w:t>1</w:t>
      </w:r>
      <w:r>
        <w:rPr>
          <w:rFonts w:ascii="黑体" w:eastAsia="黑体" w:hAnsi="黑体" w:cs="黑体" w:hint="eastAsia"/>
          <w:color w:val="000000" w:themeColor="text1"/>
          <w:kern w:val="0"/>
          <w:szCs w:val="21"/>
          <w14:textFill>
            <w14:solidFill>
              <w14:schemeClr w14:val="tx1"/>
            </w14:solidFill>
          </w14:textFill>
        </w:rPr>
        <w:t>00.00元，投资者理财收益</w:t>
      </w:r>
      <w:r>
        <w:rPr>
          <w:rFonts w:ascii="黑体" w:eastAsia="黑体" w:hAnsi="黑体" w:cs="黑体"/>
          <w:color w:val="000000" w:themeColor="text1"/>
          <w:kern w:val="0"/>
          <w:szCs w:val="21"/>
          <w14:textFill>
            <w14:solidFill>
              <w14:schemeClr w14:val="tx1"/>
            </w14:solidFill>
          </w14:textFill>
        </w:rPr>
        <w:t>1</w:t>
      </w:r>
      <w:r>
        <w:rPr>
          <w:rFonts w:ascii="黑体" w:eastAsia="黑体" w:hAnsi="黑体" w:cs="黑体" w:hint="eastAsia"/>
          <w:color w:val="000000" w:themeColor="text1"/>
          <w:kern w:val="0"/>
          <w:szCs w:val="21"/>
          <w14:textFill>
            <w14:solidFill>
              <w14:schemeClr w14:val="tx1"/>
            </w14:solidFill>
          </w14:textFill>
        </w:rPr>
        <w:t>00.00元。</w:t>
      </w:r>
    </w:p>
    <w:p>
      <w:pPr>
        <w:autoSpaceDE w:val="0"/>
        <w:autoSpaceDN w:val="0"/>
        <w:adjustRightInd w:val="0"/>
        <w:ind w:firstLine="420" w:firstLineChars="200"/>
        <w:jc w:val="left"/>
        <w:rPr>
          <w:rFonts w:ascii="黑体" w:eastAsia="黑体" w:hAnsi="黑体" w:cs="黑体"/>
          <w:color w:val="000000" w:themeColor="text1"/>
          <w:kern w:val="0"/>
          <w:szCs w:val="21"/>
          <w14:textFill>
            <w14:solidFill>
              <w14:schemeClr w14:val="tx1"/>
            </w14:solidFill>
          </w14:textFill>
        </w:rPr>
      </w:pPr>
    </w:p>
    <w:p>
      <w:pPr>
        <w:autoSpaceDE w:val="0"/>
        <w:autoSpaceDN w:val="0"/>
        <w:adjustRightInd w:val="0"/>
        <w:ind w:firstLine="420" w:firstLineChars="200"/>
        <w:jc w:val="left"/>
        <w:rPr>
          <w:rFonts w:ascii="黑体" w:eastAsia="黑体" w:hAnsi="黑体" w:cs="黑体"/>
          <w:color w:val="000000" w:themeColor="text1"/>
          <w:kern w:val="0"/>
          <w:szCs w:val="21"/>
          <w14:textFill>
            <w14:solidFill>
              <w14:schemeClr w14:val="tx1"/>
            </w14:solidFill>
          </w14:textFill>
        </w:rPr>
      </w:pPr>
      <w:r>
        <w:rPr>
          <w:rFonts w:ascii="黑体" w:eastAsia="黑体" w:hAnsi="黑体" w:cs="黑体" w:hint="eastAsia"/>
          <w:color w:val="000000" w:themeColor="text1"/>
          <w:kern w:val="0"/>
          <w:szCs w:val="21"/>
          <w14:textFill>
            <w14:solidFill>
              <w14:schemeClr w14:val="tx1"/>
            </w14:solidFill>
          </w14:textFill>
        </w:rPr>
        <w:t>示例3：份额持有区间年化收益率为负，投资发生亏损。</w:t>
      </w:r>
    </w:p>
    <w:p>
      <w:pPr>
        <w:autoSpaceDE w:val="0"/>
        <w:autoSpaceDN w:val="0"/>
        <w:adjustRightInd w:val="0"/>
        <w:ind w:firstLine="420" w:firstLineChars="200"/>
        <w:jc w:val="left"/>
        <w:rPr>
          <w:rFonts w:ascii="黑体" w:eastAsia="黑体" w:hAnsi="黑体" w:cs="黑体"/>
          <w:color w:val="000000" w:themeColor="text1"/>
          <w:kern w:val="0"/>
          <w:szCs w:val="21"/>
          <w14:textFill>
            <w14:solidFill>
              <w14:schemeClr w14:val="tx1"/>
            </w14:solidFill>
          </w14:textFill>
        </w:rPr>
      </w:pPr>
      <w:r>
        <w:rPr>
          <w:rFonts w:ascii="黑体" w:eastAsia="黑体" w:hAnsi="黑体" w:cs="黑体" w:hint="eastAsia"/>
          <w:color w:val="000000" w:themeColor="text1"/>
          <w:kern w:val="0"/>
          <w:szCs w:val="21"/>
          <w14:textFill>
            <w14:solidFill>
              <w14:schemeClr w14:val="tx1"/>
            </w14:solidFill>
          </w14:textFill>
        </w:rPr>
        <w:t>假设投资者本金为10000元，申购受理日产品的单位净值和累计净值均为1.00元/份，则投资者持有份额为10000份，投资者持有满产品最短持有期后依照说明书约定提交全部份额的赎回申请（假设提交赎回申请时投资者持有该产品300天），赎回受理日产品的累计净值为0</w:t>
      </w:r>
      <w:r>
        <w:rPr>
          <w:rFonts w:ascii="黑体" w:eastAsia="黑体" w:hAnsi="黑体" w:cs="黑体"/>
          <w:color w:val="000000" w:themeColor="text1"/>
          <w:kern w:val="0"/>
          <w:szCs w:val="21"/>
          <w14:textFill>
            <w14:solidFill>
              <w14:schemeClr w14:val="tx1"/>
            </w14:solidFill>
          </w14:textFill>
        </w:rPr>
        <w:t>.99</w:t>
      </w:r>
      <w:r>
        <w:rPr>
          <w:rFonts w:ascii="黑体" w:eastAsia="黑体" w:hAnsi="黑体" w:cs="黑体" w:hint="eastAsia"/>
          <w:color w:val="000000" w:themeColor="text1"/>
          <w:kern w:val="0"/>
          <w:szCs w:val="21"/>
          <w14:textFill>
            <w14:solidFill>
              <w14:schemeClr w14:val="tx1"/>
            </w14:solidFill>
          </w14:textFill>
        </w:rPr>
        <w:t>元/份，单位净值为0</w:t>
      </w:r>
      <w:r>
        <w:rPr>
          <w:rFonts w:ascii="黑体" w:eastAsia="黑体" w:hAnsi="黑体" w:cs="黑体"/>
          <w:color w:val="000000" w:themeColor="text1"/>
          <w:kern w:val="0"/>
          <w:szCs w:val="21"/>
          <w14:textFill>
            <w14:solidFill>
              <w14:schemeClr w14:val="tx1"/>
            </w14:solidFill>
          </w14:textFill>
        </w:rPr>
        <w:t>.99</w:t>
      </w:r>
      <w:r>
        <w:rPr>
          <w:rFonts w:ascii="黑体" w:eastAsia="黑体" w:hAnsi="黑体" w:cs="黑体" w:hint="eastAsia"/>
          <w:color w:val="000000" w:themeColor="text1"/>
          <w:kern w:val="0"/>
          <w:szCs w:val="21"/>
          <w14:textFill>
            <w14:solidFill>
              <w14:schemeClr w14:val="tx1"/>
            </w14:solidFill>
          </w14:textFill>
        </w:rPr>
        <w:t>元/份，则投资者所赎回份额的持有区间年化收益率为（0.9</w:t>
      </w:r>
      <w:r>
        <w:rPr>
          <w:rFonts w:ascii="黑体" w:eastAsia="黑体" w:hAnsi="黑体" w:cs="黑体"/>
          <w:color w:val="000000" w:themeColor="text1"/>
          <w:kern w:val="0"/>
          <w:szCs w:val="21"/>
          <w14:textFill>
            <w14:solidFill>
              <w14:schemeClr w14:val="tx1"/>
            </w14:solidFill>
          </w14:textFill>
        </w:rPr>
        <w:t>9</w:t>
      </w:r>
      <w:r>
        <w:rPr>
          <w:rFonts w:ascii="黑体" w:eastAsia="黑体" w:hAnsi="黑体" w:cs="黑体" w:hint="eastAsia"/>
          <w:color w:val="000000" w:themeColor="text1"/>
          <w:kern w:val="0"/>
          <w:szCs w:val="21"/>
          <w14:textFill>
            <w14:solidFill>
              <w14:schemeClr w14:val="tx1"/>
            </w14:solidFill>
          </w14:textFill>
        </w:rPr>
        <w:t>元/份-1.00元/份）/</w:t>
      </w:r>
      <w:r>
        <w:rPr>
          <w:rFonts w:ascii="黑体" w:eastAsia="黑体" w:hAnsi="黑体" w:cs="黑体"/>
          <w:color w:val="000000" w:themeColor="text1"/>
          <w:kern w:val="0"/>
          <w:szCs w:val="21"/>
          <w14:textFill>
            <w14:solidFill>
              <w14:schemeClr w14:val="tx1"/>
            </w14:solidFill>
          </w14:textFill>
        </w:rPr>
        <w:t>300</w:t>
      </w:r>
      <w:r>
        <w:rPr>
          <w:rFonts w:ascii="黑体" w:eastAsia="黑体" w:hAnsi="黑体" w:cs="黑体" w:hint="eastAsia"/>
          <w:color w:val="000000" w:themeColor="text1"/>
          <w:kern w:val="0"/>
          <w:szCs w:val="21"/>
          <w14:textFill>
            <w14:solidFill>
              <w14:schemeClr w14:val="tx1"/>
            </w14:solidFill>
          </w14:textFill>
        </w:rPr>
        <w:t>*365=-</w:t>
      </w:r>
      <w:r>
        <w:rPr>
          <w:rFonts w:ascii="黑体" w:eastAsia="黑体" w:hAnsi="黑体" w:cs="黑体"/>
          <w:color w:val="000000" w:themeColor="text1"/>
          <w:kern w:val="0"/>
          <w:szCs w:val="21"/>
          <w14:textFill>
            <w14:solidFill>
              <w14:schemeClr w14:val="tx1"/>
            </w14:solidFill>
          </w14:textFill>
        </w:rPr>
        <w:t>1.22</w:t>
      </w:r>
      <w:r>
        <w:rPr>
          <w:rFonts w:ascii="黑体" w:eastAsia="黑体" w:hAnsi="黑体" w:cs="黑体" w:hint="eastAsia"/>
          <w:color w:val="000000" w:themeColor="text1"/>
          <w:kern w:val="0"/>
          <w:szCs w:val="21"/>
          <w14:textFill>
            <w14:solidFill>
              <w14:schemeClr w14:val="tx1"/>
            </w14:solidFill>
          </w14:textFill>
        </w:rPr>
        <w:t>%，假设当期浮动管理费的提取基准为4%，-</w:t>
      </w:r>
      <w:r>
        <w:rPr>
          <w:rFonts w:ascii="黑体" w:eastAsia="黑体" w:hAnsi="黑体" w:cs="黑体"/>
          <w:color w:val="000000" w:themeColor="text1"/>
          <w:kern w:val="0"/>
          <w:szCs w:val="21"/>
          <w14:textFill>
            <w14:solidFill>
              <w14:schemeClr w14:val="tx1"/>
            </w14:solidFill>
          </w14:textFill>
        </w:rPr>
        <w:t>1.22</w:t>
      </w:r>
      <w:r>
        <w:rPr>
          <w:rFonts w:ascii="黑体" w:eastAsia="黑体" w:hAnsi="黑体" w:cs="黑体" w:hint="eastAsia"/>
          <w:color w:val="000000" w:themeColor="text1"/>
          <w:kern w:val="0"/>
          <w:szCs w:val="21"/>
          <w14:textFill>
            <w14:solidFill>
              <w14:schemeClr w14:val="tx1"/>
            </w14:solidFill>
          </w14:textFill>
        </w:rPr>
        <w:t xml:space="preserve">% &lt; </w:t>
      </w:r>
      <w:r>
        <w:rPr>
          <w:rFonts w:ascii="黑体" w:eastAsia="黑体" w:hAnsi="黑体" w:cs="黑体"/>
          <w:color w:val="000000" w:themeColor="text1"/>
          <w:kern w:val="0"/>
          <w:szCs w:val="21"/>
          <w14:textFill>
            <w14:solidFill>
              <w14:schemeClr w14:val="tx1"/>
            </w14:solidFill>
          </w14:textFill>
        </w:rPr>
        <w:t>4</w:t>
      </w:r>
      <w:r>
        <w:rPr>
          <w:rFonts w:ascii="黑体" w:eastAsia="黑体" w:hAnsi="黑体" w:cs="黑体" w:hint="eastAsia"/>
          <w:color w:val="000000" w:themeColor="text1"/>
          <w:kern w:val="0"/>
          <w:szCs w:val="21"/>
          <w14:textFill>
            <w14:solidFill>
              <w14:schemeClr w14:val="tx1"/>
            </w14:solidFill>
          </w14:textFill>
        </w:rPr>
        <w:t>%，则产品管理人不提取浮动管理费。若赎回确认金额采取四舍五入后精确到小数点后2位，则投资者赎回份额的兑付金额为：10000份×0.9</w:t>
      </w:r>
      <w:r>
        <w:rPr>
          <w:rFonts w:ascii="黑体" w:eastAsia="黑体" w:hAnsi="黑体" w:cs="黑体"/>
          <w:color w:val="000000" w:themeColor="text1"/>
          <w:kern w:val="0"/>
          <w:szCs w:val="21"/>
          <w14:textFill>
            <w14:solidFill>
              <w14:schemeClr w14:val="tx1"/>
            </w14:solidFill>
          </w14:textFill>
        </w:rPr>
        <w:t>9</w:t>
      </w:r>
      <w:r>
        <w:rPr>
          <w:rFonts w:ascii="黑体" w:eastAsia="黑体" w:hAnsi="黑体" w:cs="黑体" w:hint="eastAsia"/>
          <w:color w:val="000000" w:themeColor="text1"/>
          <w:kern w:val="0"/>
          <w:szCs w:val="21"/>
          <w14:textFill>
            <w14:solidFill>
              <w14:schemeClr w14:val="tx1"/>
            </w14:solidFill>
          </w14:textFill>
        </w:rPr>
        <w:t>元/份＝9</w:t>
      </w:r>
      <w:r>
        <w:rPr>
          <w:rFonts w:ascii="黑体" w:eastAsia="黑体" w:hAnsi="黑体" w:cs="黑体"/>
          <w:color w:val="000000" w:themeColor="text1"/>
          <w:kern w:val="0"/>
          <w:szCs w:val="21"/>
          <w14:textFill>
            <w14:solidFill>
              <w14:schemeClr w14:val="tx1"/>
            </w14:solidFill>
          </w14:textFill>
        </w:rPr>
        <w:t>9</w:t>
      </w:r>
      <w:r>
        <w:rPr>
          <w:rFonts w:ascii="黑体" w:eastAsia="黑体" w:hAnsi="黑体" w:cs="黑体" w:hint="eastAsia"/>
          <w:color w:val="000000" w:themeColor="text1"/>
          <w:kern w:val="0"/>
          <w:szCs w:val="21"/>
          <w14:textFill>
            <w14:solidFill>
              <w14:schemeClr w14:val="tx1"/>
            </w14:solidFill>
          </w14:textFill>
        </w:rPr>
        <w:t>00.00元，投资者理财亏损</w:t>
      </w:r>
      <w:r>
        <w:rPr>
          <w:rFonts w:ascii="黑体" w:eastAsia="黑体" w:hAnsi="黑体" w:cs="黑体"/>
          <w:color w:val="000000" w:themeColor="text1"/>
          <w:kern w:val="0"/>
          <w:szCs w:val="21"/>
          <w14:textFill>
            <w14:solidFill>
              <w14:schemeClr w14:val="tx1"/>
            </w14:solidFill>
          </w14:textFill>
        </w:rPr>
        <w:t>1</w:t>
      </w:r>
      <w:r>
        <w:rPr>
          <w:rFonts w:ascii="黑体" w:eastAsia="黑体" w:hAnsi="黑体" w:cs="黑体" w:hint="eastAsia"/>
          <w:color w:val="000000" w:themeColor="text1"/>
          <w:kern w:val="0"/>
          <w:szCs w:val="21"/>
          <w14:textFill>
            <w14:solidFill>
              <w14:schemeClr w14:val="tx1"/>
            </w14:solidFill>
          </w14:textFill>
        </w:rPr>
        <w:t>00.00元。</w:t>
      </w:r>
    </w:p>
    <w:p>
      <w:pPr>
        <w:autoSpaceDE w:val="0"/>
        <w:autoSpaceDN w:val="0"/>
        <w:adjustRightInd w:val="0"/>
        <w:ind w:firstLine="420" w:firstLineChars="200"/>
        <w:jc w:val="left"/>
        <w:rPr>
          <w:rFonts w:ascii="黑体" w:eastAsia="黑体" w:hAnsi="黑体" w:cs="黑体"/>
          <w:color w:val="000000" w:themeColor="text1"/>
          <w:kern w:val="0"/>
          <w:szCs w:val="21"/>
          <w14:textFill>
            <w14:solidFill>
              <w14:schemeClr w14:val="tx1"/>
            </w14:solidFill>
          </w14:textFill>
        </w:rPr>
      </w:pP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b/>
          <w:bCs/>
          <w:kern w:val="0"/>
          <w:szCs w:val="21"/>
        </w:rPr>
        <w:t>上述示例采用假设数据计算，测算收益不等于实际收益，投资须谨慎。</w:t>
      </w:r>
    </w:p>
    <w:p>
      <w:pPr>
        <w:autoSpaceDE w:val="0"/>
        <w:autoSpaceDN w:val="0"/>
        <w:adjustRightInd w:val="0"/>
        <w:ind w:firstLine="420" w:firstLineChars="200"/>
        <w:jc w:val="left"/>
        <w:rPr>
          <w:rFonts w:ascii="黑体" w:eastAsia="黑体" w:hAnsi="黑体" w:cs="黑体"/>
          <w:b/>
          <w:bCs/>
          <w:kern w:val="0"/>
          <w:szCs w:val="21"/>
        </w:rPr>
      </w:pPr>
      <w:r>
        <w:rPr>
          <w:rFonts w:ascii="黑体" w:eastAsia="黑体" w:hAnsi="黑体" w:cs="黑体" w:hint="eastAsia"/>
          <w:b/>
          <w:bCs/>
          <w:kern w:val="0"/>
          <w:szCs w:val="21"/>
        </w:rPr>
        <w:t>在最不利情况下，投资者甚至可能损失全部本金。投资者应充分认识投资风险，谨慎投资。</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示例：如投资者购买本理财产品本金为</w:t>
      </w:r>
      <w:r>
        <w:rPr>
          <w:rFonts w:ascii="黑体" w:eastAsia="黑体" w:hAnsi="黑体" w:cs="黑体"/>
          <w:kern w:val="0"/>
          <w:szCs w:val="21"/>
        </w:rPr>
        <w:t>10,000.00元，在理财</w:t>
      </w:r>
      <w:r>
        <w:rPr>
          <w:rFonts w:ascii="黑体" w:eastAsia="黑体" w:hAnsi="黑体" w:cs="黑体" w:hint="eastAsia"/>
          <w:kern w:val="0"/>
          <w:szCs w:val="21"/>
        </w:rPr>
        <w:t>产品资产组合项下资产全部亏损的最不利情况下，理财产品</w:t>
      </w:r>
      <w:r>
        <w:rPr>
          <w:rFonts w:ascii="黑体" w:eastAsia="黑体" w:hAnsi="黑体" w:cs="黑体"/>
          <w:kern w:val="0"/>
          <w:szCs w:val="21"/>
        </w:rPr>
        <w:t>10,000.00元本金将全部损失</w:t>
      </w:r>
      <w:r>
        <w:rPr>
          <w:rFonts w:ascii="黑体" w:eastAsia="黑体" w:hAnsi="黑体" w:cs="黑体" w:hint="eastAsia"/>
          <w:kern w:val="0"/>
          <w:szCs w:val="21"/>
        </w:rPr>
        <w:t>。</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（三）税收</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1、</w:t>
      </w:r>
      <w:r>
        <w:rPr>
          <w:rFonts w:ascii="黑体" w:eastAsia="黑体" w:hAnsi="黑体" w:cs="黑体" w:hint="eastAsia"/>
          <w:b/>
          <w:kern w:val="0"/>
          <w:szCs w:val="21"/>
        </w:rPr>
        <w:t>根据财政部、国家税务总局相关税收监管政策的规定，理财产品运营过程中发生的增值税应税行为，</w:t>
      </w:r>
      <w:r>
        <w:rPr>
          <w:rFonts w:ascii="黑体" w:eastAsia="黑体" w:hAnsi="黑体" w:cs="黑体"/>
          <w:b/>
          <w:kern w:val="0"/>
          <w:szCs w:val="21"/>
        </w:rPr>
        <w:t>以</w:t>
      </w:r>
      <w:r>
        <w:rPr>
          <w:rFonts w:ascii="黑体" w:eastAsia="黑体" w:hAnsi="黑体" w:cs="黑体" w:hint="eastAsia"/>
          <w:b/>
          <w:kern w:val="0"/>
          <w:szCs w:val="21"/>
        </w:rPr>
        <w:t>理财产品为增值税纳税主体，计算并缴纳增值税及附加税费。产品</w:t>
      </w:r>
      <w:r>
        <w:rPr>
          <w:rFonts w:ascii="黑体" w:eastAsia="黑体" w:hAnsi="黑体" w:cs="黑体"/>
          <w:b/>
          <w:kern w:val="0"/>
          <w:szCs w:val="21"/>
        </w:rPr>
        <w:t>管理人将按照相关规定计算应缴纳的税费，</w:t>
      </w:r>
      <w:r>
        <w:rPr>
          <w:rFonts w:ascii="黑体" w:eastAsia="黑体" w:hAnsi="黑体" w:cs="黑体" w:hint="eastAsia"/>
          <w:b/>
          <w:kern w:val="0"/>
          <w:szCs w:val="21"/>
        </w:rPr>
        <w:t>并</w:t>
      </w:r>
      <w:r>
        <w:rPr>
          <w:rFonts w:ascii="黑体" w:eastAsia="黑体" w:hAnsi="黑体" w:cs="黑体"/>
          <w:b/>
          <w:kern w:val="0"/>
          <w:szCs w:val="21"/>
        </w:rPr>
        <w:t>从本产品财产中</w:t>
      </w:r>
      <w:r>
        <w:rPr>
          <w:rFonts w:ascii="黑体" w:eastAsia="黑体" w:hAnsi="黑体" w:cs="黑体" w:hint="eastAsia"/>
          <w:b/>
          <w:kern w:val="0"/>
          <w:szCs w:val="21"/>
        </w:rPr>
        <w:t>扣除</w:t>
      </w:r>
      <w:r>
        <w:rPr>
          <w:rFonts w:ascii="黑体" w:eastAsia="黑体" w:hAnsi="黑体" w:cs="黑体"/>
          <w:b/>
          <w:kern w:val="0"/>
          <w:szCs w:val="21"/>
        </w:rPr>
        <w:t>。</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w:t>
      </w:r>
      <w:r>
        <w:rPr>
          <w:rFonts w:ascii="黑体" w:eastAsia="黑体" w:hAnsi="黑体" w:cs="黑体" w:hint="eastAsia"/>
          <w:kern w:val="0"/>
          <w:szCs w:val="21"/>
        </w:rPr>
        <w:t>、除法律法规</w:t>
      </w:r>
      <w:r>
        <w:rPr>
          <w:rFonts w:ascii="黑体" w:eastAsia="黑体" w:hAnsi="黑体" w:cs="黑体"/>
          <w:kern w:val="0"/>
          <w:szCs w:val="21"/>
        </w:rPr>
        <w:t>特别要求外，投资者应缴纳的</w:t>
      </w:r>
      <w:r>
        <w:rPr>
          <w:rFonts w:ascii="黑体" w:eastAsia="黑体" w:hAnsi="黑体" w:cs="黑体" w:hint="eastAsia"/>
          <w:kern w:val="0"/>
          <w:szCs w:val="21"/>
        </w:rPr>
        <w:t>税费</w:t>
      </w:r>
      <w:r>
        <w:rPr>
          <w:rFonts w:ascii="黑体" w:eastAsia="黑体" w:hAnsi="黑体" w:cs="黑体"/>
          <w:kern w:val="0"/>
          <w:szCs w:val="21"/>
        </w:rPr>
        <w:t>由投资者</w:t>
      </w:r>
      <w:r>
        <w:rPr>
          <w:rFonts w:ascii="黑体" w:eastAsia="黑体" w:hAnsi="黑体" w:cs="黑体" w:hint="eastAsia"/>
          <w:kern w:val="0"/>
          <w:szCs w:val="21"/>
        </w:rPr>
        <w:t>自行缴纳</w:t>
      </w:r>
      <w:r>
        <w:rPr>
          <w:rFonts w:ascii="黑体" w:eastAsia="黑体" w:hAnsi="黑体" w:cs="黑体"/>
          <w:kern w:val="0"/>
          <w:szCs w:val="21"/>
        </w:rPr>
        <w:t>，</w:t>
      </w:r>
      <w:r>
        <w:rPr>
          <w:rFonts w:ascii="黑体" w:eastAsia="黑体" w:hAnsi="黑体" w:cs="黑体" w:hint="eastAsia"/>
          <w:kern w:val="0"/>
          <w:szCs w:val="21"/>
        </w:rPr>
        <w:t>产品管理人</w:t>
      </w:r>
      <w:r>
        <w:rPr>
          <w:rFonts w:ascii="黑体" w:eastAsia="黑体" w:hAnsi="黑体" w:cs="黑体"/>
          <w:kern w:val="0"/>
          <w:szCs w:val="21"/>
        </w:rPr>
        <w:t>不承担代扣代缴或纳税的义务。</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w:t>
      </w:r>
      <w:r>
        <w:rPr>
          <w:rFonts w:ascii="黑体" w:eastAsia="黑体" w:hAnsi="黑体" w:cs="黑体" w:hint="eastAsia"/>
          <w:kern w:val="0"/>
          <w:szCs w:val="21"/>
        </w:rPr>
        <w:t>、后续国家法律法规如对相关税收政策进行调整，产品管理人有权根据税收政策相应调整理财产品运营过程中发生的税费计算及</w:t>
      </w:r>
      <w:r>
        <w:rPr>
          <w:rFonts w:ascii="黑体" w:eastAsia="黑体" w:hAnsi="黑体" w:cs="黑体"/>
          <w:kern w:val="0"/>
          <w:szCs w:val="21"/>
        </w:rPr>
        <w:t>缴纳</w:t>
      </w:r>
      <w:r>
        <w:rPr>
          <w:rFonts w:ascii="黑体" w:eastAsia="黑体" w:hAnsi="黑体" w:cs="黑体" w:hint="eastAsia"/>
          <w:kern w:val="0"/>
          <w:szCs w:val="21"/>
        </w:rPr>
        <w:t>方式。</w:t>
      </w:r>
    </w:p>
    <w:p>
      <w:pPr>
        <w:autoSpaceDE w:val="0"/>
        <w:autoSpaceDN w:val="0"/>
        <w:adjustRightInd w:val="0"/>
        <w:ind w:firstLine="496" w:firstLineChars="236"/>
        <w:jc w:val="left"/>
        <w:rPr>
          <w:rFonts w:ascii="黑体" w:eastAsia="黑体" w:hAnsi="黑体" w:cs="黑体"/>
          <w:kern w:val="0"/>
          <w:szCs w:val="21"/>
        </w:rPr>
      </w:pP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七、理财产品到期与终止</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1</w:t>
      </w:r>
      <w:r>
        <w:rPr>
          <w:rFonts w:ascii="黑体" w:eastAsia="黑体" w:hAnsi="黑体" w:cs="黑体" w:hint="eastAsia"/>
          <w:b/>
          <w:kern w:val="0"/>
          <w:szCs w:val="21"/>
        </w:rPr>
        <w:t>、正常兑付</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投资者持有产品至产品到期日，投资者的理财产品投资本金（如有）和收益（如有）在产品到期后一次性支付。投资者理财产品投资本金（如有）和收益（如有）将于产品到期日后</w:t>
      </w:r>
      <w:r>
        <w:rPr>
          <w:rFonts w:ascii="黑体" w:eastAsia="黑体" w:hAnsi="黑体" w:cs="黑体"/>
          <w:b/>
          <w:kern w:val="0"/>
          <w:szCs w:val="21"/>
        </w:rPr>
        <w:t>5</w:t>
      </w:r>
      <w:r>
        <w:rPr>
          <w:rFonts w:ascii="黑体" w:eastAsia="黑体" w:hAnsi="黑体" w:cs="黑体" w:hint="eastAsia"/>
          <w:b/>
          <w:kern w:val="0"/>
          <w:szCs w:val="21"/>
        </w:rPr>
        <w:t>个工作日内划转至投资者指定账户，如遇法定节假日或公休日则顺延。产品到期日至资金实际到账日之间，投资者资金不计息。</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2、提前终止</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本产品单一份额如遇存续规模大幅下降、存续份额低于</w:t>
      </w:r>
      <w:r>
        <w:rPr>
          <w:rFonts w:ascii="黑体" w:eastAsia="黑体" w:hAnsi="黑体" w:cs="黑体"/>
          <w:b/>
          <w:kern w:val="0"/>
          <w:szCs w:val="21"/>
        </w:rPr>
        <w:t>1000万等情况，或产品管理人认为影响份额运作需要提前终止的其他情况，管理人有权根据产品实际运作情况对该份额进行终止，不晚于终止日当日以投资者可接收的方式对终止运作的份额持有人下发终止告知函，并在终止日后5个工作日内以投资者可接收的方式对终止运作的份额持有人下发终止公告，相关兑付安排规则将在终止公告中披露，前述份额终止情形不影响本文件其他条款的有效性。</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在本产品存续期内，如遇包括但不限于国家金融政策发生重大调整、金融市场发生重大波动、</w:t>
      </w:r>
      <w:r>
        <w:rPr>
          <w:rFonts w:ascii="黑体" w:eastAsia="黑体" w:hAnsi="黑体" w:cs="黑体"/>
          <w:b/>
          <w:kern w:val="0"/>
          <w:szCs w:val="21"/>
        </w:rPr>
        <w:t>不可抗力</w:t>
      </w:r>
      <w:r>
        <w:rPr>
          <w:rFonts w:ascii="黑体" w:eastAsia="黑体" w:hAnsi="黑体" w:cs="黑体" w:hint="eastAsia"/>
          <w:b/>
          <w:kern w:val="0"/>
          <w:szCs w:val="21"/>
        </w:rPr>
        <w:t>、产品存续规模低于产品最低成立规模或产品管理人认为影响产品运作需要提前终止产品的其他情况，产品管理人有权提前终止产品，并至少于提前终止日前</w:t>
      </w:r>
      <w:r>
        <w:rPr>
          <w:rFonts w:ascii="黑体" w:eastAsia="黑体" w:hAnsi="黑体" w:cs="黑体"/>
          <w:b/>
          <w:kern w:val="0"/>
          <w:szCs w:val="21"/>
        </w:rPr>
        <w:t>3</w:t>
      </w:r>
      <w:r>
        <w:rPr>
          <w:rFonts w:ascii="黑体" w:eastAsia="黑体" w:hAnsi="黑体" w:cs="黑体" w:hint="eastAsia"/>
          <w:b/>
          <w:kern w:val="0"/>
          <w:szCs w:val="21"/>
        </w:rPr>
        <w:t>个工作日进行公告，相关兑付</w:t>
      </w:r>
      <w:r>
        <w:rPr>
          <w:rFonts w:ascii="黑体" w:eastAsia="黑体" w:hAnsi="黑体" w:cs="黑体"/>
          <w:b/>
          <w:kern w:val="0"/>
          <w:szCs w:val="21"/>
        </w:rPr>
        <w:t>安排规则</w:t>
      </w:r>
      <w:r>
        <w:rPr>
          <w:rFonts w:ascii="黑体" w:eastAsia="黑体" w:hAnsi="黑体" w:cs="黑体" w:hint="eastAsia"/>
          <w:b/>
          <w:kern w:val="0"/>
          <w:szCs w:val="21"/>
        </w:rPr>
        <w:t>将在</w:t>
      </w:r>
      <w:r>
        <w:rPr>
          <w:rFonts w:ascii="黑体" w:eastAsia="黑体" w:hAnsi="黑体" w:cs="黑体"/>
          <w:b/>
          <w:kern w:val="0"/>
          <w:szCs w:val="21"/>
        </w:rPr>
        <w:t>公告</w:t>
      </w:r>
      <w:r>
        <w:rPr>
          <w:rFonts w:ascii="黑体" w:eastAsia="黑体" w:hAnsi="黑体" w:cs="黑体" w:hint="eastAsia"/>
          <w:b/>
          <w:kern w:val="0"/>
          <w:szCs w:val="21"/>
        </w:rPr>
        <w:t>中</w:t>
      </w:r>
      <w:r>
        <w:rPr>
          <w:rFonts w:ascii="黑体" w:eastAsia="黑体" w:hAnsi="黑体" w:cs="黑体"/>
          <w:b/>
          <w:kern w:val="0"/>
          <w:szCs w:val="21"/>
        </w:rPr>
        <w:t>披露。</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b/>
          <w:kern w:val="0"/>
          <w:szCs w:val="21"/>
        </w:rPr>
        <w:t>3、其他情况</w:t>
      </w:r>
    </w:p>
    <w:p>
      <w:pPr>
        <w:autoSpaceDE w:val="0"/>
        <w:autoSpaceDN w:val="0"/>
        <w:adjustRightInd w:val="0"/>
        <w:ind w:firstLine="420" w:firstLineChars="200"/>
        <w:jc w:val="left"/>
        <w:rPr>
          <w:rFonts w:ascii="黑体" w:eastAsia="黑体" w:hAnsi="黑体" w:cs="黑体"/>
          <w:b/>
          <w:kern w:val="0"/>
          <w:szCs w:val="21"/>
        </w:rPr>
      </w:pPr>
      <w:r>
        <w:rPr>
          <w:rFonts w:ascii="黑体" w:eastAsia="黑体" w:hAnsi="黑体" w:cs="黑体" w:hint="eastAsia"/>
          <w:b/>
          <w:kern w:val="0"/>
          <w:szCs w:val="21"/>
        </w:rPr>
        <w:t>如果发生国家金融政策发生重大调整、流动性紧张、</w:t>
      </w:r>
      <w:r>
        <w:rPr>
          <w:rFonts w:ascii="黑体" w:eastAsia="黑体" w:hAnsi="黑体" w:cs="黑体"/>
          <w:b/>
          <w:kern w:val="0"/>
          <w:szCs w:val="21"/>
        </w:rPr>
        <w:t>市场环境变化</w:t>
      </w:r>
      <w:r>
        <w:rPr>
          <w:rFonts w:ascii="黑体" w:eastAsia="黑体" w:hAnsi="黑体" w:cs="黑体" w:hint="eastAsia"/>
          <w:b/>
          <w:kern w:val="0"/>
          <w:szCs w:val="21"/>
        </w:rPr>
        <w:t>或</w:t>
      </w:r>
      <w:r>
        <w:rPr>
          <w:rFonts w:ascii="黑体" w:eastAsia="黑体" w:hAnsi="黑体" w:cs="黑体"/>
          <w:b/>
          <w:kern w:val="0"/>
          <w:szCs w:val="21"/>
        </w:rPr>
        <w:t>不可抗力等特殊</w:t>
      </w:r>
      <w:r>
        <w:rPr>
          <w:rFonts w:ascii="黑体" w:eastAsia="黑体" w:hAnsi="黑体" w:cs="黑体" w:hint="eastAsia"/>
          <w:b/>
          <w:kern w:val="0"/>
          <w:szCs w:val="21"/>
        </w:rPr>
        <w:t>情形，造成本产品持有的基础资产无法及时、足额变现，产品管理人可以根据实际情况选择向投资者延迟兑付或者分次兑付，并于发生上述情形后的</w:t>
      </w:r>
      <w:r>
        <w:rPr>
          <w:rFonts w:ascii="黑体" w:eastAsia="黑体" w:hAnsi="黑体" w:cs="黑体"/>
          <w:b/>
          <w:kern w:val="0"/>
          <w:szCs w:val="21"/>
        </w:rPr>
        <w:t>2</w:t>
      </w:r>
      <w:r>
        <w:rPr>
          <w:rFonts w:ascii="黑体" w:eastAsia="黑体" w:hAnsi="黑体" w:cs="黑体" w:hint="eastAsia"/>
          <w:b/>
          <w:kern w:val="0"/>
          <w:szCs w:val="21"/>
        </w:rPr>
        <w:t>个工作日内公告兑付方案。</w:t>
      </w:r>
    </w:p>
    <w:p>
      <w:pPr>
        <w:autoSpaceDE w:val="0"/>
        <w:autoSpaceDN w:val="0"/>
        <w:adjustRightInd w:val="0"/>
        <w:ind w:firstLine="420" w:firstLineChars="200"/>
        <w:jc w:val="left"/>
        <w:rPr>
          <w:rFonts w:ascii="黑体" w:eastAsia="黑体" w:hAnsi="黑体" w:cs="黑体"/>
          <w:kern w:val="0"/>
          <w:szCs w:val="21"/>
        </w:rPr>
      </w:pPr>
    </w:p>
    <w:p>
      <w:pPr>
        <w:autoSpaceDE w:val="0"/>
        <w:autoSpaceDN w:val="0"/>
        <w:adjustRightInd w:val="0"/>
        <w:jc w:val="left"/>
        <w:rPr>
          <w:rFonts w:ascii="黑体" w:eastAsia="黑体" w:hAnsi="黑体" w:cs="宋体"/>
          <w:b/>
          <w:kern w:val="0"/>
          <w:szCs w:val="21"/>
        </w:rPr>
      </w:pPr>
      <w:r>
        <w:rPr>
          <w:rFonts w:ascii="黑体" w:eastAsia="黑体" w:hAnsi="黑体" w:cs="宋体" w:hint="eastAsia"/>
          <w:b/>
          <w:kern w:val="0"/>
          <w:szCs w:val="21"/>
        </w:rPr>
        <w:t>八、托管机构和销售机构</w:t>
      </w:r>
    </w:p>
    <w:p>
      <w:pPr>
        <w:autoSpaceDE w:val="0"/>
        <w:autoSpaceDN w:val="0"/>
        <w:adjustRightInd w:val="0"/>
        <w:jc w:val="left"/>
        <w:rPr>
          <w:rFonts w:ascii="黑体" w:eastAsia="黑体" w:hAnsi="黑体" w:cs="宋体"/>
          <w:bCs/>
          <w:kern w:val="0"/>
          <w:szCs w:val="21"/>
        </w:rPr>
      </w:pPr>
      <w:r>
        <w:rPr>
          <w:rFonts w:ascii="黑体" w:eastAsia="黑体" w:hAnsi="黑体" w:cs="宋体" w:hint="eastAsia"/>
          <w:bCs/>
          <w:kern w:val="0"/>
          <w:szCs w:val="21"/>
        </w:rPr>
        <w:t>（一）托管机构基本信息：</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kern w:val="0"/>
          <w:szCs w:val="21"/>
        </w:rPr>
        <w:t>1、机构名称：</w:t>
      </w:r>
      <w:r>
        <w:rPr>
          <w:rFonts w:ascii="黑体" w:eastAsia="黑体" w:hAnsi="黑体" w:cs="宋体" w:hint="eastAsia"/>
          <w:kern w:val="0"/>
          <w:szCs w:val="21"/>
        </w:rPr>
        <w:t>宁波银行股份有限公司</w:t>
      </w:r>
    </w:p>
    <w:p>
      <w:pPr>
        <w:autoSpaceDE w:val="0"/>
        <w:autoSpaceDN w:val="0"/>
        <w:adjustRightInd w:val="0"/>
        <w:ind w:firstLine="735" w:firstLineChars="350"/>
        <w:jc w:val="left"/>
        <w:rPr>
          <w:rFonts w:ascii="黑体" w:eastAsia="黑体" w:hAnsi="黑体" w:cs="宋体"/>
          <w:bCs/>
          <w:kern w:val="0"/>
          <w:szCs w:val="21"/>
        </w:rPr>
      </w:pPr>
      <w:r>
        <w:rPr>
          <w:rFonts w:ascii="黑体" w:eastAsia="黑体" w:hAnsi="黑体" w:cs="宋体" w:hint="eastAsia"/>
          <w:bCs/>
          <w:kern w:val="0"/>
          <w:szCs w:val="21"/>
        </w:rPr>
        <w:t>客服热线：</w:t>
      </w:r>
      <w:r>
        <w:rPr>
          <w:rFonts w:ascii="黑体" w:eastAsia="黑体" w:hAnsi="黑体" w:cs="宋体"/>
          <w:bCs/>
          <w:kern w:val="0"/>
          <w:szCs w:val="21"/>
        </w:rPr>
        <w:t>95574</w:t>
      </w:r>
    </w:p>
    <w:p>
      <w:pPr>
        <w:autoSpaceDE w:val="0"/>
        <w:autoSpaceDN w:val="0"/>
        <w:adjustRightInd w:val="0"/>
        <w:ind w:firstLine="735" w:firstLineChars="350"/>
        <w:jc w:val="left"/>
        <w:rPr>
          <w:rFonts w:ascii="Calibri" w:eastAsia="黑体" w:hAnsi="Calibri" w:cs="Calibri"/>
          <w:bCs/>
          <w:kern w:val="0"/>
          <w:szCs w:val="21"/>
        </w:rPr>
      </w:pPr>
      <w:r>
        <w:rPr>
          <w:rFonts w:ascii="黑体" w:eastAsia="黑体" w:hAnsi="黑体" w:cs="宋体" w:hint="eastAsia"/>
          <w:bCs/>
          <w:kern w:val="0"/>
          <w:szCs w:val="21"/>
        </w:rPr>
        <w:t>官方网站：</w:t>
      </w:r>
      <w:r>
        <w:rPr>
          <w:rFonts w:ascii="黑体" w:eastAsia="黑体" w:hAnsi="黑体" w:cs="宋体"/>
          <w:bCs/>
          <w:kern w:val="0"/>
          <w:szCs w:val="21"/>
        </w:rPr>
        <w:t>www.nbcb.com.cn</w:t>
      </w:r>
    </w:p>
    <w:p>
      <w:pPr>
        <w:autoSpaceDE w:val="0"/>
        <w:autoSpaceDN w:val="0"/>
        <w:adjustRightInd w:val="0"/>
        <w:ind w:firstLine="420" w:firstLineChars="200"/>
        <w:jc w:val="left"/>
        <w:rPr>
          <w:rFonts w:ascii="黑体" w:eastAsia="黑体" w:hAnsi="黑体" w:cs="宋体"/>
          <w:bCs/>
          <w:kern w:val="0"/>
          <w:szCs w:val="21"/>
        </w:rPr>
      </w:pPr>
      <w:r>
        <w:rPr>
          <w:rFonts w:ascii="黑体" w:eastAsia="黑体" w:hAnsi="黑体" w:cs="宋体" w:hint="eastAsia"/>
          <w:bCs/>
          <w:kern w:val="0"/>
          <w:szCs w:val="21"/>
        </w:rPr>
        <w:t>托管机构主要职责：</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1、安全</w:t>
      </w:r>
      <w:r>
        <w:rPr>
          <w:rFonts w:ascii="黑体" w:eastAsia="黑体" w:hAnsi="黑体" w:cs="宋体" w:hint="eastAsia"/>
          <w:kern w:val="0"/>
          <w:szCs w:val="21"/>
        </w:rPr>
        <w:t>托管理财资金及其所投资的资产或</w:t>
      </w:r>
      <w:r>
        <w:rPr>
          <w:rFonts w:ascii="黑体" w:eastAsia="黑体" w:hAnsi="黑体" w:cs="黑体" w:hint="eastAsia"/>
          <w:kern w:val="0"/>
          <w:szCs w:val="21"/>
        </w:rPr>
        <w:t>保管</w:t>
      </w:r>
      <w:r>
        <w:rPr>
          <w:rFonts w:ascii="黑体" w:eastAsia="黑体" w:hAnsi="黑体" w:cs="宋体" w:hint="eastAsia"/>
          <w:kern w:val="0"/>
          <w:szCs w:val="21"/>
        </w:rPr>
        <w:t>代表资产的权益凭证或</w:t>
      </w:r>
      <w:r>
        <w:rPr>
          <w:rFonts w:ascii="黑体" w:eastAsia="黑体" w:hAnsi="黑体" w:cs="黑体" w:hint="eastAsia"/>
          <w:kern w:val="0"/>
          <w:szCs w:val="21"/>
        </w:rPr>
        <w:t>财产清单；</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2、为本产品开设独立的托管账户，不同托管账户中的资产应当相互独立；</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3、按照托管协议约定和</w:t>
      </w:r>
      <w:r>
        <w:rPr>
          <w:rFonts w:ascii="黑体" w:eastAsia="黑体" w:hAnsi="黑体" w:cs="黑体" w:hint="eastAsia"/>
          <w:kern w:val="0"/>
          <w:szCs w:val="21"/>
        </w:rPr>
        <w:t>产品管理人的投资指令，及时办理清算、交割事宜；</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4、记录理财资金划拨情况，保存产品管理人的资金用途说明；</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5、负责本产品财产的会计核算；</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6</w:t>
      </w:r>
      <w:r>
        <w:rPr>
          <w:rFonts w:ascii="黑体" w:eastAsia="黑体" w:hAnsi="黑体" w:cs="黑体" w:hint="eastAsia"/>
          <w:kern w:val="0"/>
          <w:szCs w:val="21"/>
        </w:rPr>
        <w:t>、建立与产品管理人的对账机制，核对本产品财产交易记录、资金和财产账目、资产净值等数据；</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7</w:t>
      </w:r>
      <w:r>
        <w:rPr>
          <w:rFonts w:ascii="黑体" w:eastAsia="黑体" w:hAnsi="黑体" w:cs="黑体" w:hint="eastAsia"/>
          <w:kern w:val="0"/>
          <w:szCs w:val="21"/>
        </w:rPr>
        <w:t>、监督本产品投资运作；</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8</w:t>
      </w:r>
      <w:r>
        <w:rPr>
          <w:rFonts w:ascii="黑体" w:eastAsia="黑体" w:hAnsi="黑体" w:cs="黑体" w:hint="eastAsia"/>
          <w:kern w:val="0"/>
          <w:szCs w:val="21"/>
        </w:rPr>
        <w:t>、办理与本产品托管业务活动相关的信息披露事项；</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9</w:t>
      </w:r>
      <w:r>
        <w:rPr>
          <w:rFonts w:ascii="黑体" w:eastAsia="黑体" w:hAnsi="黑体" w:cs="黑体" w:hint="eastAsia"/>
          <w:kern w:val="0"/>
          <w:szCs w:val="21"/>
        </w:rPr>
        <w:t>、将本产</w:t>
      </w:r>
      <w:r>
        <w:rPr>
          <w:rFonts w:ascii="黑体" w:eastAsia="黑体" w:hAnsi="黑体" w:cs="黑体"/>
          <w:kern w:val="0"/>
          <w:szCs w:val="21"/>
        </w:rPr>
        <w:t>品</w:t>
      </w:r>
      <w:r>
        <w:rPr>
          <w:rFonts w:ascii="黑体" w:eastAsia="黑体" w:hAnsi="黑体" w:cs="黑体" w:hint="eastAsia"/>
          <w:kern w:val="0"/>
          <w:szCs w:val="21"/>
        </w:rPr>
        <w:t>托管业务活动的记录、账册、报表和其他相关资料保存</w:t>
      </w:r>
      <w:r>
        <w:rPr>
          <w:rFonts w:ascii="黑体" w:eastAsia="黑体" w:hAnsi="黑体" w:cs="黑体"/>
          <w:kern w:val="0"/>
          <w:szCs w:val="21"/>
        </w:rPr>
        <w:t>15年以上；</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10</w:t>
      </w:r>
      <w:r>
        <w:rPr>
          <w:rFonts w:ascii="黑体" w:eastAsia="黑体" w:hAnsi="黑体" w:cs="黑体" w:hint="eastAsia"/>
          <w:kern w:val="0"/>
          <w:szCs w:val="21"/>
        </w:rPr>
        <w:t>、对本产品投资信息和相关资料承担保密责任，除法律、行政法规、规章规定、审计要求或者合同约定外，不得向任何机构或者个人提供相关信息和资料；</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11</w:t>
      </w:r>
      <w:r>
        <w:rPr>
          <w:rFonts w:ascii="黑体" w:eastAsia="黑体" w:hAnsi="黑体" w:cs="黑体" w:hint="eastAsia"/>
          <w:kern w:val="0"/>
          <w:szCs w:val="21"/>
        </w:rPr>
        <w:t>、每季度向产品管理人出具本产品的托管业务报告；</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12</w:t>
      </w:r>
      <w:r>
        <w:rPr>
          <w:rFonts w:ascii="黑体" w:eastAsia="黑体" w:hAnsi="黑体" w:cs="黑体" w:hint="eastAsia"/>
          <w:kern w:val="0"/>
          <w:szCs w:val="21"/>
        </w:rPr>
        <w:t>、法律、法规、国务院银行业监督管理机构规定的其他职责。</w:t>
      </w:r>
    </w:p>
    <w:p>
      <w:pPr>
        <w:autoSpaceDE w:val="0"/>
        <w:autoSpaceDN w:val="0"/>
        <w:adjustRightInd w:val="0"/>
        <w:jc w:val="left"/>
        <w:rPr>
          <w:rFonts w:ascii="黑体" w:eastAsia="黑体" w:hAnsi="黑体" w:cs="宋体"/>
          <w:kern w:val="0"/>
          <w:szCs w:val="21"/>
        </w:rPr>
      </w:pPr>
      <w:bookmarkStart w:id="19" w:name="_Hlk33106867"/>
      <w:r>
        <w:rPr>
          <w:rFonts w:ascii="黑体" w:eastAsia="黑体" w:hAnsi="黑体" w:cs="宋体" w:hint="eastAsia"/>
          <w:kern w:val="0"/>
          <w:szCs w:val="21"/>
        </w:rPr>
        <w:t>（二）销售机构基本信息</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kern w:val="0"/>
          <w:szCs w:val="21"/>
        </w:rPr>
        <w:t>1、机构名称：</w:t>
      </w:r>
      <w:r>
        <w:rPr>
          <w:rFonts w:ascii="黑体" w:eastAsia="黑体" w:hAnsi="黑体" w:cs="宋体" w:hint="eastAsia"/>
          <w:kern w:val="0"/>
          <w:szCs w:val="21"/>
        </w:rPr>
        <w:t>宁波银行股份有限公司</w:t>
      </w:r>
    </w:p>
    <w:p>
      <w:pPr>
        <w:autoSpaceDE w:val="0"/>
        <w:autoSpaceDN w:val="0"/>
        <w:adjustRightInd w:val="0"/>
        <w:ind w:firstLine="735" w:firstLineChars="350"/>
        <w:jc w:val="left"/>
        <w:rPr>
          <w:rFonts w:ascii="黑体" w:eastAsia="黑体" w:hAnsi="黑体" w:cs="宋体"/>
          <w:bCs/>
          <w:kern w:val="0"/>
          <w:szCs w:val="21"/>
        </w:rPr>
      </w:pPr>
      <w:r>
        <w:rPr>
          <w:rFonts w:ascii="黑体" w:eastAsia="黑体" w:hAnsi="黑体" w:cs="宋体" w:hint="eastAsia"/>
          <w:bCs/>
          <w:kern w:val="0"/>
          <w:szCs w:val="21"/>
        </w:rPr>
        <w:t>客服热线：</w:t>
      </w:r>
      <w:r>
        <w:rPr>
          <w:rFonts w:ascii="黑体" w:eastAsia="黑体" w:hAnsi="黑体" w:cs="宋体"/>
          <w:bCs/>
          <w:kern w:val="0"/>
          <w:szCs w:val="21"/>
        </w:rPr>
        <w:t>95574</w:t>
      </w:r>
    </w:p>
    <w:p>
      <w:pPr>
        <w:autoSpaceDE w:val="0"/>
        <w:autoSpaceDN w:val="0"/>
        <w:adjustRightInd w:val="0"/>
        <w:ind w:firstLine="735" w:firstLineChars="350"/>
        <w:jc w:val="left"/>
        <w:rPr>
          <w:rFonts w:ascii="Calibri" w:eastAsia="黑体" w:hAnsi="Calibri" w:cs="Calibri"/>
          <w:bCs/>
          <w:kern w:val="0"/>
          <w:szCs w:val="21"/>
        </w:rPr>
      </w:pPr>
      <w:r>
        <w:rPr>
          <w:rFonts w:ascii="黑体" w:eastAsia="黑体" w:hAnsi="黑体" w:cs="宋体" w:hint="eastAsia"/>
          <w:bCs/>
          <w:kern w:val="0"/>
          <w:szCs w:val="21"/>
        </w:rPr>
        <w:t>官方网站：</w:t>
      </w:r>
      <w:r>
        <w:rPr>
          <w:rFonts w:ascii="黑体" w:eastAsia="黑体" w:hAnsi="黑体" w:cs="宋体"/>
          <w:bCs/>
          <w:kern w:val="0"/>
          <w:szCs w:val="21"/>
        </w:rPr>
        <w:t>www.nbcb.com.cn</w:t>
      </w:r>
    </w:p>
    <w:p>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2、</w:t>
      </w:r>
      <w:r>
        <w:rPr>
          <w:rFonts w:ascii="黑体" w:eastAsia="黑体" w:hAnsi="黑体" w:hint="eastAsia"/>
          <w:kern w:val="0"/>
        </w:rPr>
        <w:t>机构</w:t>
      </w:r>
      <w:r>
        <w:rPr>
          <w:rFonts w:ascii="黑体" w:eastAsia="黑体" w:hAnsi="黑体" w:cs="宋体" w:hint="eastAsia"/>
          <w:kern w:val="0"/>
          <w:szCs w:val="21"/>
        </w:rPr>
        <w:t>名称：宁银理财有限责任公司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w:t>
      </w:r>
      <w:r>
        <w:rPr>
          <w:rFonts w:ascii="黑体" w:eastAsia="黑体" w:hAnsi="黑体" w:cs="宋体"/>
          <w:kern w:val="0"/>
          <w:szCs w:val="21"/>
        </w:rPr>
        <w:t>400-099-5574</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t>
      </w:r>
      <w:r>
        <w:rPr>
          <w:rFonts w:ascii="黑体" w:eastAsia="黑体" w:hAnsi="黑体" w:cs="宋体"/>
          <w:kern w:val="0"/>
          <w:szCs w:val="21"/>
        </w:rPr>
        <w:t>www.wmbnb.com</w:t>
      </w:r>
    </w:p>
    <w:p>
      <w:pPr>
        <w:autoSpaceDE w:val="0"/>
        <w:autoSpaceDN w:val="0"/>
        <w:adjustRightInd w:val="0"/>
        <w:ind w:left="420" w:leftChars="200"/>
        <w:jc w:val="left"/>
        <w:rPr>
          <w:rFonts w:ascii="黑体" w:eastAsia="黑体" w:hAnsi="黑体"/>
          <w:kern w:val="0"/>
        </w:rPr>
      </w:pPr>
      <w:r>
        <w:rPr>
          <w:rFonts w:ascii="黑体" w:eastAsia="黑体" w:hAnsi="黑体" w:cs="宋体"/>
          <w:kern w:val="0"/>
          <w:szCs w:val="21"/>
        </w:rPr>
        <w:t>3、</w:t>
      </w:r>
      <w:r>
        <w:rPr>
          <w:rFonts w:ascii="黑体" w:eastAsia="黑体" w:hAnsi="黑体" w:hint="eastAsia"/>
          <w:kern w:val="0"/>
        </w:rPr>
        <w:t>机构</w:t>
      </w:r>
      <w:r>
        <w:rPr>
          <w:rFonts w:ascii="黑体" w:eastAsia="黑体" w:hAnsi="黑体" w:cs="宋体" w:hint="eastAsia"/>
          <w:kern w:val="0"/>
          <w:szCs w:val="21"/>
        </w:rPr>
        <w:t>名称：广发银行股份有限公司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w:t>
      </w:r>
      <w:r>
        <w:rPr>
          <w:rFonts w:ascii="黑体" w:eastAsia="黑体" w:hAnsi="黑体" w:cs="宋体"/>
          <w:kern w:val="0"/>
          <w:szCs w:val="21"/>
        </w:rPr>
        <w:t>400-830-8003</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t>
      </w:r>
      <w:r>
        <w:rPr>
          <w:rFonts w:ascii="黑体" w:eastAsia="黑体" w:hAnsi="黑体" w:cs="宋体"/>
          <w:kern w:val="0"/>
          <w:szCs w:val="21"/>
        </w:rPr>
        <w:t>www.cgbchina.com.cn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4、机构名称：大连银行股份有限公司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客服热线：956169</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官方网站：www.bankofdl.com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5、机构名称：交通银行股份有限公司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客服热线：95559</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官方网站：www.bankcomm.com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6、机构名称：广州农村商业银行股份有限公司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w:t>
      </w:r>
      <w:r>
        <w:rPr>
          <w:rFonts w:ascii="黑体" w:eastAsia="黑体" w:hAnsi="黑体" w:cs="宋体"/>
          <w:kern w:val="0"/>
          <w:szCs w:val="21"/>
        </w:rPr>
        <w:t>95313</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t>
      </w:r>
      <w:r>
        <w:rPr>
          <w:rFonts w:ascii="黑体" w:eastAsia="黑体" w:hAnsi="黑体" w:cs="宋体"/>
          <w:kern w:val="0"/>
          <w:szCs w:val="21"/>
        </w:rPr>
        <w:t>www.grcbank.com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7、机构名称：广州银行股份有限公司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客服热线：400-83-96699</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官方网站：www.gzcb.com.cn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8、机构名称：宁夏银行股份有限公司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客服热线：4008096558</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官方网站：www.bankofnx.com.cn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9、机构名称：江苏江南农村商业银行股份有限公司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客服热线：0519-96005</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官方网站：www.jnbank.com.cn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10、机构名称：江苏江阴农村商业银行股份有限公司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客服热线：96078</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官方网站：www.jybank.com.cn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11、机构名称：江苏张家港农村商业银行股份有限公司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客服热线：0512-96065</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官方网站：www.zrcbank.com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12、机构名称：江苏常熟农村商业银行股份有限公司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客服热线：956020</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官方网站：www.csrcbank.com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13、机构名称：苏州银行股份有限公司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客服热线：96067</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官方网站：www.suzhoubank.com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14、机构名称：泉州银行股份有限公司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客服热线：4008896312</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官方网站：www.qzccbank.com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15、机构名称：珠海华润银行股份有限公司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客服热线：4008800338</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官方网站：www.crbank.com.cn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16、机构名称：东莞农村商业银行股份有限公司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客服热线：0769-961122</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官方网站：www.drcbank.com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17、机构名称：东莞银行股份有限公司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客服热线：956033</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官方网站：www.dongguanbank.cn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18、机构名称：甘肃银行股份有限公司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客服热线：400-86-96666</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官方网站：www.gsbankchina.com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19、机构名称：华夏银行股份有限公司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客服热线：95577</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官方网站：www.hxb.com.cn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20、机构名称：内蒙古银行股份有限公司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客服热线：40005-96019</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官方网站：www.boimc.com.cn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21、机构名称：台州银行股份有限公司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客服热线：95371</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官方网站：www.tzbank.com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22、机构名称：渤海银行股份有限公司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客服热线：95541</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官方网站：www.cbhb.com.cn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23、机构名称：沧州银行股份有限公司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客服热线：0317-96328</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官方网站：www.bankcz.cn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24、机构名称：潍坊银行股份有限公司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客服热线：400-61-96588</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官方网站：www.bankwf.com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25、机构名称：吉林银行股份有限公司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客服热线：400-88-96666</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官方网站：www.jlbank.com.cn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26、机构名称：莱商银行股份有限公司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客服热线：40066-96629</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官方网站：www.lsbankchina.com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27、机构名称：青岛银行股份有限公司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客服热线：4006696588</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官方网站：www.qdccb.com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28、机构名称：上海浦东发展银行股份有限公司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客服热线：95528</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官方网站：www.spdb.com.cn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29、机构名称：桂林银行股份有限公司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客服热线：400-86-96299</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官方网站：www.guilinbank.com.cn</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30、机构名称：云南红塔银行股份有限公司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客服热线：0877-96522</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官方网站：www.ynhtbank.com</w:t>
      </w:r>
    </w:p>
    <w:p>
      <w:pPr>
        <w:autoSpaceDE w:val="0"/>
        <w:autoSpaceDN w:val="0"/>
        <w:adjustRightInd w:val="0"/>
        <w:ind w:left="420" w:leftChars="200"/>
        <w:jc w:val="left"/>
        <w:rPr>
          <w:rFonts w:ascii="黑体" w:eastAsia="黑体" w:hAnsi="黑体" w:cs="宋体"/>
          <w:kern w:val="0"/>
          <w:szCs w:val="21"/>
        </w:rPr>
      </w:pPr>
      <w:r>
        <w:rPr>
          <w:rFonts w:ascii="黑体" w:eastAsia="黑体" w:hAnsi="黑体" w:cs="宋体" w:hint="eastAsia"/>
          <w:kern w:val="0"/>
          <w:szCs w:val="21"/>
        </w:rPr>
        <w:t>3</w:t>
      </w:r>
      <w:r>
        <w:rPr>
          <w:rFonts w:ascii="黑体" w:eastAsia="黑体" w:hAnsi="黑体" w:cs="宋体"/>
          <w:kern w:val="0"/>
          <w:szCs w:val="21"/>
        </w:rPr>
        <w:t>1</w:t>
      </w:r>
      <w:r>
        <w:rPr>
          <w:rFonts w:ascii="黑体" w:eastAsia="黑体" w:hAnsi="黑体" w:cs="宋体" w:hint="eastAsia"/>
          <w:kern w:val="0"/>
          <w:szCs w:val="21"/>
        </w:rPr>
        <w:t>、机构名称：贵阳银行股份有限公司</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客服热线：</w:t>
      </w:r>
      <w:r>
        <w:rPr>
          <w:rFonts w:ascii="黑体" w:eastAsia="黑体" w:hAnsi="黑体" w:cs="宋体"/>
          <w:kern w:val="0"/>
          <w:szCs w:val="21"/>
        </w:rPr>
        <w:t>40011-96033</w:t>
      </w:r>
    </w:p>
    <w:p>
      <w:pPr>
        <w:autoSpaceDE w:val="0"/>
        <w:autoSpaceDN w:val="0"/>
        <w:adjustRightInd w:val="0"/>
        <w:ind w:firstLine="735" w:firstLineChars="350"/>
        <w:jc w:val="left"/>
        <w:rPr>
          <w:rFonts w:ascii="黑体" w:eastAsia="黑体" w:hAnsi="黑体" w:cs="宋体"/>
          <w:kern w:val="0"/>
          <w:szCs w:val="21"/>
        </w:rPr>
      </w:pPr>
      <w:r>
        <w:rPr>
          <w:rFonts w:ascii="黑体" w:eastAsia="黑体" w:hAnsi="黑体" w:cs="宋体" w:hint="eastAsia"/>
          <w:kern w:val="0"/>
          <w:szCs w:val="21"/>
        </w:rPr>
        <w:t>官方网站：</w:t>
      </w:r>
      <w:r>
        <w:rPr>
          <w:rFonts w:ascii="黑体" w:eastAsia="黑体" w:hAnsi="黑体" w:cs="宋体"/>
          <w:kern w:val="0"/>
          <w:szCs w:val="21"/>
        </w:rPr>
        <w:t>www.bankgy.cn</w:t>
      </w:r>
    </w:p>
    <w:p>
      <w:pPr>
        <w:autoSpaceDE w:val="0"/>
        <w:autoSpaceDN w:val="0"/>
        <w:adjustRightInd w:val="0"/>
        <w:ind w:left="420" w:leftChars="200"/>
        <w:jc w:val="left"/>
        <w:rPr>
          <w:rFonts w:ascii="黑体" w:eastAsia="黑体" w:hAnsi="黑体" w:cs="宋体"/>
          <w:kern w:val="0"/>
          <w:szCs w:val="21"/>
        </w:rPr>
      </w:pP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hint="eastAsia"/>
          <w:kern w:val="0"/>
          <w:szCs w:val="21"/>
        </w:rPr>
        <w:t>销售机构主要职责：</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1、严格遵循国家法律、法规及其他有关规定和理财产品销售文件的规定，办理本产品销售业务，勤勉、尽责地履行销售机构的职责；</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2、应保证在履行理财产品销售文件过程中占有、控制的理财产品资产或理财产品份额持有人的资产与销售机构自身资产相互独立，分别建账，分别管理；</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3、对投资者身份信息的真实性进行验证；</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4、对</w:t>
      </w:r>
      <w:r>
        <w:rPr>
          <w:rFonts w:ascii="黑体" w:eastAsia="黑体" w:hAnsi="黑体" w:cs="宋体" w:hint="eastAsia"/>
          <w:kern w:val="0"/>
          <w:szCs w:val="21"/>
        </w:rPr>
        <w:t>普通</w:t>
      </w:r>
      <w:r>
        <w:rPr>
          <w:rFonts w:ascii="黑体" w:eastAsia="黑体" w:hAnsi="黑体" w:cs="宋体"/>
          <w:kern w:val="0"/>
          <w:szCs w:val="21"/>
        </w:rPr>
        <w:t>投资者严谨客观实施风险承受能力评估并持续跟进，根据投资者的风险承受能力销售不同风险等级的产品，把合适的理财产品销售给合适的投资者；</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5、向投资者提供持续信息服务，包括但不限于以下方面:及时向投资者告知申赎理财产品的确认日期、确认份额和金额等信息；定期向投资者提供其所持有的理财产品基本信息；及时向投资者告知对其决策有重大影响的信息；</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6、充分了解面向特定对象销售的理财产品的投资者信息，收集、核验投资者金融资产证明、收入证明或纳税凭证等材料；</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7、根据反洗钱、反恐怖融资及非居民金融账户涉税信息尽职调查等相关法律法规要求识别客户身份；</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8、按照法律法规规定、理财产品销售文件约定办理理财产品的认（申）购、赎回，归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9、完整记录和保存销售业务活动信息，确保记录信息全面、准确和不可篡改；</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10、根据有关法律法规、监管规定和理财产品销售文件的要求，及时、充分披露本产品的相关信息；</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11、建立健全档案管理制度，妥善保管投资者理财产品销售相关资料，保管年限不得低于法规规定的年限；</w:t>
      </w:r>
    </w:p>
    <w:p>
      <w:pPr>
        <w:autoSpaceDE w:val="0"/>
        <w:autoSpaceDN w:val="0"/>
        <w:adjustRightInd w:val="0"/>
        <w:ind w:firstLine="420" w:firstLineChars="200"/>
        <w:jc w:val="left"/>
        <w:rPr>
          <w:rFonts w:ascii="黑体" w:eastAsia="黑体" w:hAnsi="黑体" w:cs="宋体"/>
          <w:kern w:val="0"/>
          <w:szCs w:val="21"/>
        </w:rPr>
      </w:pPr>
      <w:r>
        <w:rPr>
          <w:rFonts w:ascii="黑体" w:eastAsia="黑体" w:hAnsi="黑体" w:cs="宋体"/>
          <w:kern w:val="0"/>
          <w:szCs w:val="21"/>
        </w:rPr>
        <w:t>12、法律、法规、国务院银行业监督管理机构规定、理财产品销售文件约定的其他职责。</w:t>
      </w:r>
    </w:p>
    <w:p>
      <w:pPr>
        <w:autoSpaceDE w:val="0"/>
        <w:autoSpaceDN w:val="0"/>
        <w:adjustRightInd w:val="0"/>
        <w:jc w:val="left"/>
        <w:rPr>
          <w:rFonts w:ascii="黑体" w:eastAsia="黑体" w:hAnsi="黑体" w:cs="宋体"/>
          <w:kern w:val="0"/>
          <w:szCs w:val="21"/>
        </w:rPr>
      </w:pPr>
    </w:p>
    <w:p>
      <w:pPr>
        <w:autoSpaceDE w:val="0"/>
        <w:autoSpaceDN w:val="0"/>
        <w:adjustRightInd w:val="0"/>
        <w:jc w:val="left"/>
        <w:rPr>
          <w:rFonts w:ascii="黑体" w:eastAsia="黑体" w:hAnsi="黑体" w:cs="宋体"/>
          <w:b/>
          <w:kern w:val="0"/>
          <w:szCs w:val="21"/>
        </w:rPr>
      </w:pPr>
      <w:r>
        <w:rPr>
          <w:rFonts w:ascii="黑体" w:eastAsia="黑体" w:hAnsi="黑体" w:cs="宋体" w:hint="eastAsia"/>
          <w:b/>
          <w:kern w:val="0"/>
          <w:szCs w:val="21"/>
        </w:rPr>
        <w:t>九、投资合作机构</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投资合作机构的主要职责为进行受托资金的投资管理，根据合同约定从事受托投资或提供投资顾问等服务，具体职责以产品管理人与投资合作机构签署的合同为准</w:t>
      </w:r>
      <w:bookmarkEnd w:id="19"/>
      <w:r>
        <w:rPr>
          <w:rFonts w:ascii="黑体" w:eastAsia="黑体" w:hAnsi="黑体" w:cs="黑体" w:hint="eastAsia"/>
          <w:kern w:val="0"/>
          <w:szCs w:val="21"/>
        </w:rPr>
        <w:t>。</w:t>
      </w:r>
    </w:p>
    <w:p>
      <w:pPr>
        <w:autoSpaceDE w:val="0"/>
        <w:autoSpaceDN w:val="0"/>
        <w:adjustRightInd w:val="0"/>
        <w:ind w:firstLine="330" w:firstLineChars="157"/>
        <w:jc w:val="left"/>
        <w:rPr>
          <w:rFonts w:ascii="黑体" w:eastAsia="黑体" w:hAnsi="黑体" w:cs="宋体"/>
          <w:kern w:val="0"/>
          <w:szCs w:val="21"/>
        </w:rPr>
      </w:pPr>
    </w:p>
    <w:p>
      <w:pPr>
        <w:autoSpaceDE w:val="0"/>
        <w:autoSpaceDN w:val="0"/>
        <w:adjustRightInd w:val="0"/>
        <w:jc w:val="left"/>
        <w:rPr>
          <w:rFonts w:ascii="黑体" w:eastAsia="黑体" w:hAnsi="黑体" w:cs="宋体"/>
          <w:b/>
          <w:kern w:val="0"/>
          <w:szCs w:val="21"/>
        </w:rPr>
      </w:pPr>
      <w:r>
        <w:rPr>
          <w:rFonts w:ascii="黑体" w:eastAsia="黑体" w:hAnsi="黑体" w:cs="宋体" w:hint="eastAsia"/>
          <w:b/>
          <w:kern w:val="0"/>
          <w:szCs w:val="21"/>
        </w:rPr>
        <w:t>十、信息披露</w:t>
      </w:r>
    </w:p>
    <w:p>
      <w:pPr>
        <w:autoSpaceDE w:val="0"/>
        <w:autoSpaceDN w:val="0"/>
        <w:adjustRightInd w:val="0"/>
        <w:jc w:val="left"/>
        <w:rPr>
          <w:rFonts w:ascii="黑体" w:eastAsia="黑体" w:hAnsi="黑体" w:cs="宋体"/>
          <w:kern w:val="0"/>
          <w:szCs w:val="21"/>
        </w:rPr>
      </w:pPr>
      <w:r>
        <w:rPr>
          <w:rFonts w:ascii="黑体" w:eastAsia="黑体" w:hAnsi="黑体" w:cs="宋体" w:hint="eastAsia"/>
          <w:kern w:val="0"/>
          <w:szCs w:val="21"/>
        </w:rPr>
        <w:t>（一</w:t>
      </w:r>
      <w:r>
        <w:rPr>
          <w:rFonts w:ascii="黑体" w:eastAsia="黑体" w:hAnsi="黑体" w:cs="宋体"/>
          <w:kern w:val="0"/>
          <w:szCs w:val="21"/>
        </w:rPr>
        <w:t>）信息披露内容</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产品管理人将于产品募集期间、存续期间和终止时，通过宁银理财官网（</w:t>
      </w:r>
      <w:r>
        <w:rPr>
          <w:rFonts w:ascii="黑体" w:eastAsia="黑体" w:hAnsi="黑体" w:cs="黑体"/>
          <w:kern w:val="0"/>
          <w:szCs w:val="21"/>
        </w:rPr>
        <w:t>www.wmbnb.com)、</w:t>
      </w:r>
      <w:r>
        <w:rPr>
          <w:rFonts w:ascii="黑体" w:eastAsia="黑体" w:hAnsi="黑体" w:cs="黑体" w:hint="eastAsia"/>
          <w:kern w:val="0"/>
          <w:szCs w:val="21"/>
        </w:rPr>
        <w:t>宁银理财直销</w:t>
      </w:r>
      <w:r>
        <w:rPr>
          <w:rFonts w:ascii="黑体" w:eastAsia="黑体" w:hAnsi="黑体" w:cs="黑体"/>
          <w:kern w:val="0"/>
          <w:szCs w:val="21"/>
        </w:rPr>
        <w:t>app、</w:t>
      </w:r>
      <w:r>
        <w:rPr>
          <w:rFonts w:ascii="黑体" w:eastAsia="黑体" w:hAnsi="黑体" w:cs="黑体" w:hint="eastAsia"/>
          <w:kern w:val="0"/>
          <w:szCs w:val="21"/>
        </w:rPr>
        <w:t>宁银理财相关产品代理销售机构官方渠道或其他适当的方式披露以下产品信息：</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1、</w:t>
      </w:r>
      <w:r>
        <w:rPr>
          <w:rFonts w:ascii="黑体" w:eastAsia="黑体" w:hAnsi="黑体" w:cs="黑体" w:hint="eastAsia"/>
          <w:kern w:val="0"/>
          <w:szCs w:val="21"/>
        </w:rPr>
        <w:t>理财产品销售文件，包括</w:t>
      </w:r>
      <w:r>
        <w:rPr>
          <w:rFonts w:ascii="黑体" w:eastAsia="黑体" w:hAnsi="黑体" w:cs="宋体" w:hint="eastAsia"/>
          <w:kern w:val="0"/>
          <w:szCs w:val="21"/>
        </w:rPr>
        <w:t>《理财产品说明书》、《风险揭示书》、</w:t>
      </w:r>
      <w:r>
        <w:rPr>
          <w:rFonts w:ascii="黑体" w:eastAsia="黑体" w:hAnsi="黑体" w:cs="黑体" w:hint="eastAsia"/>
          <w:kern w:val="0"/>
          <w:szCs w:val="21"/>
        </w:rPr>
        <w:t>《销售（代理销售）协议书》</w:t>
      </w:r>
      <w:r>
        <w:rPr>
          <w:rFonts w:ascii="黑体" w:eastAsia="黑体" w:hAnsi="黑体" w:cs="宋体" w:hint="eastAsia"/>
          <w:kern w:val="0"/>
          <w:szCs w:val="21"/>
        </w:rPr>
        <w:t>、《投资协议书》</w:t>
      </w:r>
      <w:r>
        <w:rPr>
          <w:rFonts w:ascii="黑体" w:eastAsia="黑体" w:hAnsi="黑体" w:cs="黑体" w:hint="eastAsia"/>
          <w:kern w:val="0"/>
          <w:szCs w:val="21"/>
        </w:rPr>
        <w:t>和《投资者权益须知》等有关文件，以及对以上文件的有效修改或补充；</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2、发行公告，包括</w:t>
      </w:r>
      <w:r>
        <w:rPr>
          <w:rFonts w:ascii="黑体" w:eastAsia="黑体" w:hAnsi="黑体" w:cs="黑体" w:hint="eastAsia"/>
          <w:kern w:val="0"/>
          <w:szCs w:val="21"/>
        </w:rPr>
        <w:t>本产品成立日期和募集规模等信息，产品管理人将在本理财产品成立后</w:t>
      </w:r>
      <w:r>
        <w:rPr>
          <w:rFonts w:ascii="黑体" w:eastAsia="黑体" w:hAnsi="黑体" w:cs="黑体"/>
          <w:kern w:val="0"/>
          <w:szCs w:val="21"/>
        </w:rPr>
        <w:t>5个工作日内披露产品发行公告</w:t>
      </w:r>
      <w:r>
        <w:rPr>
          <w:rFonts w:ascii="黑体" w:eastAsia="黑体" w:hAnsi="黑体" w:cs="黑体" w:hint="eastAsia"/>
          <w:kern w:val="0"/>
          <w:szCs w:val="21"/>
        </w:rPr>
        <w:t>；</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3、定期报告，包括</w:t>
      </w:r>
      <w:r>
        <w:rPr>
          <w:rFonts w:ascii="黑体" w:eastAsia="黑体" w:hAnsi="黑体" w:cs="黑体" w:hint="eastAsia"/>
          <w:kern w:val="0"/>
          <w:szCs w:val="21"/>
        </w:rPr>
        <w:t>本产品的存续规模、收益表现，并分别列示直接和间接投资的资产种类、投资比例、投资组合的流动性风险分析，以及前十项资产具体名称、规模和比例等信息。</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hint="eastAsia"/>
          <w:kern w:val="0"/>
          <w:szCs w:val="21"/>
        </w:rPr>
        <w:t>产品管理人将在每个季度结束之日起</w:t>
      </w:r>
      <w:r>
        <w:rPr>
          <w:rFonts w:ascii="黑体" w:eastAsia="黑体" w:hAnsi="黑体" w:cs="黑体"/>
          <w:kern w:val="0"/>
          <w:szCs w:val="21"/>
        </w:rPr>
        <w:t>15个工作日内、上半年结束之日起60个工作日内、每年结束之日起90个工作日内披露本理财产品的季度、半年</w:t>
      </w:r>
      <w:r>
        <w:rPr>
          <w:rFonts w:ascii="黑体" w:eastAsia="黑体" w:hAnsi="黑体" w:cs="黑体" w:hint="eastAsia"/>
          <w:kern w:val="0"/>
          <w:szCs w:val="21"/>
        </w:rPr>
        <w:t>度和年度报告，如果本理财产品成立不足</w:t>
      </w:r>
      <w:r>
        <w:rPr>
          <w:rFonts w:ascii="黑体" w:eastAsia="黑体" w:hAnsi="黑体" w:cs="黑体"/>
          <w:kern w:val="0"/>
          <w:szCs w:val="21"/>
        </w:rPr>
        <w:t>90个工作日或者剩余存续期不超过90个工作日的，产品管理人可以不编制产品当期的季度、半年</w:t>
      </w:r>
      <w:r>
        <w:rPr>
          <w:rFonts w:ascii="黑体" w:eastAsia="黑体" w:hAnsi="黑体" w:cs="黑体" w:hint="eastAsia"/>
          <w:kern w:val="0"/>
          <w:szCs w:val="21"/>
        </w:rPr>
        <w:t>度和年度报告。</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4、到期公告，包括</w:t>
      </w:r>
      <w:r>
        <w:rPr>
          <w:rFonts w:ascii="黑体" w:eastAsia="黑体" w:hAnsi="黑体" w:cs="黑体" w:hint="eastAsia"/>
          <w:kern w:val="0"/>
          <w:szCs w:val="21"/>
        </w:rPr>
        <w:t>本产品的存续期限、终止日期、收费情况和收益分配情况等信息，产品管理人将在本理财产品终止后</w:t>
      </w:r>
      <w:r>
        <w:rPr>
          <w:rFonts w:ascii="黑体" w:eastAsia="黑体" w:hAnsi="黑体" w:cs="黑体"/>
          <w:kern w:val="0"/>
          <w:szCs w:val="21"/>
        </w:rPr>
        <w:t>5个工作日内披露产品到期公告</w:t>
      </w:r>
      <w:r>
        <w:rPr>
          <w:rFonts w:ascii="黑体" w:eastAsia="黑体" w:hAnsi="黑体" w:cs="黑体" w:hint="eastAsia"/>
          <w:kern w:val="0"/>
          <w:szCs w:val="21"/>
        </w:rPr>
        <w:t>；</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5、重大事项公告；</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6、临时性信息披露；</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7、国务院银行业监督管理机构规定的其他信息；</w:t>
      </w:r>
    </w:p>
    <w:p>
      <w:pPr>
        <w:autoSpaceDE w:val="0"/>
        <w:autoSpaceDN w:val="0"/>
        <w:adjustRightInd w:val="0"/>
        <w:ind w:firstLine="420" w:firstLineChars="200"/>
        <w:jc w:val="left"/>
        <w:rPr>
          <w:rFonts w:ascii="黑体" w:eastAsia="黑体" w:hAnsi="黑体" w:cs="黑体"/>
          <w:kern w:val="0"/>
          <w:szCs w:val="21"/>
        </w:rPr>
      </w:pPr>
      <w:r>
        <w:rPr>
          <w:rFonts w:ascii="黑体" w:eastAsia="黑体" w:hAnsi="黑体" w:cs="黑体"/>
          <w:kern w:val="0"/>
          <w:szCs w:val="21"/>
        </w:rPr>
        <w:t>8、</w:t>
      </w:r>
      <w:r>
        <w:rPr>
          <w:rFonts w:ascii="黑体" w:eastAsia="黑体" w:hAnsi="黑体" w:cs="黑体" w:hint="eastAsia"/>
          <w:kern w:val="0"/>
          <w:szCs w:val="21"/>
        </w:rPr>
        <w:t>产品管理人认为需要披露的其他信息。</w:t>
      </w:r>
    </w:p>
    <w:p>
      <w:pPr>
        <w:autoSpaceDE w:val="0"/>
        <w:autoSpaceDN w:val="0"/>
        <w:adjustRightInd w:val="0"/>
        <w:jc w:val="left"/>
        <w:rPr>
          <w:rFonts w:ascii="黑体" w:eastAsia="黑体" w:hAnsi="黑体" w:cs="宋体"/>
          <w:b/>
          <w:kern w:val="0"/>
          <w:szCs w:val="21"/>
        </w:rPr>
      </w:pPr>
      <w:r>
        <w:rPr>
          <w:rFonts w:ascii="黑体" w:eastAsia="黑体" w:hAnsi="黑体" w:cs="宋体" w:hint="eastAsia"/>
          <w:b/>
          <w:kern w:val="0"/>
          <w:szCs w:val="21"/>
        </w:rPr>
        <w:t>（二</w:t>
      </w:r>
      <w:r>
        <w:rPr>
          <w:rFonts w:ascii="黑体" w:eastAsia="黑体" w:hAnsi="黑体" w:cs="宋体"/>
          <w:b/>
          <w:kern w:val="0"/>
          <w:szCs w:val="21"/>
        </w:rPr>
        <w:t>）</w:t>
      </w:r>
      <w:r>
        <w:rPr>
          <w:rFonts w:ascii="黑体" w:eastAsia="黑体" w:hAnsi="黑体" w:cs="宋体" w:hint="eastAsia"/>
          <w:b/>
          <w:kern w:val="0"/>
          <w:szCs w:val="21"/>
        </w:rPr>
        <w:t>投资者同意，产品管理人或销售机构通过</w:t>
      </w:r>
      <w:r>
        <w:rPr>
          <w:rFonts w:ascii="黑体" w:eastAsia="黑体" w:hAnsi="黑体" w:cs="宋体"/>
          <w:b/>
          <w:kern w:val="0"/>
          <w:szCs w:val="21"/>
        </w:rPr>
        <w:t>上述</w:t>
      </w:r>
      <w:r>
        <w:rPr>
          <w:rFonts w:ascii="黑体" w:eastAsia="黑体" w:hAnsi="黑体" w:cs="宋体" w:hint="eastAsia"/>
          <w:b/>
          <w:kern w:val="0"/>
          <w:szCs w:val="21"/>
        </w:rPr>
        <w:t>方式及</w:t>
      </w:r>
      <w:r>
        <w:rPr>
          <w:rFonts w:ascii="黑体" w:eastAsia="黑体" w:hAnsi="黑体" w:cs="宋体"/>
          <w:b/>
          <w:kern w:val="0"/>
          <w:szCs w:val="21"/>
        </w:rPr>
        <w:t>频率</w:t>
      </w:r>
      <w:r>
        <w:rPr>
          <w:rFonts w:ascii="黑体" w:eastAsia="黑体" w:hAnsi="黑体" w:cs="宋体" w:hint="eastAsia"/>
          <w:b/>
          <w:kern w:val="0"/>
          <w:szCs w:val="21"/>
        </w:rPr>
        <w:t>进行信息披露，</w:t>
      </w:r>
      <w:r>
        <w:rPr>
          <w:rFonts w:ascii="黑体" w:eastAsia="黑体" w:hAnsi="黑体" w:cs="宋体"/>
          <w:b/>
          <w:kern w:val="0"/>
          <w:szCs w:val="21"/>
        </w:rPr>
        <w:t>视为完全履行信息</w:t>
      </w:r>
      <w:r>
        <w:rPr>
          <w:rFonts w:ascii="黑体" w:eastAsia="黑体" w:hAnsi="黑体" w:cs="宋体" w:hint="eastAsia"/>
          <w:b/>
          <w:kern w:val="0"/>
          <w:szCs w:val="21"/>
        </w:rPr>
        <w:t>披露</w:t>
      </w:r>
      <w:r>
        <w:rPr>
          <w:rFonts w:ascii="黑体" w:eastAsia="黑体" w:hAnsi="黑体" w:cs="宋体"/>
          <w:b/>
          <w:kern w:val="0"/>
          <w:szCs w:val="21"/>
        </w:rPr>
        <w:t>义务</w:t>
      </w:r>
      <w:r>
        <w:rPr>
          <w:rFonts w:ascii="黑体" w:eastAsia="黑体" w:hAnsi="黑体" w:cs="宋体" w:hint="eastAsia"/>
          <w:b/>
          <w:kern w:val="0"/>
          <w:szCs w:val="21"/>
        </w:rPr>
        <w:t>，如果投资者未及时查询，或由于通讯故障、非产品管理人原因的系统故障以及其他不可抗力等因素的影响</w:t>
      </w:r>
      <w:r>
        <w:rPr>
          <w:rFonts w:ascii="黑体" w:eastAsia="黑体" w:hAnsi="黑体" w:cs="宋体"/>
          <w:b/>
          <w:kern w:val="0"/>
          <w:szCs w:val="21"/>
        </w:rPr>
        <w:t>,致使</w:t>
      </w:r>
      <w:r>
        <w:rPr>
          <w:rFonts w:ascii="黑体" w:eastAsia="黑体" w:hAnsi="黑体" w:cs="宋体" w:hint="eastAsia"/>
          <w:b/>
          <w:kern w:val="0"/>
          <w:szCs w:val="21"/>
        </w:rPr>
        <w:t>投资者无法及时了解产品信息，因此而产生的（包括但不限于因未及时获知信息而错过资金使用和再投资的机会等）全部责任和风险，由投资者自行承担。</w:t>
      </w:r>
    </w:p>
    <w:p>
      <w:pPr>
        <w:autoSpaceDE w:val="0"/>
        <w:autoSpaceDN w:val="0"/>
        <w:adjustRightInd w:val="0"/>
        <w:ind w:firstLine="330" w:firstLineChars="157"/>
        <w:jc w:val="left"/>
        <w:rPr>
          <w:rFonts w:ascii="黑体" w:eastAsia="黑体" w:hAnsi="黑体" w:cs="宋体"/>
          <w:kern w:val="0"/>
          <w:szCs w:val="21"/>
        </w:rPr>
      </w:pPr>
    </w:p>
    <w:p>
      <w:pPr>
        <w:autoSpaceDE w:val="0"/>
        <w:autoSpaceDN w:val="0"/>
        <w:adjustRightInd w:val="0"/>
        <w:jc w:val="left"/>
        <w:rPr>
          <w:rFonts w:ascii="黑体" w:eastAsia="黑体" w:hAnsi="黑体" w:cs="黑体"/>
          <w:b/>
          <w:kern w:val="0"/>
          <w:szCs w:val="21"/>
        </w:rPr>
      </w:pPr>
      <w:r>
        <w:rPr>
          <w:rFonts w:ascii="黑体" w:eastAsia="黑体" w:hAnsi="黑体" w:cs="黑体" w:hint="eastAsia"/>
          <w:b/>
          <w:kern w:val="0"/>
          <w:szCs w:val="21"/>
        </w:rPr>
        <w:t>十一、特别提示</w:t>
      </w:r>
    </w:p>
    <w:p>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b/>
          <w:kern w:val="0"/>
          <w:szCs w:val="21"/>
        </w:rPr>
        <w:t>1、</w:t>
      </w:r>
      <w:r>
        <w:rPr>
          <w:rFonts w:ascii="黑体" w:eastAsia="黑体" w:hAnsi="黑体" w:cs="宋体" w:hint="eastAsia"/>
          <w:b/>
          <w:kern w:val="0"/>
          <w:szCs w:val="21"/>
        </w:rPr>
        <w:t>本产品业绩比较基准、产品的过往业绩仅供投资者参考，并不作为产品管理人向投资者支付本产品本金</w:t>
      </w:r>
      <w:r>
        <w:rPr>
          <w:rFonts w:ascii="黑体" w:eastAsia="黑体" w:hAnsi="黑体" w:cs="宋体"/>
          <w:b/>
          <w:kern w:val="0"/>
          <w:szCs w:val="21"/>
        </w:rPr>
        <w:t>或</w:t>
      </w:r>
      <w:r>
        <w:rPr>
          <w:rFonts w:ascii="黑体" w:eastAsia="黑体" w:hAnsi="黑体" w:cs="宋体" w:hint="eastAsia"/>
          <w:b/>
          <w:kern w:val="0"/>
          <w:szCs w:val="21"/>
        </w:rPr>
        <w:t>收益的承诺；投资者所能获得的最终收益以产品实际</w:t>
      </w:r>
      <w:r>
        <w:rPr>
          <w:rFonts w:ascii="黑体" w:eastAsia="黑体" w:hAnsi="黑体" w:cs="宋体"/>
          <w:b/>
          <w:kern w:val="0"/>
          <w:szCs w:val="21"/>
        </w:rPr>
        <w:t>情况</w:t>
      </w:r>
      <w:r>
        <w:rPr>
          <w:rFonts w:ascii="黑体" w:eastAsia="黑体" w:hAnsi="黑体" w:cs="宋体" w:hint="eastAsia"/>
          <w:b/>
          <w:kern w:val="0"/>
          <w:szCs w:val="21"/>
        </w:rPr>
        <w:t>为准。</w:t>
      </w:r>
    </w:p>
    <w:p>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b/>
          <w:kern w:val="0"/>
          <w:szCs w:val="21"/>
        </w:rPr>
        <w:t>2</w:t>
      </w:r>
      <w:r>
        <w:rPr>
          <w:rFonts w:ascii="黑体" w:eastAsia="黑体" w:hAnsi="黑体" w:cs="宋体" w:hint="eastAsia"/>
          <w:b/>
          <w:kern w:val="0"/>
          <w:szCs w:val="21"/>
        </w:rPr>
        <w:t>、投资者在投资前，请仔细阅读本说明书，并作出独立的投资决策。</w:t>
      </w:r>
    </w:p>
    <w:p>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b/>
          <w:kern w:val="0"/>
          <w:szCs w:val="21"/>
        </w:rPr>
        <w:t>3、产品管理人</w:t>
      </w:r>
      <w:r>
        <w:rPr>
          <w:rFonts w:ascii="黑体" w:eastAsia="黑体" w:hAnsi="黑体" w:cs="宋体" w:hint="eastAsia"/>
          <w:b/>
          <w:kern w:val="0"/>
          <w:szCs w:val="21"/>
        </w:rPr>
        <w:t>将恪守勤勉尽责的原则，合理配置资产组合，为投资者提供专业化的理财服务。</w:t>
      </w:r>
    </w:p>
    <w:p>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b/>
          <w:kern w:val="0"/>
          <w:szCs w:val="21"/>
        </w:rPr>
        <w:t>4</w:t>
      </w:r>
      <w:r>
        <w:rPr>
          <w:rFonts w:ascii="黑体" w:eastAsia="黑体" w:hAnsi="黑体" w:cs="宋体" w:hint="eastAsia"/>
          <w:b/>
          <w:kern w:val="0"/>
          <w:szCs w:val="21"/>
        </w:rPr>
        <w:t>、投资者应密切关注产品管理人或</w:t>
      </w:r>
      <w:r>
        <w:rPr>
          <w:rFonts w:ascii="黑体" w:eastAsia="黑体" w:hAnsi="黑体" w:cs="宋体"/>
          <w:b/>
          <w:kern w:val="0"/>
          <w:szCs w:val="21"/>
        </w:rPr>
        <w:t>销售机构发布的</w:t>
      </w:r>
      <w:r>
        <w:rPr>
          <w:rFonts w:ascii="黑体" w:eastAsia="黑体" w:hAnsi="黑体" w:cs="宋体" w:hint="eastAsia"/>
          <w:b/>
          <w:kern w:val="0"/>
          <w:szCs w:val="21"/>
        </w:rPr>
        <w:t>与本产品有关的信息披露公告，以免造成不必要的损失。</w:t>
      </w:r>
    </w:p>
    <w:p>
      <w:pPr>
        <w:autoSpaceDE w:val="0"/>
        <w:autoSpaceDN w:val="0"/>
        <w:adjustRightInd w:val="0"/>
        <w:ind w:firstLine="420" w:firstLineChars="200"/>
        <w:jc w:val="left"/>
        <w:rPr>
          <w:rFonts w:ascii="黑体" w:eastAsia="黑体" w:hAnsi="黑体" w:cs="宋体"/>
          <w:b/>
          <w:kern w:val="0"/>
          <w:szCs w:val="21"/>
        </w:rPr>
      </w:pPr>
      <w:r>
        <w:rPr>
          <w:rFonts w:ascii="黑体" w:eastAsia="黑体" w:hAnsi="黑体" w:cs="宋体"/>
          <w:b/>
          <w:kern w:val="0"/>
          <w:szCs w:val="21"/>
        </w:rPr>
        <w:t>5、其他</w:t>
      </w:r>
      <w:r>
        <w:rPr>
          <w:rFonts w:ascii="黑体" w:eastAsia="黑体" w:hAnsi="黑体" w:cs="宋体" w:hint="eastAsia"/>
          <w:b/>
          <w:kern w:val="0"/>
          <w:szCs w:val="21"/>
        </w:rPr>
        <w:t>：无</w:t>
      </w:r>
    </w:p>
    <w:p>
      <w:pPr>
        <w:autoSpaceDE w:val="0"/>
        <w:autoSpaceDN w:val="0"/>
        <w:adjustRightInd w:val="0"/>
        <w:ind w:firstLine="420" w:firstLineChars="200"/>
        <w:jc w:val="left"/>
        <w:rPr>
          <w:rFonts w:ascii="黑体" w:eastAsia="黑体" w:hAnsi="黑体" w:cs="宋体"/>
          <w:kern w:val="0"/>
          <w:szCs w:val="21"/>
        </w:rPr>
      </w:pPr>
    </w:p>
    <w:p>
      <w:pPr>
        <w:rPr>
          <w:rFonts w:ascii="黑体" w:eastAsia="黑体" w:hAnsi="黑体"/>
          <w:b/>
          <w:szCs w:val="21"/>
        </w:rPr>
      </w:pPr>
      <w:r>
        <w:rPr>
          <w:rFonts w:ascii="黑体" w:eastAsia="黑体" w:hAnsi="黑体" w:hint="eastAsia"/>
          <w:b/>
          <w:szCs w:val="21"/>
        </w:rPr>
        <w:t>十二、其他</w:t>
      </w:r>
    </w:p>
    <w:p>
      <w:pPr>
        <w:autoSpaceDE w:val="0"/>
        <w:autoSpaceDN w:val="0"/>
        <w:adjustRightInd w:val="0"/>
        <w:ind w:firstLine="420" w:firstLineChars="200"/>
        <w:jc w:val="left"/>
        <w:rPr>
          <w:rFonts w:ascii="黑体" w:eastAsia="黑体" w:hAnsi="黑体"/>
          <w:b/>
          <w:szCs w:val="21"/>
        </w:rPr>
      </w:pPr>
      <w:r>
        <w:rPr>
          <w:rFonts w:ascii="黑体" w:eastAsia="黑体" w:hAnsi="黑体"/>
          <w:b/>
          <w:szCs w:val="21"/>
        </w:rPr>
        <w:t>1、</w:t>
      </w:r>
      <w:r>
        <w:rPr>
          <w:rFonts w:ascii="黑体" w:eastAsia="黑体" w:hAnsi="黑体" w:hint="eastAsia"/>
          <w:b/>
          <w:szCs w:val="21"/>
        </w:rPr>
        <w:t>除</w:t>
      </w:r>
      <w:r>
        <w:rPr>
          <w:rFonts w:ascii="黑体" w:eastAsia="黑体" w:hAnsi="黑体"/>
          <w:b/>
          <w:szCs w:val="21"/>
        </w:rPr>
        <w:t>产品管理人</w:t>
      </w:r>
      <w:r>
        <w:rPr>
          <w:rFonts w:ascii="黑体" w:eastAsia="黑体" w:hAnsi="黑体" w:hint="eastAsia"/>
          <w:b/>
          <w:szCs w:val="21"/>
        </w:rPr>
        <w:t>同意外</w:t>
      </w:r>
      <w:r>
        <w:rPr>
          <w:rFonts w:ascii="黑体" w:eastAsia="黑体" w:hAnsi="黑体"/>
          <w:b/>
          <w:szCs w:val="21"/>
        </w:rPr>
        <w:t>，本产品</w:t>
      </w:r>
      <w:r>
        <w:rPr>
          <w:rFonts w:ascii="黑体" w:eastAsia="黑体" w:hAnsi="黑体" w:hint="eastAsia"/>
          <w:b/>
          <w:szCs w:val="21"/>
        </w:rPr>
        <w:t>不</w:t>
      </w:r>
      <w:r>
        <w:rPr>
          <w:rFonts w:ascii="黑体" w:eastAsia="黑体" w:hAnsi="黑体"/>
          <w:b/>
          <w:szCs w:val="21"/>
        </w:rPr>
        <w:t>允许投资者</w:t>
      </w:r>
      <w:r>
        <w:rPr>
          <w:rFonts w:ascii="黑体" w:eastAsia="黑体" w:hAnsi="黑体" w:hint="eastAsia"/>
          <w:b/>
          <w:szCs w:val="21"/>
        </w:rPr>
        <w:t>办理</w:t>
      </w:r>
      <w:r>
        <w:rPr>
          <w:rFonts w:ascii="黑体" w:eastAsia="黑体" w:hAnsi="黑体"/>
          <w:b/>
          <w:szCs w:val="21"/>
        </w:rPr>
        <w:t>提前赎回</w:t>
      </w:r>
      <w:r>
        <w:rPr>
          <w:rFonts w:ascii="黑体" w:eastAsia="黑体" w:hAnsi="黑体" w:hint="eastAsia"/>
          <w:b/>
          <w:szCs w:val="21"/>
        </w:rPr>
        <w:t>。</w:t>
      </w:r>
    </w:p>
    <w:p>
      <w:pPr>
        <w:autoSpaceDE w:val="0"/>
        <w:autoSpaceDN w:val="0"/>
        <w:adjustRightInd w:val="0"/>
        <w:ind w:firstLine="420" w:firstLineChars="200"/>
        <w:jc w:val="left"/>
        <w:rPr>
          <w:rFonts w:ascii="黑体" w:eastAsia="黑体" w:hAnsi="黑体"/>
          <w:b/>
          <w:szCs w:val="21"/>
        </w:rPr>
      </w:pPr>
      <w:r>
        <w:rPr>
          <w:rFonts w:ascii="黑体" w:eastAsia="黑体" w:hAnsi="黑体"/>
          <w:b/>
          <w:szCs w:val="21"/>
        </w:rPr>
        <w:t>2</w:t>
      </w:r>
      <w:r>
        <w:rPr>
          <w:rFonts w:ascii="黑体" w:eastAsia="黑体" w:hAnsi="黑体" w:hint="eastAsia"/>
          <w:b/>
          <w:szCs w:val="21"/>
        </w:rPr>
        <w:t>、</w:t>
      </w:r>
      <w:r>
        <w:rPr>
          <w:rFonts w:ascii="黑体" w:eastAsia="黑体" w:hAnsi="黑体"/>
          <w:b/>
          <w:szCs w:val="21"/>
        </w:rPr>
        <w:t>其他</w:t>
      </w:r>
      <w:r>
        <w:rPr>
          <w:rFonts w:ascii="黑体" w:eastAsia="黑体" w:hAnsi="黑体" w:hint="eastAsia"/>
          <w:b/>
          <w:szCs w:val="21"/>
        </w:rPr>
        <w:t>：无</w:t>
      </w:r>
    </w:p>
    <w:p>
      <w:pPr>
        <w:autoSpaceDE w:val="0"/>
        <w:autoSpaceDN w:val="0"/>
        <w:adjustRightInd w:val="0"/>
        <w:ind w:firstLine="420" w:firstLineChars="200"/>
        <w:jc w:val="left"/>
        <w:rPr>
          <w:rFonts w:ascii="黑体" w:eastAsia="黑体" w:hAnsi="黑体"/>
          <w:szCs w:val="21"/>
        </w:rPr>
      </w:pPr>
    </w:p>
    <w:p>
      <w:pPr>
        <w:autoSpaceDE w:val="0"/>
        <w:autoSpaceDN w:val="0"/>
        <w:adjustRightInd w:val="0"/>
        <w:ind w:firstLine="420" w:firstLineChars="200"/>
        <w:jc w:val="left"/>
        <w:rPr>
          <w:rFonts w:ascii="黑体" w:eastAsia="黑体" w:hAnsi="黑体"/>
          <w:b/>
          <w:szCs w:val="21"/>
        </w:rPr>
      </w:pPr>
      <w:r>
        <w:rPr>
          <w:rFonts w:ascii="黑体" w:eastAsia="黑体" w:hAnsi="黑体" w:hint="eastAsia"/>
          <w:b/>
          <w:szCs w:val="21"/>
        </w:rPr>
        <w:t>以下内容由投资者确认并</w:t>
      </w:r>
      <w:r>
        <w:rPr>
          <w:rFonts w:ascii="黑体" w:eastAsia="黑体" w:hAnsi="黑体"/>
          <w:b/>
          <w:szCs w:val="21"/>
        </w:rPr>
        <w:t>签字</w:t>
      </w:r>
      <w:r>
        <w:rPr>
          <w:rFonts w:ascii="黑体" w:eastAsia="黑体" w:hAnsi="黑体" w:hint="eastAsia"/>
          <w:b/>
          <w:szCs w:val="21"/>
        </w:rPr>
        <w:t>（机构投资者需盖章），如通过线上渠道购买，认（申）购确认即视为投资者同意并确认下述内容：</w:t>
      </w:r>
    </w:p>
    <w:p>
      <w:pPr>
        <w:autoSpaceDE w:val="0"/>
        <w:autoSpaceDN w:val="0"/>
        <w:adjustRightInd w:val="0"/>
        <w:ind w:firstLine="420" w:firstLineChars="200"/>
        <w:jc w:val="left"/>
        <w:rPr>
          <w:rFonts w:ascii="黑体" w:eastAsia="黑体" w:hAnsi="黑体"/>
          <w:szCs w:val="21"/>
        </w:rPr>
      </w:pPr>
      <w:r>
        <w:rPr>
          <w:rFonts w:ascii="黑体" w:eastAsia="黑体" w:hAnsi="黑体" w:hint="eastAsia"/>
          <w:szCs w:val="21"/>
        </w:rPr>
        <w:t>声明：本人</w:t>
      </w:r>
      <w:r>
        <w:rPr>
          <w:rFonts w:ascii="黑体" w:eastAsia="黑体" w:hAnsi="黑体"/>
          <w:szCs w:val="21"/>
        </w:rPr>
        <w:t>/本机构充分</w:t>
      </w:r>
      <w:r>
        <w:rPr>
          <w:rFonts w:ascii="黑体" w:eastAsia="黑体" w:hAnsi="黑体" w:hint="eastAsia"/>
          <w:szCs w:val="21"/>
        </w:rPr>
        <w:t>阅读本</w:t>
      </w:r>
      <w:r>
        <w:rPr>
          <w:rFonts w:ascii="黑体" w:eastAsia="黑体" w:hAnsi="黑体"/>
          <w:szCs w:val="21"/>
        </w:rPr>
        <w:t>说明书及</w:t>
      </w:r>
      <w:r>
        <w:rPr>
          <w:rFonts w:ascii="黑体" w:eastAsia="黑体" w:hAnsi="黑体" w:hint="eastAsia"/>
          <w:szCs w:val="21"/>
        </w:rPr>
        <w:t>本理财产品的《风险揭示书》、《销售（代理销售）协议书》、《投资协议书》、《投资者权益须知》等理财产品销售文件，已全面、准确地理解本产品，充分认识到投资本产品需要承担的风险，并自愿承担此风险。</w:t>
      </w:r>
    </w:p>
    <w:p>
      <w:pPr>
        <w:autoSpaceDE w:val="0"/>
        <w:autoSpaceDN w:val="0"/>
        <w:adjustRightInd w:val="0"/>
        <w:ind w:firstLine="420" w:firstLineChars="200"/>
        <w:jc w:val="left"/>
        <w:rPr>
          <w:rFonts w:ascii="黑体" w:eastAsia="黑体" w:hAnsi="黑体"/>
          <w:szCs w:val="21"/>
        </w:rPr>
      </w:pPr>
    </w:p>
    <w:p>
      <w:pPr>
        <w:autoSpaceDE w:val="0"/>
        <w:autoSpaceDN w:val="0"/>
        <w:adjustRightInd w:val="0"/>
        <w:ind w:firstLine="420" w:firstLineChars="200"/>
        <w:jc w:val="left"/>
        <w:rPr>
          <w:rFonts w:ascii="黑体" w:eastAsia="黑体" w:hAnsi="黑体"/>
          <w:b/>
          <w:szCs w:val="21"/>
        </w:rPr>
      </w:pPr>
      <w:bookmarkStart w:id="20" w:name="OLE_LINK7"/>
      <w:bookmarkStart w:id="21" w:name="OLE_LINK6"/>
      <w:r>
        <w:rPr>
          <w:rFonts w:ascii="黑体" w:eastAsia="黑体" w:hAnsi="黑体" w:hint="eastAsia"/>
          <w:b/>
          <w:szCs w:val="21"/>
        </w:rPr>
        <w:t>(自然人签署适用)</w:t>
      </w:r>
    </w:p>
    <w:p>
      <w:pPr>
        <w:autoSpaceDE w:val="0"/>
        <w:autoSpaceDN w:val="0"/>
        <w:adjustRightInd w:val="0"/>
        <w:ind w:firstLine="420" w:firstLineChars="200"/>
        <w:jc w:val="left"/>
        <w:rPr>
          <w:rFonts w:ascii="黑体" w:eastAsia="黑体" w:hAnsi="黑体"/>
          <w:b/>
          <w:szCs w:val="21"/>
        </w:rPr>
      </w:pPr>
      <w:r>
        <w:rPr>
          <w:rFonts w:ascii="黑体" w:eastAsia="黑体" w:hAnsi="黑体" w:hint="eastAsia"/>
          <w:b/>
          <w:szCs w:val="21"/>
        </w:rPr>
        <w:t>投资者签字</w:t>
      </w:r>
      <w:r>
        <w:rPr>
          <w:rFonts w:ascii="黑体" w:eastAsia="黑体" w:hAnsi="黑体"/>
          <w:b/>
          <w:szCs w:val="21"/>
        </w:rPr>
        <w:t>____________</w:t>
      </w:r>
    </w:p>
    <w:p>
      <w:pPr>
        <w:autoSpaceDE w:val="0"/>
        <w:autoSpaceDN w:val="0"/>
        <w:adjustRightInd w:val="0"/>
        <w:ind w:firstLine="420" w:firstLineChars="200"/>
        <w:jc w:val="left"/>
        <w:rPr>
          <w:rFonts w:ascii="黑体" w:eastAsia="黑体" w:hAnsi="黑体"/>
          <w:b/>
          <w:szCs w:val="21"/>
        </w:rPr>
      </w:pPr>
    </w:p>
    <w:p>
      <w:pPr>
        <w:autoSpaceDE w:val="0"/>
        <w:autoSpaceDN w:val="0"/>
        <w:adjustRightInd w:val="0"/>
        <w:ind w:firstLine="420" w:firstLineChars="200"/>
        <w:jc w:val="left"/>
        <w:rPr>
          <w:rFonts w:ascii="黑体" w:eastAsia="黑体" w:hAnsi="黑体"/>
          <w:b/>
          <w:szCs w:val="21"/>
        </w:rPr>
      </w:pPr>
      <w:r>
        <w:rPr>
          <w:rFonts w:ascii="黑体" w:eastAsia="黑体" w:hAnsi="黑体" w:hint="eastAsia"/>
          <w:b/>
          <w:szCs w:val="21"/>
        </w:rPr>
        <w:t>（机构投资者签署适用）</w:t>
      </w:r>
    </w:p>
    <w:p>
      <w:pPr>
        <w:autoSpaceDE w:val="0"/>
        <w:autoSpaceDN w:val="0"/>
        <w:adjustRightInd w:val="0"/>
        <w:ind w:firstLine="420" w:firstLineChars="200"/>
        <w:jc w:val="left"/>
        <w:rPr>
          <w:rFonts w:ascii="黑体" w:eastAsia="黑体" w:hAnsi="黑体"/>
          <w:b/>
          <w:szCs w:val="21"/>
        </w:rPr>
      </w:pPr>
      <w:r>
        <w:rPr>
          <w:rFonts w:ascii="黑体" w:eastAsia="黑体" w:hAnsi="黑体"/>
          <w:b/>
          <w:szCs w:val="21"/>
        </w:rPr>
        <w:t>公章（或经公章授权的其他有效印鉴）：</w:t>
      </w:r>
    </w:p>
    <w:p>
      <w:pPr>
        <w:autoSpaceDE w:val="0"/>
        <w:autoSpaceDN w:val="0"/>
        <w:adjustRightInd w:val="0"/>
        <w:ind w:firstLine="420" w:firstLineChars="200"/>
        <w:jc w:val="left"/>
        <w:rPr>
          <w:rFonts w:ascii="黑体" w:eastAsia="黑体" w:hAnsi="黑体"/>
          <w:b/>
          <w:szCs w:val="21"/>
        </w:rPr>
      </w:pPr>
      <w:r>
        <w:rPr>
          <w:rFonts w:ascii="黑体" w:eastAsia="黑体" w:hAnsi="黑体"/>
          <w:b/>
          <w:szCs w:val="21"/>
        </w:rPr>
        <w:t>法定代表人（负责人）或授权代理人签字/签章：</w:t>
      </w:r>
    </w:p>
    <w:p>
      <w:pPr>
        <w:autoSpaceDE w:val="0"/>
        <w:autoSpaceDN w:val="0"/>
        <w:adjustRightInd w:val="0"/>
        <w:ind w:firstLine="420" w:firstLineChars="200"/>
        <w:jc w:val="left"/>
        <w:rPr>
          <w:rFonts w:ascii="黑体" w:eastAsia="黑体" w:hAnsi="黑体"/>
          <w:b/>
          <w:szCs w:val="21"/>
        </w:rPr>
      </w:pPr>
    </w:p>
    <w:p>
      <w:pPr>
        <w:autoSpaceDE w:val="0"/>
        <w:autoSpaceDN w:val="0"/>
        <w:adjustRightInd w:val="0"/>
        <w:ind w:firstLine="420" w:firstLineChars="200"/>
        <w:jc w:val="left"/>
        <w:rPr>
          <w:rFonts w:ascii="黑体" w:eastAsia="黑体" w:hAnsi="黑体"/>
          <w:b/>
          <w:szCs w:val="21"/>
        </w:rPr>
      </w:pPr>
    </w:p>
    <w:p>
      <w:pPr>
        <w:autoSpaceDE w:val="0"/>
        <w:autoSpaceDN w:val="0"/>
        <w:adjustRightInd w:val="0"/>
        <w:ind w:firstLine="420" w:firstLineChars="200"/>
        <w:jc w:val="left"/>
        <w:rPr>
          <w:rFonts w:ascii="黑体" w:eastAsia="黑体" w:hAnsi="黑体"/>
          <w:b/>
          <w:szCs w:val="21"/>
        </w:rPr>
      </w:pPr>
      <w:r>
        <w:rPr>
          <w:rFonts w:ascii="黑体" w:eastAsia="黑体" w:hAnsi="黑体" w:hint="eastAsia"/>
          <w:b/>
          <w:szCs w:val="21"/>
        </w:rPr>
        <w:t>日期</w:t>
      </w:r>
      <w:r>
        <w:rPr>
          <w:rFonts w:ascii="黑体" w:eastAsia="黑体" w:hAnsi="黑体"/>
          <w:b/>
          <w:szCs w:val="21"/>
        </w:rPr>
        <w:t>_______________</w:t>
      </w:r>
    </w:p>
    <w:p>
      <w:pPr>
        <w:autoSpaceDE w:val="0"/>
        <w:autoSpaceDN w:val="0"/>
        <w:adjustRightInd w:val="0"/>
        <w:ind w:firstLine="420" w:firstLineChars="200"/>
        <w:jc w:val="left"/>
        <w:rPr>
          <w:rFonts w:ascii="黑体" w:eastAsia="黑体" w:hAnsi="黑体"/>
          <w:b/>
          <w:szCs w:val="21"/>
        </w:rPr>
      </w:pPr>
    </w:p>
    <w:bookmarkEnd w:id="20"/>
    <w:bookmarkEnd w:id="21"/>
    <w:p>
      <w:pPr>
        <w:autoSpaceDE w:val="0"/>
        <w:autoSpaceDN w:val="0"/>
        <w:adjustRightInd w:val="0"/>
        <w:ind w:firstLine="420" w:firstLineChars="200"/>
        <w:jc w:val="left"/>
        <w:rPr>
          <w:rFonts w:ascii="黑体" w:eastAsia="黑体" w:hAnsi="黑体"/>
          <w:b/>
          <w:szCs w:val="21"/>
        </w:rPr>
        <w:sectPr>
          <w:pgSz w:w="11906" w:h="16838"/>
          <w:pgMar w:top="1440" w:right="1800" w:bottom="1440" w:left="1800" w:header="851" w:footer="992" w:gutter="0"/>
          <w:cols w:num="1" w:space="425"/>
          <w:docGrid w:type="lines" w:linePitch="312" w:charSpace="0"/>
        </w:sectPr>
      </w:pPr>
    </w:p>
    <w:p w:rsidR="00156F5C" w14:paraId="578C8384" w14:textId="77777777">
      <w:pPr>
        <w:jc w:val="center"/>
        <w:rPr>
          <w:rFonts w:ascii="黑体" w:eastAsia="黑体" w:hAnsi="宋体" w:cs="Times New Roman"/>
          <w:b/>
          <w:sz w:val="44"/>
          <w:szCs w:val="44"/>
        </w:rPr>
      </w:pPr>
      <w:r>
        <w:rPr>
          <w:rFonts w:ascii="黑体" w:eastAsia="黑体" w:hAnsi="宋体" w:cs="Times New Roman" w:hint="eastAsia"/>
          <w:b/>
          <w:sz w:val="44"/>
          <w:szCs w:val="44"/>
        </w:rPr>
        <w:t>宁银理财有限责任公司</w:t>
      </w:r>
      <w:r>
        <w:rPr>
          <w:rFonts w:ascii="黑体" w:eastAsia="黑体" w:hAnsi="宋体" w:cs="Times New Roman"/>
          <w:b/>
          <w:sz w:val="44"/>
          <w:szCs w:val="44"/>
        </w:rPr>
        <w:t>产品</w:t>
      </w:r>
      <w:r>
        <w:rPr>
          <w:rFonts w:ascii="黑体" w:eastAsia="黑体" w:hAnsi="宋体" w:cs="Times New Roman" w:hint="eastAsia"/>
          <w:b/>
          <w:sz w:val="44"/>
          <w:szCs w:val="44"/>
        </w:rPr>
        <w:t>投资</w:t>
      </w:r>
      <w:r>
        <w:rPr>
          <w:rFonts w:ascii="黑体" w:eastAsia="黑体" w:hAnsi="宋体" w:cs="Times New Roman"/>
          <w:b/>
          <w:sz w:val="44"/>
          <w:szCs w:val="44"/>
        </w:rPr>
        <w:t>协议</w:t>
      </w:r>
      <w:r>
        <w:rPr>
          <w:rFonts w:ascii="黑体" w:eastAsia="黑体" w:hAnsi="宋体" w:cs="Times New Roman" w:hint="eastAsia"/>
          <w:b/>
          <w:sz w:val="44"/>
          <w:szCs w:val="44"/>
        </w:rPr>
        <w:t>书</w:t>
      </w:r>
    </w:p>
    <w:p w:rsidR="00156F5C" w14:paraId="449E4B99" w14:textId="76B312F3">
      <w:pPr>
        <w:adjustRightInd w:val="0"/>
        <w:snapToGrid w:val="0"/>
        <w:spacing w:line="312" w:lineRule="auto"/>
        <w:jc w:val="center"/>
        <w:rPr>
          <w:rFonts w:ascii="宋体" w:hAnsi="宋体"/>
          <w:b/>
          <w:sz w:val="24"/>
        </w:rPr>
      </w:pPr>
      <w:r>
        <w:rPr>
          <w:rFonts w:ascii="宋体" w:hAnsi="宋体" w:hint="eastAsia"/>
          <w:b/>
          <w:sz w:val="24"/>
        </w:rPr>
        <w:t>（</w:t>
      </w:r>
      <w:r w:rsidR="003F3A2D">
        <w:rPr>
          <w:rFonts w:ascii="宋体" w:hAnsi="宋体"/>
          <w:b/>
          <w:sz w:val="24"/>
        </w:rPr>
        <w:t>202601</w:t>
      </w:r>
      <w:r>
        <w:rPr>
          <w:rFonts w:ascii="宋体" w:hAnsi="宋体" w:hint="eastAsia"/>
          <w:b/>
          <w:sz w:val="24"/>
        </w:rPr>
        <w:t>版）</w:t>
      </w:r>
    </w:p>
    <w:p w:rsidR="00156F5C" w14:paraId="07C714F6" w14:textId="77777777">
      <w:pPr>
        <w:adjustRightInd w:val="0"/>
        <w:snapToGrid w:val="0"/>
        <w:spacing w:line="312" w:lineRule="auto"/>
        <w:jc w:val="center"/>
        <w:rPr>
          <w:rFonts w:ascii="宋体" w:hAnsi="宋体"/>
          <w:b/>
          <w:sz w:val="24"/>
        </w:rPr>
      </w:pPr>
    </w:p>
    <w:p w:rsidR="00156F5C" w14:paraId="7B7BD5D0"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宁银理财有限责任公司（以下简称“乙方”）与其发行理财产品的购买方（以下简称“甲方”）经平等友好协商，本着自愿、诚实信用的原则，就甲方</w:t>
      </w:r>
      <w:r>
        <w:rPr>
          <w:rFonts w:ascii="宋体" w:eastAsia="宋体" w:hAnsi="宋体" w:cs="Times New Roman"/>
          <w:sz w:val="24"/>
          <w:szCs w:val="24"/>
        </w:rPr>
        <w:t>投资乙方发行管理的本</w:t>
      </w:r>
      <w:r>
        <w:rPr>
          <w:rFonts w:ascii="宋体" w:eastAsia="宋体" w:hAnsi="宋体" w:cs="Times New Roman" w:hint="eastAsia"/>
          <w:sz w:val="24"/>
          <w:szCs w:val="24"/>
        </w:rPr>
        <w:t>理财</w:t>
      </w:r>
      <w:r>
        <w:rPr>
          <w:rFonts w:ascii="宋体" w:eastAsia="宋体" w:hAnsi="宋体" w:cs="Times New Roman"/>
          <w:sz w:val="24"/>
          <w:szCs w:val="24"/>
        </w:rPr>
        <w:t>产品、接受乙方提供</w:t>
      </w:r>
      <w:r>
        <w:rPr>
          <w:rFonts w:ascii="宋体" w:eastAsia="宋体" w:hAnsi="宋体" w:cs="Times New Roman" w:hint="eastAsia"/>
          <w:sz w:val="24"/>
          <w:szCs w:val="24"/>
        </w:rPr>
        <w:t>的本</w:t>
      </w:r>
      <w:r>
        <w:rPr>
          <w:rFonts w:ascii="宋体" w:eastAsia="宋体" w:hAnsi="宋体" w:cs="Times New Roman"/>
          <w:sz w:val="24"/>
          <w:szCs w:val="24"/>
        </w:rPr>
        <w:t>理财</w:t>
      </w:r>
      <w:r>
        <w:rPr>
          <w:rFonts w:ascii="宋体" w:eastAsia="宋体" w:hAnsi="宋体" w:cs="Times New Roman" w:hint="eastAsia"/>
          <w:sz w:val="24"/>
          <w:szCs w:val="24"/>
        </w:rPr>
        <w:t>产品</w:t>
      </w:r>
      <w:r>
        <w:rPr>
          <w:rFonts w:ascii="宋体" w:eastAsia="宋体" w:hAnsi="宋体" w:cs="Times New Roman"/>
          <w:sz w:val="24"/>
          <w:szCs w:val="24"/>
        </w:rPr>
        <w:t>相关</w:t>
      </w:r>
      <w:r>
        <w:rPr>
          <w:rFonts w:ascii="宋体" w:eastAsia="宋体" w:hAnsi="宋体" w:cs="Times New Roman" w:hint="eastAsia"/>
          <w:sz w:val="24"/>
          <w:szCs w:val="24"/>
        </w:rPr>
        <w:t>的投资</w:t>
      </w:r>
      <w:r>
        <w:rPr>
          <w:rFonts w:ascii="宋体" w:eastAsia="宋体" w:hAnsi="宋体" w:cs="Times New Roman"/>
          <w:sz w:val="24"/>
          <w:szCs w:val="24"/>
        </w:rPr>
        <w:t>服务等事宜，</w:t>
      </w:r>
      <w:r>
        <w:rPr>
          <w:rFonts w:ascii="宋体" w:eastAsia="宋体" w:hAnsi="宋体" w:cs="Times New Roman" w:hint="eastAsia"/>
          <w:sz w:val="24"/>
          <w:szCs w:val="24"/>
        </w:rPr>
        <w:t>达成如下协议（以下简称“本协议”）：</w:t>
      </w:r>
    </w:p>
    <w:p w:rsidR="00156F5C" w14:paraId="58C69275" w14:textId="77777777">
      <w:pPr>
        <w:pStyle w:val="ListParagraph"/>
        <w:numPr>
          <w:ilvl w:val="0"/>
          <w:numId w:val="1"/>
        </w:numPr>
        <w:spacing w:line="360" w:lineRule="auto"/>
        <w:ind w:firstLineChars="0"/>
        <w:rPr>
          <w:rFonts w:ascii="宋体" w:eastAsia="宋体" w:hAnsi="宋体" w:cs="Times New Roman"/>
          <w:b/>
          <w:sz w:val="24"/>
          <w:szCs w:val="24"/>
        </w:rPr>
      </w:pPr>
      <w:r>
        <w:rPr>
          <w:rFonts w:ascii="宋体" w:eastAsia="宋体" w:hAnsi="宋体" w:cs="Times New Roman" w:hint="eastAsia"/>
          <w:b/>
          <w:sz w:val="24"/>
          <w:szCs w:val="24"/>
        </w:rPr>
        <w:t>重要提示</w:t>
      </w:r>
    </w:p>
    <w:p w:rsidR="00156F5C" w14:paraId="54ED831F"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b/>
          <w:sz w:val="24"/>
          <w:szCs w:val="24"/>
        </w:rPr>
        <w:t>理财非存款、产品有风险、投资须谨慎。</w:t>
      </w:r>
      <w:r>
        <w:rPr>
          <w:rFonts w:ascii="宋体" w:eastAsia="宋体" w:hAnsi="宋体" w:cs="Times New Roman" w:hint="eastAsia"/>
          <w:sz w:val="24"/>
          <w:szCs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rsidR="00156F5C" w14:paraId="36CC1654"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理财产品过往业绩不代表其未来表现，不等于理财产品实际收益，投资须谨慎。</w:t>
      </w:r>
      <w:r>
        <w:rPr>
          <w:rFonts w:ascii="宋体" w:eastAsia="宋体" w:hAnsi="宋体" w:cs="Times New Roman"/>
          <w:b/>
          <w:bCs/>
          <w:sz w:val="24"/>
          <w:szCs w:val="24"/>
        </w:rPr>
        <w:t>在任何情况下，乙方公布的产品业绩比较基准</w:t>
      </w:r>
      <w:r>
        <w:rPr>
          <w:rFonts w:ascii="宋体" w:eastAsia="宋体" w:hAnsi="宋体" w:cs="Times New Roman" w:hint="eastAsia"/>
          <w:b/>
          <w:bCs/>
          <w:sz w:val="24"/>
          <w:szCs w:val="24"/>
        </w:rPr>
        <w:t>及产品过往业绩</w:t>
      </w:r>
      <w:r>
        <w:rPr>
          <w:rFonts w:ascii="宋体" w:eastAsia="宋体" w:hAnsi="宋体" w:cs="Times New Roman"/>
          <w:b/>
          <w:bCs/>
          <w:sz w:val="24"/>
          <w:szCs w:val="24"/>
        </w:rPr>
        <w:t>仅供甲方参考，不</w:t>
      </w:r>
      <w:r>
        <w:rPr>
          <w:rFonts w:ascii="宋体" w:eastAsia="宋体" w:hAnsi="宋体" w:cs="Times New Roman" w:hint="eastAsia"/>
          <w:b/>
          <w:bCs/>
          <w:sz w:val="24"/>
          <w:szCs w:val="24"/>
        </w:rPr>
        <w:t>代表甲方可获得的实际收益，不代表产品的未来表现，亦不构成乙方保证甲方获得业绩比较基准或过往业绩反映的收益率的承诺，甲方是在充分认识投资风险的基础上，凭借自身判断，独立、自愿购买理财产品，谨慎投资</w:t>
      </w:r>
      <w:r>
        <w:rPr>
          <w:rFonts w:ascii="宋体" w:eastAsia="宋体" w:hAnsi="宋体" w:cs="Times New Roman" w:hint="eastAsia"/>
          <w:b/>
          <w:sz w:val="24"/>
          <w:szCs w:val="24"/>
        </w:rPr>
        <w:t>。</w:t>
      </w:r>
    </w:p>
    <w:p w:rsidR="00156F5C" w14:paraId="4E8154BB"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本协议与本理财产品的《理财产品说明书》、《风险揭示书》、《销售（代理销售）协议书》（通过代理销售机构销售的，文件具体名称以代理销售机构为准，下同）、《投资者权益须知》等理财产品销售文件共同构成一份完整且不可分割的、关于甲方所投资乙方理财产品的全部协议，前述理财产品</w:t>
      </w:r>
      <w:r>
        <w:rPr>
          <w:rFonts w:ascii="宋体" w:eastAsia="宋体" w:hAnsi="宋体" w:cs="Times New Roman"/>
          <w:sz w:val="24"/>
          <w:szCs w:val="24"/>
        </w:rPr>
        <w:t>销售文件</w:t>
      </w:r>
      <w:r>
        <w:rPr>
          <w:rFonts w:ascii="宋体" w:eastAsia="宋体" w:hAnsi="宋体" w:cs="Times New Roman" w:hint="eastAsia"/>
          <w:sz w:val="24"/>
          <w:szCs w:val="24"/>
        </w:rPr>
        <w:t>具有同等法律效力。本协议未及事项，包括但不限于理财产品的认（申）购、赎回等相关事项，以《理财产品说明书》等理财产品销售文件</w:t>
      </w:r>
      <w:r>
        <w:rPr>
          <w:rFonts w:ascii="宋体" w:eastAsia="宋体" w:hAnsi="宋体" w:cs="Times New Roman"/>
          <w:sz w:val="24"/>
          <w:szCs w:val="24"/>
        </w:rPr>
        <w:t>具体</w:t>
      </w:r>
      <w:r>
        <w:rPr>
          <w:rFonts w:ascii="宋体" w:eastAsia="宋体" w:hAnsi="宋体" w:cs="Times New Roman" w:hint="eastAsia"/>
          <w:sz w:val="24"/>
          <w:szCs w:val="24"/>
        </w:rPr>
        <w:t>约定为准。本协议与《理财产品说明书》不一致的，以《理财产品说明书》为准。</w:t>
      </w:r>
    </w:p>
    <w:p w:rsidR="00156F5C" w14:paraId="529C56F6" w14:textId="77777777">
      <w:pPr>
        <w:pStyle w:val="ListParagraph"/>
        <w:numPr>
          <w:ilvl w:val="0"/>
          <w:numId w:val="1"/>
        </w:numPr>
        <w:spacing w:line="360" w:lineRule="auto"/>
        <w:ind w:firstLineChars="0"/>
        <w:rPr>
          <w:rFonts w:ascii="宋体" w:eastAsia="宋体" w:hAnsi="宋体" w:cs="Times New Roman"/>
          <w:b/>
          <w:sz w:val="24"/>
          <w:szCs w:val="24"/>
        </w:rPr>
      </w:pPr>
      <w:r>
        <w:rPr>
          <w:rFonts w:ascii="宋体" w:eastAsia="宋体" w:hAnsi="宋体" w:cs="Times New Roman" w:hint="eastAsia"/>
          <w:b/>
          <w:sz w:val="24"/>
          <w:szCs w:val="24"/>
        </w:rPr>
        <w:t>甲方声明</w:t>
      </w:r>
    </w:p>
    <w:p w:rsidR="00156F5C" w14:paraId="52C0EAB7"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1、甲方保证其为具有完全民事行为能力的自然人；或为依法设立并合法存续的法人、依法成立的其他组织（以下统称“机构投资者”）；或为符合《关于规范金融机构资产管理业务的指导意见》规定的资产管理产品。甲方</w:t>
      </w:r>
      <w:r>
        <w:rPr>
          <w:rFonts w:ascii="宋体" w:eastAsia="宋体" w:hAnsi="宋体" w:cs="Times New Roman"/>
          <w:sz w:val="24"/>
          <w:szCs w:val="24"/>
        </w:rPr>
        <w:t>为资产管理产</w:t>
      </w:r>
      <w:r>
        <w:rPr>
          <w:rFonts w:ascii="宋体" w:eastAsia="宋体" w:hAnsi="宋体" w:cs="Times New Roman"/>
          <w:sz w:val="24"/>
          <w:szCs w:val="24"/>
        </w:rPr>
        <w:t>品的，甲方投资本理财产品不</w:t>
      </w:r>
      <w:r>
        <w:rPr>
          <w:rFonts w:ascii="宋体" w:eastAsia="宋体" w:hAnsi="宋体" w:cs="Times New Roman" w:hint="eastAsia"/>
          <w:sz w:val="24"/>
          <w:szCs w:val="24"/>
        </w:rPr>
        <w:t>存在</w:t>
      </w:r>
      <w:r>
        <w:rPr>
          <w:rFonts w:ascii="宋体" w:eastAsia="宋体" w:hAnsi="宋体" w:cs="Times New Roman"/>
          <w:sz w:val="24"/>
          <w:szCs w:val="24"/>
        </w:rPr>
        <w:t>违反</w:t>
      </w:r>
      <w:r>
        <w:rPr>
          <w:rFonts w:ascii="宋体" w:eastAsia="宋体" w:hAnsi="宋体" w:cs="Times New Roman" w:hint="eastAsia"/>
          <w:sz w:val="24"/>
          <w:szCs w:val="24"/>
        </w:rPr>
        <w:t>监管要求</w:t>
      </w:r>
      <w:r>
        <w:rPr>
          <w:rFonts w:ascii="宋体" w:eastAsia="宋体" w:hAnsi="宋体" w:cs="Times New Roman"/>
          <w:sz w:val="24"/>
          <w:szCs w:val="24"/>
        </w:rPr>
        <w:t>的多层嵌套</w:t>
      </w:r>
      <w:r>
        <w:rPr>
          <w:rFonts w:ascii="宋体" w:eastAsia="宋体" w:hAnsi="宋体" w:cs="Times New Roman" w:hint="eastAsia"/>
          <w:sz w:val="24"/>
          <w:szCs w:val="24"/>
        </w:rPr>
        <w:t>、</w:t>
      </w:r>
      <w:r>
        <w:rPr>
          <w:rFonts w:ascii="宋体" w:eastAsia="宋体" w:hAnsi="宋体" w:cs="Times New Roman"/>
          <w:sz w:val="24"/>
          <w:szCs w:val="24"/>
        </w:rPr>
        <w:t>规避投资范围、杠杆约束等</w:t>
      </w:r>
      <w:r>
        <w:rPr>
          <w:rFonts w:ascii="宋体" w:eastAsia="宋体" w:hAnsi="宋体" w:cs="Times New Roman" w:hint="eastAsia"/>
          <w:sz w:val="24"/>
          <w:szCs w:val="24"/>
        </w:rPr>
        <w:t>违规</w:t>
      </w:r>
      <w:r>
        <w:rPr>
          <w:rFonts w:ascii="宋体" w:eastAsia="宋体" w:hAnsi="宋体" w:cs="Times New Roman"/>
          <w:sz w:val="24"/>
          <w:szCs w:val="24"/>
        </w:rPr>
        <w:t>行为</w:t>
      </w:r>
      <w:r>
        <w:rPr>
          <w:rFonts w:ascii="宋体" w:eastAsia="宋体" w:hAnsi="宋体" w:cs="Times New Roman" w:hint="eastAsia"/>
          <w:sz w:val="24"/>
          <w:szCs w:val="24"/>
        </w:rPr>
        <w:t>。</w:t>
      </w:r>
    </w:p>
    <w:p w:rsidR="00156F5C" w14:paraId="4DF95608"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2、甲方保证签署和履行本协议系基于甲方的真实意愿，且不会违反对甲方</w:t>
      </w:r>
      <w:r>
        <w:rPr>
          <w:rFonts w:ascii="宋体" w:eastAsia="宋体" w:hAnsi="宋体" w:cs="Times New Roman" w:hint="eastAsia"/>
          <w:sz w:val="24"/>
          <w:szCs w:val="24"/>
        </w:rPr>
        <w:t>有约束力的任何协议、合同或其他法律文件。机构投资者及资产管理产品投资者已经按照其章程或者其它内部管理文件的要求取得合法、有效的授权。甲方就签订和履行本协议已经取得所需的一切有关批准、许可、备案或者登记，甲方具有完全适当的资格与能力签订及履行本协议以及以其为一方当事人的任何有关理财产品销售文件。</w:t>
      </w:r>
    </w:p>
    <w:p w:rsidR="00156F5C" w14:paraId="71664BCB"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sz w:val="24"/>
          <w:szCs w:val="24"/>
        </w:rPr>
        <w:t>3、甲方接受并签署《理财产品说明书》、《风险揭示书》、《销售（代理销售）协议书》、《投资协议书》、《投资者权益须知》等理财产品销售文件，对有关条款不存在任何疑问或异议；</w:t>
      </w:r>
      <w:r>
        <w:rPr>
          <w:rFonts w:ascii="宋体" w:eastAsia="宋体" w:hAnsi="宋体" w:cs="Times New Roman" w:hint="eastAsia"/>
          <w:b/>
          <w:sz w:val="24"/>
          <w:szCs w:val="24"/>
        </w:rPr>
        <w:t>甲方已清楚知悉并同意理财产品销售文件项下理财产品的投资管理等行为由乙方负责实施，完全知晓产品可能出现的各种风险，愿意并能够承担风险。乙方向甲方提供的市场分析和测算仅供参考，甲方据此做出的任何决策均出于甲方自身的判断，并自愿承担所购买（或赎回、撤单等其他行为）理财产品所产生</w:t>
      </w:r>
      <w:r>
        <w:rPr>
          <w:rFonts w:ascii="宋体" w:eastAsia="宋体" w:hAnsi="宋体" w:cs="Times New Roman"/>
          <w:b/>
          <w:sz w:val="24"/>
          <w:szCs w:val="24"/>
        </w:rPr>
        <w:t>的相关风险和全部后果，</w:t>
      </w:r>
      <w:r>
        <w:rPr>
          <w:rFonts w:ascii="宋体" w:eastAsia="宋体" w:hAnsi="宋体" w:cs="Times New Roman" w:hint="eastAsia"/>
          <w:b/>
          <w:sz w:val="24"/>
          <w:szCs w:val="24"/>
        </w:rPr>
        <w:t>乙方不承担任何责任。</w:t>
      </w:r>
    </w:p>
    <w:p w:rsidR="00156F5C" w14:paraId="7C76913F"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sz w:val="24"/>
          <w:szCs w:val="24"/>
        </w:rPr>
        <w:t>4、</w:t>
      </w:r>
      <w:r>
        <w:rPr>
          <w:rFonts w:ascii="宋体" w:eastAsia="宋体" w:hAnsi="宋体" w:cs="Times New Roman" w:hint="eastAsia"/>
          <w:b/>
          <w:sz w:val="24"/>
          <w:szCs w:val="24"/>
        </w:rPr>
        <w:t>甲方购买理财产品的资金为合法自有资金或合法募集资金，不存在使用贷款、发行债券等筹集的非自有资金投资资产管理产品的情形。甲方承诺投资理财产品使用的资金来源合法合</w:t>
      </w:r>
      <w:r>
        <w:rPr>
          <w:rFonts w:ascii="宋体" w:eastAsia="宋体" w:hAnsi="宋体" w:cs="Times New Roman" w:hint="eastAsia"/>
          <w:b/>
          <w:sz w:val="24"/>
          <w:szCs w:val="24"/>
        </w:rPr>
        <w:t>规</w:t>
      </w:r>
      <w:r>
        <w:rPr>
          <w:rFonts w:ascii="宋体" w:eastAsia="宋体" w:hAnsi="宋体" w:cs="Times New Roman" w:hint="eastAsia"/>
          <w:b/>
          <w:sz w:val="24"/>
          <w:szCs w:val="24"/>
        </w:rPr>
        <w:t>，并且系为合法之目的投资本理财产品，而非为洗钱等违法犯罪之目的</w:t>
      </w:r>
      <w:r>
        <w:rPr>
          <w:rFonts w:ascii="宋体" w:eastAsia="宋体" w:hAnsi="宋体" w:cs="Times New Roman" w:hint="eastAsia"/>
          <w:sz w:val="24"/>
          <w:szCs w:val="24"/>
        </w:rPr>
        <w:t>。</w:t>
      </w:r>
      <w:r>
        <w:rPr>
          <w:rFonts w:ascii="宋体" w:eastAsia="宋体" w:hAnsi="宋体" w:cs="Times New Roman" w:hint="eastAsia"/>
          <w:b/>
          <w:sz w:val="24"/>
          <w:szCs w:val="24"/>
        </w:rPr>
        <w:t>甲方将配合乙方及代理销售机构开展反洗钱、反恐怖融资及非居民金融账户涉税信息尽职调查等相关法律、法规及监管规定要求的工作，及时、真实、准确、完整地提供身份信息及资金来源信息并授权乙方对上述信息进行收集、存储、使用、加工、传输、提供等。</w:t>
      </w:r>
    </w:p>
    <w:p w:rsidR="00156F5C" w14:paraId="6BAF0A4E"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第三条</w:t>
      </w:r>
      <w:r>
        <w:rPr>
          <w:rFonts w:ascii="宋体" w:eastAsia="宋体" w:hAnsi="宋体" w:cs="Times New Roman"/>
          <w:b/>
          <w:sz w:val="24"/>
          <w:szCs w:val="24"/>
        </w:rPr>
        <w:t xml:space="preserve"> </w:t>
      </w:r>
      <w:r>
        <w:rPr>
          <w:rFonts w:ascii="宋体" w:eastAsia="宋体" w:hAnsi="宋体" w:cs="Times New Roman" w:hint="eastAsia"/>
          <w:b/>
          <w:sz w:val="24"/>
          <w:szCs w:val="24"/>
        </w:rPr>
        <w:t>双方权利与义务</w:t>
      </w:r>
    </w:p>
    <w:p w:rsidR="00156F5C" w14:paraId="352B4C3F" w14:textId="77777777">
      <w:pPr>
        <w:pStyle w:val="ListParagraph"/>
        <w:widowControl/>
        <w:numPr>
          <w:ilvl w:val="0"/>
          <w:numId w:val="2"/>
        </w:numPr>
        <w:ind w:firstLineChars="0"/>
        <w:jc w:val="left"/>
        <w:rPr>
          <w:rFonts w:ascii="宋体" w:eastAsia="宋体" w:hAnsi="宋体" w:cs="Times New Roman"/>
          <w:b/>
          <w:sz w:val="24"/>
          <w:szCs w:val="24"/>
        </w:rPr>
      </w:pPr>
      <w:r>
        <w:rPr>
          <w:rFonts w:ascii="宋体" w:eastAsia="宋体" w:hAnsi="宋体" w:cs="Times New Roman" w:hint="eastAsia"/>
          <w:b/>
          <w:sz w:val="24"/>
          <w:szCs w:val="24"/>
        </w:rPr>
        <w:t>甲方权利与义务</w:t>
      </w:r>
    </w:p>
    <w:p w:rsidR="00156F5C" w14:paraId="5918D4BE"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sz w:val="24"/>
          <w:szCs w:val="24"/>
        </w:rPr>
        <w:t>1</w:t>
      </w:r>
      <w:r>
        <w:rPr>
          <w:rFonts w:ascii="宋体" w:eastAsia="宋体" w:hAnsi="宋体" w:cs="Times New Roman" w:hint="eastAsia"/>
          <w:sz w:val="24"/>
          <w:szCs w:val="24"/>
        </w:rPr>
        <w:t>、甲方有权依照《理财产品说明书》等理财</w:t>
      </w:r>
      <w:r>
        <w:rPr>
          <w:rFonts w:ascii="宋体" w:eastAsia="宋体" w:hAnsi="宋体" w:cs="Times New Roman"/>
          <w:sz w:val="24"/>
          <w:szCs w:val="24"/>
        </w:rPr>
        <w:t>产品销售文件</w:t>
      </w:r>
      <w:r>
        <w:rPr>
          <w:rFonts w:ascii="宋体" w:eastAsia="宋体" w:hAnsi="宋体" w:cs="Times New Roman" w:hint="eastAsia"/>
          <w:sz w:val="24"/>
          <w:szCs w:val="24"/>
        </w:rPr>
        <w:t>的约定获得投资收益，</w:t>
      </w:r>
      <w:r>
        <w:rPr>
          <w:rFonts w:ascii="宋体" w:eastAsia="宋体" w:hAnsi="宋体" w:cs="Times New Roman" w:hint="eastAsia"/>
          <w:b/>
          <w:sz w:val="24"/>
          <w:szCs w:val="24"/>
        </w:rPr>
        <w:t>在约定的投资期内，投资本金不另计存款利息。</w:t>
      </w:r>
    </w:p>
    <w:p w:rsidR="00156F5C" w14:paraId="28A65E48"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2、甲方承诺所提供的所有资料真实、完整、合法、有效</w:t>
      </w:r>
      <w:r>
        <w:rPr>
          <w:rFonts w:ascii="宋体" w:eastAsia="宋体" w:hAnsi="宋体" w:cs="Times New Roman"/>
          <w:sz w:val="24"/>
          <w:szCs w:val="24"/>
        </w:rPr>
        <w:t>，如有变更，甲方应</w:t>
      </w:r>
      <w:r>
        <w:rPr>
          <w:rFonts w:ascii="宋体" w:eastAsia="宋体" w:hAnsi="宋体" w:cs="Times New Roman" w:hint="eastAsia"/>
          <w:sz w:val="24"/>
          <w:szCs w:val="24"/>
        </w:rPr>
        <w:t>及时到其购买本产品的所有销售机构办理变更手续。</w:t>
      </w:r>
      <w:r>
        <w:rPr>
          <w:rFonts w:ascii="宋体" w:eastAsia="宋体" w:hAnsi="宋体" w:cs="Times New Roman" w:hint="eastAsia"/>
          <w:b/>
          <w:sz w:val="24"/>
          <w:szCs w:val="24"/>
        </w:rPr>
        <w:t>若甲方未及时办理相关变更手续，由此导致的一切后果由甲方自行承担，乙方对此不承担任何责任。</w:t>
      </w:r>
    </w:p>
    <w:p w:rsidR="00156F5C" w14:paraId="117BC128"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、因甲方指定账户冻结、挂失、换卡、销户、长期不动户等原因造成账户</w:t>
      </w:r>
      <w:r>
        <w:rPr>
          <w:rFonts w:ascii="宋体" w:eastAsia="宋体" w:hAnsi="宋体" w:cs="Times New Roman" w:hint="eastAsia"/>
          <w:sz w:val="24"/>
          <w:szCs w:val="24"/>
        </w:rPr>
        <w:t>变更或异常</w:t>
      </w:r>
      <w:r>
        <w:rPr>
          <w:rFonts w:ascii="宋体" w:eastAsia="宋体" w:hAnsi="宋体" w:cs="Times New Roman"/>
          <w:sz w:val="24"/>
          <w:szCs w:val="24"/>
        </w:rPr>
        <w:t>,甲方应及时到</w:t>
      </w:r>
      <w:r>
        <w:rPr>
          <w:rFonts w:ascii="宋体" w:eastAsia="宋体" w:hAnsi="宋体" w:cs="Times New Roman" w:hint="eastAsia"/>
          <w:sz w:val="24"/>
          <w:szCs w:val="24"/>
        </w:rPr>
        <w:t>其购买本产品的所有销售机构</w:t>
      </w:r>
      <w:r>
        <w:rPr>
          <w:rFonts w:ascii="宋体" w:eastAsia="宋体" w:hAnsi="宋体" w:cs="Times New Roman"/>
          <w:sz w:val="24"/>
          <w:szCs w:val="24"/>
        </w:rPr>
        <w:t>办理变更手续。</w:t>
      </w:r>
      <w:r>
        <w:rPr>
          <w:rFonts w:ascii="宋体" w:eastAsia="宋体" w:hAnsi="宋体" w:cs="Times New Roman"/>
          <w:b/>
          <w:sz w:val="24"/>
          <w:szCs w:val="24"/>
        </w:rPr>
        <w:t>如因甲方未及时办理变更手续而造成</w:t>
      </w:r>
      <w:r>
        <w:rPr>
          <w:rFonts w:ascii="宋体" w:eastAsia="宋体" w:hAnsi="宋体" w:cs="Times New Roman" w:hint="eastAsia"/>
          <w:b/>
          <w:sz w:val="24"/>
          <w:szCs w:val="24"/>
        </w:rPr>
        <w:t>其购买本产品的销售机构</w:t>
      </w:r>
      <w:r>
        <w:rPr>
          <w:rFonts w:ascii="宋体" w:eastAsia="宋体" w:hAnsi="宋体" w:cs="Times New Roman"/>
          <w:b/>
          <w:sz w:val="24"/>
          <w:szCs w:val="24"/>
        </w:rPr>
        <w:t>无法向甲方进行正常收益分配和资金清算分配</w:t>
      </w:r>
      <w:r>
        <w:rPr>
          <w:rFonts w:ascii="宋体" w:eastAsia="宋体" w:hAnsi="宋体" w:cs="Times New Roman" w:hint="eastAsia"/>
          <w:b/>
          <w:sz w:val="24"/>
          <w:szCs w:val="24"/>
        </w:rPr>
        <w:t>的</w:t>
      </w:r>
      <w:r>
        <w:rPr>
          <w:rFonts w:ascii="宋体" w:eastAsia="宋体" w:hAnsi="宋体" w:cs="Times New Roman"/>
          <w:b/>
          <w:sz w:val="24"/>
          <w:szCs w:val="24"/>
        </w:rPr>
        <w:t>,由此导致甲方损失的由甲方自行承担,乙方不承担责任。</w:t>
      </w:r>
    </w:p>
    <w:p w:rsidR="00156F5C" w14:paraId="53ADDC91"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w:t>
      </w:r>
      <w:r>
        <w:rPr>
          <w:rFonts w:ascii="宋体" w:eastAsia="宋体" w:hAnsi="宋体" w:cs="Times New Roman"/>
          <w:sz w:val="24"/>
          <w:szCs w:val="24"/>
        </w:rPr>
        <w:t>甲方对本协议及其条款负有保密义务，未经乙方书面许可，甲方不得向任</w:t>
      </w:r>
      <w:r>
        <w:rPr>
          <w:rFonts w:ascii="宋体" w:eastAsia="宋体" w:hAnsi="宋体" w:cs="Times New Roman" w:hint="eastAsia"/>
          <w:sz w:val="24"/>
          <w:szCs w:val="24"/>
        </w:rPr>
        <w:t>何组织、个人提供或泄露与乙方有关的业务资料及信息，</w:t>
      </w:r>
      <w:r>
        <w:rPr>
          <w:rFonts w:ascii="宋体" w:eastAsia="宋体" w:hAnsi="宋体" w:cs="Times New Roman"/>
          <w:sz w:val="24"/>
          <w:szCs w:val="24"/>
        </w:rPr>
        <w:t>法律、法规另有规</w:t>
      </w:r>
      <w:r>
        <w:rPr>
          <w:rFonts w:ascii="宋体" w:eastAsia="宋体" w:hAnsi="宋体" w:cs="Times New Roman" w:hint="eastAsia"/>
          <w:sz w:val="24"/>
          <w:szCs w:val="24"/>
        </w:rPr>
        <w:t>定的</w:t>
      </w:r>
      <w:r>
        <w:rPr>
          <w:rFonts w:ascii="宋体" w:eastAsia="宋体" w:hAnsi="宋体" w:cs="Times New Roman"/>
          <w:sz w:val="24"/>
          <w:szCs w:val="24"/>
        </w:rPr>
        <w:t>除</w:t>
      </w:r>
      <w:r>
        <w:rPr>
          <w:rFonts w:ascii="宋体" w:eastAsia="宋体" w:hAnsi="宋体" w:cs="Times New Roman" w:hint="eastAsia"/>
          <w:sz w:val="24"/>
          <w:szCs w:val="24"/>
        </w:rPr>
        <w:t>外。</w:t>
      </w:r>
    </w:p>
    <w:p w:rsidR="00156F5C" w14:paraId="4FF399FD"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b/>
          <w:bCs/>
          <w:sz w:val="24"/>
          <w:szCs w:val="24"/>
        </w:rPr>
        <w:t>5</w:t>
      </w:r>
      <w:r>
        <w:rPr>
          <w:rFonts w:ascii="宋体" w:eastAsia="宋体" w:hAnsi="宋体" w:cs="Times New Roman" w:hint="eastAsia"/>
          <w:b/>
          <w:bCs/>
          <w:sz w:val="24"/>
          <w:szCs w:val="24"/>
        </w:rPr>
        <w:t>、甲方签署本协议，即同意授权乙方及代理销售机构从甲方指定账户冻结或</w:t>
      </w:r>
      <w:r>
        <w:rPr>
          <w:rFonts w:ascii="宋体" w:eastAsia="宋体" w:hAnsi="宋体" w:cs="Times New Roman"/>
          <w:b/>
          <w:bCs/>
          <w:sz w:val="24"/>
          <w:szCs w:val="24"/>
        </w:rPr>
        <w:t>划转</w:t>
      </w:r>
      <w:r>
        <w:rPr>
          <w:rFonts w:ascii="宋体" w:eastAsia="宋体" w:hAnsi="宋体" w:cs="Times New Roman" w:hint="eastAsia"/>
          <w:b/>
          <w:bCs/>
          <w:sz w:val="24"/>
          <w:szCs w:val="24"/>
        </w:rPr>
        <w:t>等额于甲</w:t>
      </w:r>
      <w:r>
        <w:rPr>
          <w:rFonts w:ascii="宋体" w:eastAsia="宋体" w:hAnsi="宋体" w:cs="Times New Roman"/>
          <w:b/>
          <w:bCs/>
          <w:sz w:val="24"/>
          <w:szCs w:val="24"/>
        </w:rPr>
        <w:t>方在本协议项下提交认购或申购的交易金额的资金，</w:t>
      </w:r>
      <w:r>
        <w:rPr>
          <w:rFonts w:ascii="宋体" w:eastAsia="宋体" w:hAnsi="宋体" w:cs="Times New Roman" w:hint="eastAsia"/>
          <w:b/>
          <w:bCs/>
          <w:sz w:val="24"/>
          <w:szCs w:val="24"/>
        </w:rPr>
        <w:t>或</w:t>
      </w:r>
      <w:r>
        <w:rPr>
          <w:rFonts w:ascii="宋体" w:eastAsia="宋体" w:hAnsi="宋体" w:cs="Times New Roman"/>
          <w:b/>
          <w:bCs/>
          <w:sz w:val="24"/>
          <w:szCs w:val="24"/>
        </w:rPr>
        <w:t>进行币种转换于境外投资，</w:t>
      </w:r>
      <w:r>
        <w:rPr>
          <w:rFonts w:ascii="宋体" w:eastAsia="宋体" w:hAnsi="宋体" w:cs="Times New Roman" w:hint="eastAsia"/>
          <w:b/>
          <w:bCs/>
          <w:sz w:val="24"/>
          <w:szCs w:val="24"/>
        </w:rPr>
        <w:t>乙方及</w:t>
      </w:r>
      <w:r>
        <w:rPr>
          <w:rFonts w:ascii="宋体" w:eastAsia="宋体" w:hAnsi="宋体" w:cs="Times New Roman"/>
          <w:b/>
          <w:bCs/>
          <w:sz w:val="24"/>
          <w:szCs w:val="24"/>
        </w:rPr>
        <w:t>代理销售机构在</w:t>
      </w:r>
      <w:r>
        <w:rPr>
          <w:rFonts w:ascii="宋体" w:eastAsia="宋体" w:hAnsi="宋体" w:cs="Times New Roman" w:hint="eastAsia"/>
          <w:b/>
          <w:bCs/>
          <w:sz w:val="24"/>
          <w:szCs w:val="24"/>
        </w:rPr>
        <w:t>冻结或</w:t>
      </w:r>
      <w:r>
        <w:rPr>
          <w:rFonts w:ascii="宋体" w:eastAsia="宋体" w:hAnsi="宋体" w:cs="Times New Roman"/>
          <w:b/>
          <w:bCs/>
          <w:sz w:val="24"/>
          <w:szCs w:val="24"/>
        </w:rPr>
        <w:t>划款时均无须再通知甲方。</w:t>
      </w:r>
      <w:r>
        <w:rPr>
          <w:rFonts w:ascii="宋体" w:eastAsia="宋体" w:hAnsi="宋体" w:cs="Times New Roman" w:hint="eastAsia"/>
          <w:b/>
          <w:sz w:val="24"/>
          <w:szCs w:val="24"/>
        </w:rPr>
        <w:t>在产品认（申）</w:t>
      </w:r>
      <w:r>
        <w:rPr>
          <w:rFonts w:ascii="宋体" w:eastAsia="宋体" w:hAnsi="宋体" w:cs="Times New Roman" w:hint="eastAsia"/>
          <w:b/>
          <w:sz w:val="24"/>
          <w:szCs w:val="24"/>
        </w:rPr>
        <w:t>购期内</w:t>
      </w:r>
      <w:r>
        <w:rPr>
          <w:rFonts w:ascii="宋体" w:eastAsia="宋体" w:hAnsi="宋体" w:cs="Times New Roman" w:hint="eastAsia"/>
          <w:b/>
          <w:sz w:val="24"/>
          <w:szCs w:val="24"/>
        </w:rPr>
        <w:t>，如因甲方原因导致投资本金不能从甲方指定账户足额划转导致甲方对相关理财产品的购买不成功的，乙方不承担责任。</w:t>
      </w:r>
    </w:p>
    <w:p w:rsidR="00156F5C" w14:paraId="4F676DA7"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、如甲方在本协议项下投资的理财产品为《理财产品说明书》声明的面向</w:t>
      </w:r>
      <w:r>
        <w:rPr>
          <w:rFonts w:ascii="宋体" w:eastAsia="宋体" w:hAnsi="宋体" w:cs="Times New Roman"/>
          <w:sz w:val="24"/>
          <w:szCs w:val="24"/>
        </w:rPr>
        <w:t>合格投资者发行的理财产品，甲方</w:t>
      </w:r>
      <w:r>
        <w:rPr>
          <w:rFonts w:ascii="宋体" w:eastAsia="宋体" w:hAnsi="宋体" w:cs="Times New Roman" w:hint="eastAsia"/>
          <w:sz w:val="24"/>
          <w:szCs w:val="24"/>
        </w:rPr>
        <w:t>承诺其</w:t>
      </w:r>
      <w:r>
        <w:rPr>
          <w:rFonts w:ascii="宋体" w:eastAsia="宋体" w:hAnsi="宋体" w:cs="Times New Roman"/>
          <w:sz w:val="24"/>
          <w:szCs w:val="24"/>
        </w:rPr>
        <w:t>符合监管要求的合格投资者条件。</w:t>
      </w:r>
    </w:p>
    <w:p w:rsidR="00156F5C" w14:paraId="4DE68B57"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sz w:val="24"/>
          <w:szCs w:val="24"/>
        </w:rPr>
        <w:t>7、甲方保证熟悉理财产品类型特征及不同销售渠道的相关规定，了解理财产品直销与代销的相关区别。对于甲方通过乙方或代理销售机构的网上银行、手机银行等销售渠道方式购买的理财产品（不受限于本产品），</w:t>
      </w:r>
      <w:r>
        <w:rPr>
          <w:rFonts w:ascii="宋体" w:eastAsia="宋体" w:hAnsi="宋体" w:cs="Times New Roman" w:hint="eastAsia"/>
          <w:b/>
          <w:sz w:val="24"/>
          <w:szCs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rsidR="00156F5C" w14:paraId="207C631F"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w:t>
      </w:r>
      <w:r>
        <w:rPr>
          <w:rFonts w:ascii="宋体" w:eastAsia="宋体" w:hAnsi="宋体" w:cs="Times New Roman" w:hint="eastAsia"/>
          <w:b/>
          <w:sz w:val="24"/>
          <w:szCs w:val="24"/>
        </w:rPr>
        <w:t>甲方认可乙方按《理财产品说明书》中约定的方式披露理财产品相关信息，</w:t>
      </w:r>
      <w:r>
        <w:rPr>
          <w:rFonts w:ascii="宋体" w:eastAsia="宋体" w:hAnsi="宋体" w:cs="Times New Roman" w:hint="eastAsia"/>
          <w:sz w:val="24"/>
          <w:szCs w:val="24"/>
        </w:rPr>
        <w:t>包括但不限于理财产品销售文件修改及补充、发行公告、定期报告、到期公告、重要事项公告等。</w:t>
      </w:r>
    </w:p>
    <w:p w:rsidR="00156F5C" w14:paraId="5EF35FEC"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9、如甲方投资的理财产品为私募理财产品，则募集期最后一日为产品冷静期，冷静</w:t>
      </w:r>
      <w:r>
        <w:rPr>
          <w:rFonts w:ascii="宋体" w:eastAsia="宋体" w:hAnsi="宋体" w:cs="Times New Roman" w:hint="eastAsia"/>
          <w:b/>
          <w:sz w:val="24"/>
          <w:szCs w:val="24"/>
        </w:rPr>
        <w:t>期具体</w:t>
      </w:r>
      <w:r>
        <w:rPr>
          <w:rFonts w:ascii="宋体" w:eastAsia="宋体" w:hAnsi="宋体" w:cs="Times New Roman" w:hint="eastAsia"/>
          <w:b/>
          <w:sz w:val="24"/>
          <w:szCs w:val="24"/>
        </w:rPr>
        <w:t>设置规则以《理财产品说明书》为准。在冷静期内，如甲方改变投资决定，应立即撤销认（申）购的申请或通过其购买本产品的所有销售机构向乙方提出解除相应理财产品销售文件，乙方应当遵从甲方意愿，解除已签订的理财产品销售文件，并由其购买本产品的销售机构及时退还甲方的全部投资款项。</w:t>
      </w:r>
    </w:p>
    <w:p w:rsidR="00156F5C" w14:paraId="39B3BB66"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、若甲方为</w:t>
      </w:r>
      <w:r>
        <w:rPr>
          <w:rFonts w:ascii="宋体" w:eastAsia="宋体" w:hAnsi="宋体" w:cs="Times New Roman" w:hint="eastAsia"/>
          <w:sz w:val="24"/>
          <w:szCs w:val="24"/>
        </w:rPr>
        <w:t>非机构</w:t>
      </w:r>
      <w:r>
        <w:rPr>
          <w:rFonts w:ascii="宋体" w:eastAsia="宋体" w:hAnsi="宋体" w:cs="Times New Roman" w:hint="eastAsia"/>
          <w:sz w:val="24"/>
          <w:szCs w:val="24"/>
        </w:rPr>
        <w:t>投资者，则对于乙方发行的、</w:t>
      </w:r>
      <w:r>
        <w:rPr>
          <w:rFonts w:ascii="宋体" w:eastAsia="宋体" w:hAnsi="宋体" w:cs="Times New Roman"/>
          <w:sz w:val="24"/>
          <w:szCs w:val="24"/>
        </w:rPr>
        <w:t>被乙方</w:t>
      </w:r>
      <w:r>
        <w:rPr>
          <w:rFonts w:ascii="宋体" w:eastAsia="宋体" w:hAnsi="宋体" w:cs="Times New Roman" w:hint="eastAsia"/>
          <w:sz w:val="24"/>
          <w:szCs w:val="24"/>
        </w:rPr>
        <w:t>或代理销售机构</w:t>
      </w:r>
      <w:r>
        <w:rPr>
          <w:rFonts w:ascii="宋体" w:eastAsia="宋体" w:hAnsi="宋体" w:cs="Times New Roman"/>
          <w:sz w:val="24"/>
          <w:szCs w:val="24"/>
        </w:rPr>
        <w:t>认定</w:t>
      </w:r>
      <w:r>
        <w:rPr>
          <w:rFonts w:ascii="宋体" w:eastAsia="宋体" w:hAnsi="宋体" w:cs="Times New Roman" w:hint="eastAsia"/>
          <w:sz w:val="24"/>
          <w:szCs w:val="24"/>
        </w:rPr>
        <w:t>风险评级为四级及以上（即中高</w:t>
      </w:r>
      <w:r>
        <w:rPr>
          <w:rFonts w:ascii="宋体" w:eastAsia="宋体" w:hAnsi="宋体" w:cs="Times New Roman"/>
          <w:sz w:val="24"/>
          <w:szCs w:val="24"/>
        </w:rPr>
        <w:t>风险和高风险</w:t>
      </w:r>
      <w:r>
        <w:rPr>
          <w:rFonts w:ascii="宋体" w:eastAsia="宋体" w:hAnsi="宋体" w:cs="Times New Roman" w:hint="eastAsia"/>
          <w:sz w:val="24"/>
          <w:szCs w:val="24"/>
        </w:rPr>
        <w:t>）的理财产品，甲方</w:t>
      </w:r>
      <w:r>
        <w:rPr>
          <w:rFonts w:ascii="宋体" w:eastAsia="宋体" w:hAnsi="宋体" w:cs="Times New Roman" w:hint="eastAsia"/>
          <w:sz w:val="24"/>
          <w:szCs w:val="24"/>
        </w:rPr>
        <w:t>需前往</w:t>
      </w:r>
      <w:r>
        <w:rPr>
          <w:rFonts w:ascii="宋体" w:eastAsia="宋体" w:hAnsi="宋体" w:cs="Times New Roman" w:hint="eastAsia"/>
          <w:sz w:val="24"/>
          <w:szCs w:val="24"/>
        </w:rPr>
        <w:t>乙方或代理销售机构认可</w:t>
      </w:r>
      <w:r>
        <w:rPr>
          <w:rFonts w:ascii="宋体" w:eastAsia="宋体" w:hAnsi="宋体" w:cs="Times New Roman"/>
          <w:sz w:val="24"/>
          <w:szCs w:val="24"/>
        </w:rPr>
        <w:t>的</w:t>
      </w:r>
      <w:r>
        <w:rPr>
          <w:rFonts w:ascii="宋体" w:eastAsia="宋体" w:hAnsi="宋体" w:cs="Times New Roman" w:hint="eastAsia"/>
          <w:sz w:val="24"/>
          <w:szCs w:val="24"/>
        </w:rPr>
        <w:t>营业网点进行购买，但已与乙方或代理销售机构当面书面约定过的情况除外。</w:t>
      </w:r>
      <w:r>
        <w:rPr>
          <w:rFonts w:ascii="宋体" w:eastAsia="宋体" w:hAnsi="宋体" w:cs="Times New Roman" w:hint="eastAsia"/>
          <w:b/>
          <w:sz w:val="24"/>
          <w:szCs w:val="24"/>
        </w:rPr>
        <w:t>甲方与乙方或代理销售机构已有当面书面约定的，即视为同意乙方及代理销售机构后续通过线</w:t>
      </w:r>
      <w:r>
        <w:rPr>
          <w:rFonts w:ascii="宋体" w:eastAsia="宋体" w:hAnsi="宋体" w:cs="Times New Roman" w:hint="eastAsia"/>
          <w:b/>
          <w:sz w:val="24"/>
          <w:szCs w:val="24"/>
        </w:rPr>
        <w:t>上渠道</w:t>
      </w:r>
      <w:r>
        <w:rPr>
          <w:rFonts w:ascii="宋体" w:eastAsia="宋体" w:hAnsi="宋体" w:cs="Times New Roman" w:hint="eastAsia"/>
          <w:b/>
          <w:sz w:val="24"/>
          <w:szCs w:val="24"/>
        </w:rPr>
        <w:t>向其推介和销售乙方发行的理财产品（包括评级为四级及以上的中高风险和高风险的理财产品），知晓并确认通过线</w:t>
      </w:r>
      <w:r>
        <w:rPr>
          <w:rFonts w:ascii="宋体" w:eastAsia="宋体" w:hAnsi="宋体" w:cs="Times New Roman" w:hint="eastAsia"/>
          <w:b/>
          <w:sz w:val="24"/>
          <w:szCs w:val="24"/>
        </w:rPr>
        <w:t>上渠道</w:t>
      </w:r>
      <w:r>
        <w:rPr>
          <w:rFonts w:ascii="宋体" w:eastAsia="宋体" w:hAnsi="宋体" w:cs="Times New Roman" w:hint="eastAsia"/>
          <w:b/>
          <w:sz w:val="24"/>
          <w:szCs w:val="24"/>
        </w:rPr>
        <w:t>办理，均是基于其对产品的特点、期限、流动性及相关风险的充分理解和评估下所</w:t>
      </w:r>
      <w:r>
        <w:rPr>
          <w:rFonts w:ascii="宋体" w:eastAsia="宋体" w:hAnsi="宋体" w:cs="Times New Roman" w:hint="eastAsia"/>
          <w:b/>
          <w:sz w:val="24"/>
          <w:szCs w:val="24"/>
        </w:rPr>
        <w:t>作出</w:t>
      </w:r>
      <w:r>
        <w:rPr>
          <w:rFonts w:ascii="宋体" w:eastAsia="宋体" w:hAnsi="宋体" w:cs="Times New Roman" w:hint="eastAsia"/>
          <w:b/>
          <w:sz w:val="24"/>
          <w:szCs w:val="24"/>
        </w:rPr>
        <w:t>的独立判断，由此产生的一切后果，将由甲方自行独立承担。</w:t>
      </w:r>
    </w:p>
    <w:p w:rsidR="00156F5C" w14:paraId="3F2909A7"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b/>
          <w:sz w:val="24"/>
          <w:szCs w:val="24"/>
        </w:rPr>
        <w:t>甲方承诺在产品存续期内，除非按照《</w:t>
      </w:r>
      <w:r>
        <w:rPr>
          <w:rFonts w:ascii="宋体" w:eastAsia="宋体" w:hAnsi="宋体" w:cs="Times New Roman" w:hint="eastAsia"/>
          <w:b/>
          <w:sz w:val="24"/>
          <w:szCs w:val="24"/>
        </w:rPr>
        <w:t>理财</w:t>
      </w:r>
      <w:r>
        <w:rPr>
          <w:rFonts w:ascii="宋体" w:eastAsia="宋体" w:hAnsi="宋体" w:cs="Times New Roman"/>
          <w:b/>
          <w:sz w:val="24"/>
          <w:szCs w:val="24"/>
        </w:rPr>
        <w:t>产品说明书》约定行权终止理财产</w:t>
      </w:r>
      <w:r>
        <w:rPr>
          <w:rFonts w:ascii="宋体" w:eastAsia="宋体" w:hAnsi="宋体" w:cs="Times New Roman" w:hint="eastAsia"/>
          <w:b/>
          <w:sz w:val="24"/>
          <w:szCs w:val="24"/>
        </w:rPr>
        <w:t>品，否则不得要求乙方在产品到期日</w:t>
      </w:r>
      <w:r>
        <w:rPr>
          <w:rFonts w:ascii="宋体" w:eastAsia="宋体" w:hAnsi="宋体" w:cs="Times New Roman"/>
          <w:b/>
          <w:sz w:val="24"/>
          <w:szCs w:val="24"/>
        </w:rPr>
        <w:t>或</w:t>
      </w:r>
      <w:r>
        <w:rPr>
          <w:rFonts w:ascii="宋体" w:eastAsia="宋体" w:hAnsi="宋体" w:cs="Times New Roman" w:hint="eastAsia"/>
          <w:b/>
          <w:sz w:val="24"/>
          <w:szCs w:val="24"/>
        </w:rPr>
        <w:t>开放日前退还已扣划款项或以任何形式清算其持有的理财产品份额，且不得将甲方指定账户销户。</w:t>
      </w:r>
      <w:r>
        <w:rPr>
          <w:rFonts w:ascii="宋体" w:eastAsia="宋体" w:hAnsi="宋体" w:cs="Times New Roman" w:hint="eastAsia"/>
          <w:sz w:val="24"/>
          <w:szCs w:val="24"/>
        </w:rPr>
        <w:t>代理销售机构即为甲方指定账户开户银行的，代理销售机构有权拒绝甲方的销户请求并及时告知乙方。</w:t>
      </w:r>
    </w:p>
    <w:p w:rsidR="00156F5C" w14:paraId="24641E17"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12、如因甲方原因，导致乙方对</w:t>
      </w:r>
      <w:r>
        <w:rPr>
          <w:rFonts w:ascii="宋体" w:eastAsia="宋体" w:hAnsi="宋体" w:cs="Times New Roman" w:hint="eastAsia"/>
          <w:b/>
          <w:sz w:val="24"/>
          <w:szCs w:val="24"/>
        </w:rPr>
        <w:t>其他第三</w:t>
      </w:r>
      <w:r>
        <w:rPr>
          <w:rFonts w:ascii="宋体" w:eastAsia="宋体" w:hAnsi="宋体" w:cs="Times New Roman" w:hint="eastAsia"/>
          <w:b/>
          <w:sz w:val="24"/>
          <w:szCs w:val="24"/>
        </w:rPr>
        <w:t>方承担赔偿责任的，甲方应承担相应的赔偿责任。</w:t>
      </w:r>
    </w:p>
    <w:p w:rsidR="00156F5C" w14:paraId="2FE32AB4"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r>
        <w:rPr>
          <w:rFonts w:ascii="宋体" w:eastAsia="宋体" w:hAnsi="宋体" w:cs="Times New Roman" w:hint="eastAsia"/>
          <w:sz w:val="24"/>
          <w:szCs w:val="24"/>
        </w:rPr>
        <w:t>、法律、法规、监管规定和其他在本产品所对应理财产品销售文件中约定的甲方的权利与义务。</w:t>
      </w:r>
    </w:p>
    <w:p w:rsidR="00156F5C" w14:paraId="38EA06C5" w14:textId="77777777">
      <w:pPr>
        <w:spacing w:line="360" w:lineRule="auto"/>
        <w:ind w:left="482"/>
        <w:rPr>
          <w:rFonts w:ascii="宋体" w:eastAsia="宋体" w:hAnsi="宋体" w:cs="Times New Roman"/>
          <w:strike/>
          <w:sz w:val="24"/>
          <w:szCs w:val="24"/>
        </w:rPr>
      </w:pPr>
    </w:p>
    <w:p w:rsidR="00156F5C" w14:paraId="05128312" w14:textId="77777777">
      <w:pPr>
        <w:spacing w:line="360" w:lineRule="auto"/>
        <w:ind w:left="482"/>
        <w:rPr>
          <w:rFonts w:ascii="宋体" w:eastAsia="宋体" w:hAnsi="宋体" w:cs="Times New Roman"/>
          <w:b/>
          <w:sz w:val="24"/>
          <w:szCs w:val="24"/>
        </w:rPr>
      </w:pPr>
      <w:r>
        <w:rPr>
          <w:rFonts w:ascii="宋体" w:eastAsia="宋体" w:hAnsi="宋体" w:cs="Times New Roman" w:hint="eastAsia"/>
          <w:b/>
          <w:sz w:val="24"/>
          <w:szCs w:val="24"/>
        </w:rPr>
        <w:t>（二）乙方权利与义务</w:t>
      </w:r>
    </w:p>
    <w:p w:rsidR="00156F5C" w14:paraId="323AF24D"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1、乙方有权依据法律、法规</w:t>
      </w:r>
      <w:r>
        <w:rPr>
          <w:rFonts w:ascii="宋体" w:eastAsia="宋体" w:hAnsi="宋体" w:cs="Times New Roman"/>
          <w:color w:val="000000" w:themeColor="text1"/>
          <w:sz w:val="24"/>
          <w:szCs w:val="24"/>
        </w:rPr>
        <w:t>、</w:t>
      </w:r>
      <w:r>
        <w:rPr>
          <w:rFonts w:ascii="宋体" w:eastAsia="宋体" w:hAnsi="宋体" w:cs="Times New Roman" w:hint="eastAsia"/>
          <w:color w:val="000000" w:themeColor="text1"/>
          <w:sz w:val="24"/>
          <w:szCs w:val="24"/>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rsidR="00156F5C" w14:paraId="1A6E469F" w14:textId="77777777">
      <w:pPr>
        <w:spacing w:line="360" w:lineRule="auto"/>
        <w:ind w:firstLine="480" w:firstLineChars="200"/>
        <w:rPr>
          <w:rFonts w:ascii="宋体" w:eastAsia="宋体" w:hAnsi="宋体" w:cs="Times New Roman"/>
          <w:b/>
          <w:color w:val="000000" w:themeColor="text1"/>
          <w:sz w:val="24"/>
          <w:szCs w:val="24"/>
          <w:highlight w:val="yellow"/>
        </w:rPr>
      </w:pPr>
      <w:r>
        <w:rPr>
          <w:rFonts w:ascii="宋体" w:eastAsia="宋体" w:hAnsi="宋体" w:cs="Times New Roman"/>
          <w:b/>
          <w:color w:val="000000" w:themeColor="text1"/>
          <w:sz w:val="24"/>
          <w:szCs w:val="24"/>
        </w:rPr>
        <w:t>2、乙方有权以产品管理人名义,全权负责</w:t>
      </w:r>
      <w:r>
        <w:rPr>
          <w:rFonts w:ascii="宋体" w:eastAsia="宋体" w:hAnsi="宋体" w:cs="Times New Roman" w:hint="eastAsia"/>
          <w:b/>
          <w:color w:val="000000" w:themeColor="text1"/>
          <w:sz w:val="24"/>
          <w:szCs w:val="24"/>
        </w:rPr>
        <w:t>本理财产品资金的运用和理财产品资产的管理</w:t>
      </w:r>
      <w:r>
        <w:rPr>
          <w:rFonts w:ascii="宋体" w:eastAsia="宋体" w:hAnsi="宋体" w:cs="Times New Roman"/>
          <w:b/>
          <w:color w:val="000000" w:themeColor="text1"/>
          <w:sz w:val="24"/>
          <w:szCs w:val="24"/>
        </w:rPr>
        <w:t>,代表投资者利益行使诉讼权利或者实施其他法律行为，例如代表理财产品及其全部投资人参加与理财产品所投资资产相关的所有会议，并对相关事项进行表决；代表投资者利益,按照法律</w:t>
      </w:r>
      <w:r>
        <w:rPr>
          <w:rFonts w:ascii="宋体" w:eastAsia="宋体" w:hAnsi="宋体" w:cs="Times New Roman" w:hint="eastAsia"/>
          <w:b/>
          <w:color w:val="000000" w:themeColor="text1"/>
          <w:sz w:val="24"/>
          <w:szCs w:val="24"/>
        </w:rPr>
        <w:t>、法规和监管规定对理财产品投资产生的风险资产进行多种方式的处置</w:t>
      </w:r>
      <w:r>
        <w:rPr>
          <w:rFonts w:ascii="宋体" w:eastAsia="宋体" w:hAnsi="宋体" w:cs="Times New Roman"/>
          <w:b/>
          <w:color w:val="000000" w:themeColor="text1"/>
          <w:sz w:val="24"/>
          <w:szCs w:val="24"/>
        </w:rPr>
        <w:t>,包括但不限于转让、重组、债转股、资产证券化、委外催收、抵债资产收取与处置、破产重整等，由此产生的费用和法律</w:t>
      </w:r>
      <w:r>
        <w:rPr>
          <w:rFonts w:ascii="宋体" w:eastAsia="宋体" w:hAnsi="宋体" w:cs="Times New Roman" w:hint="eastAsia"/>
          <w:b/>
          <w:color w:val="000000" w:themeColor="text1"/>
          <w:sz w:val="24"/>
          <w:szCs w:val="24"/>
        </w:rPr>
        <w:t>后果由理财产品承担。在理财产品投资过程中发生任何争议，乙方有权以产品管理人的名</w:t>
      </w:r>
      <w:r>
        <w:rPr>
          <w:rFonts w:ascii="宋体" w:eastAsia="宋体" w:hAnsi="宋体" w:cs="Times New Roman"/>
          <w:b/>
          <w:color w:val="000000" w:themeColor="text1"/>
          <w:sz w:val="24"/>
          <w:szCs w:val="24"/>
        </w:rPr>
        <w:t>义代表理财产品进行维权，行使包括但不限于提起诉讼/仲裁、申请保全/执行等权利，由此产生的费用和法律后果由理财产品承担</w:t>
      </w:r>
      <w:r>
        <w:rPr>
          <w:rFonts w:ascii="宋体" w:eastAsia="宋体" w:hAnsi="宋体" w:cs="Times New Roman" w:hint="eastAsia"/>
          <w:b/>
          <w:color w:val="000000" w:themeColor="text1"/>
          <w:sz w:val="24"/>
          <w:szCs w:val="24"/>
        </w:rPr>
        <w:t>。甲方对此充分理解并同意该等授权安排。</w:t>
      </w:r>
      <w:r>
        <w:rPr>
          <w:rFonts w:ascii="宋体" w:eastAsia="宋体" w:hAnsi="宋体" w:cs="Times New Roman"/>
          <w:b/>
          <w:color w:val="000000" w:themeColor="text1"/>
          <w:sz w:val="24"/>
          <w:szCs w:val="24"/>
        </w:rPr>
        <w:t>乙方采取上述行动所产生的费用</w:t>
      </w:r>
      <w:r>
        <w:rPr>
          <w:rFonts w:ascii="宋体" w:eastAsia="宋体" w:hAnsi="宋体" w:cs="Times New Roman" w:hint="eastAsia"/>
          <w:b/>
          <w:color w:val="000000" w:themeColor="text1"/>
          <w:sz w:val="24"/>
          <w:szCs w:val="24"/>
        </w:rPr>
        <w:t>，</w:t>
      </w:r>
      <w:r>
        <w:rPr>
          <w:rFonts w:ascii="宋体" w:eastAsia="宋体" w:hAnsi="宋体" w:cs="Times New Roman"/>
          <w:b/>
          <w:color w:val="000000" w:themeColor="text1"/>
          <w:sz w:val="24"/>
          <w:szCs w:val="24"/>
        </w:rPr>
        <w:t>若乙方进行垫付的，乙方有权直接从理财产品财产中优先受偿。</w:t>
      </w:r>
    </w:p>
    <w:p w:rsidR="00156F5C" w14:paraId="139802A7"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3</w:t>
      </w:r>
      <w:r>
        <w:rPr>
          <w:rFonts w:ascii="宋体" w:eastAsia="宋体" w:hAnsi="宋体" w:cs="Times New Roman" w:hint="eastAsia"/>
          <w:color w:val="000000" w:themeColor="text1"/>
          <w:sz w:val="24"/>
          <w:szCs w:val="24"/>
        </w:rPr>
        <w:t>、</w:t>
      </w:r>
      <w:r>
        <w:rPr>
          <w:rFonts w:ascii="宋体" w:eastAsia="宋体" w:hAnsi="宋体" w:cs="Times New Roman"/>
          <w:b/>
          <w:color w:val="000000" w:themeColor="text1"/>
          <w:sz w:val="24"/>
          <w:szCs w:val="24"/>
        </w:rPr>
        <w:t>乙方有权依照《理财产品说明书》</w:t>
      </w:r>
      <w:r>
        <w:rPr>
          <w:rFonts w:ascii="宋体" w:eastAsia="宋体" w:hAnsi="宋体" w:cs="Times New Roman" w:hint="eastAsia"/>
          <w:b/>
          <w:color w:val="000000" w:themeColor="text1"/>
          <w:sz w:val="24"/>
          <w:szCs w:val="24"/>
        </w:rPr>
        <w:t>的</w:t>
      </w:r>
      <w:r>
        <w:rPr>
          <w:rFonts w:ascii="宋体" w:eastAsia="宋体" w:hAnsi="宋体" w:cs="Times New Roman"/>
          <w:b/>
          <w:color w:val="000000" w:themeColor="text1"/>
          <w:sz w:val="24"/>
          <w:szCs w:val="24"/>
        </w:rPr>
        <w:t>约定收取</w:t>
      </w:r>
      <w:r>
        <w:rPr>
          <w:rFonts w:ascii="宋体" w:eastAsia="宋体" w:hAnsi="宋体" w:cs="Times New Roman" w:hint="eastAsia"/>
          <w:b/>
          <w:color w:val="000000" w:themeColor="text1"/>
          <w:sz w:val="24"/>
          <w:szCs w:val="24"/>
        </w:rPr>
        <w:t>固定管理费、浮动管理费、销售服务费等</w:t>
      </w:r>
      <w:r>
        <w:rPr>
          <w:rFonts w:ascii="宋体" w:eastAsia="宋体" w:hAnsi="宋体" w:cs="Times New Roman"/>
          <w:b/>
          <w:color w:val="000000" w:themeColor="text1"/>
          <w:sz w:val="24"/>
          <w:szCs w:val="24"/>
        </w:rPr>
        <w:t>理</w:t>
      </w:r>
      <w:r>
        <w:rPr>
          <w:rFonts w:ascii="宋体" w:eastAsia="宋体" w:hAnsi="宋体" w:cs="Times New Roman" w:hint="eastAsia"/>
          <w:b/>
          <w:color w:val="000000" w:themeColor="text1"/>
          <w:sz w:val="24"/>
          <w:szCs w:val="24"/>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rsidR="00156F5C" w14:paraId="49AA7FAF"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4</w:t>
      </w:r>
      <w:r>
        <w:rPr>
          <w:rFonts w:ascii="宋体" w:eastAsia="宋体" w:hAnsi="宋体" w:cs="Times New Roman" w:hint="eastAsia"/>
          <w:color w:val="000000" w:themeColor="text1"/>
          <w:sz w:val="24"/>
          <w:szCs w:val="24"/>
        </w:rPr>
        <w:t>、乙方有权按照《理财产品说明书》的约定确定收益分配方案、向甲方分配收益。</w:t>
      </w:r>
    </w:p>
    <w:p w:rsidR="00156F5C" w14:paraId="2CF12D33" w14:textId="7B6268DE">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5</w:t>
      </w:r>
      <w:r>
        <w:rPr>
          <w:rFonts w:ascii="宋体" w:eastAsia="宋体" w:hAnsi="宋体" w:cs="Times New Roman" w:hint="eastAsia"/>
          <w:color w:val="000000" w:themeColor="text1"/>
          <w:sz w:val="24"/>
          <w:szCs w:val="24"/>
        </w:rPr>
        <w:t>、乙方有权按照《理财产品说明书》的约定披露理财产品相关信息。相关信息披露内容构成理财产品销售文件不可分割的一部分，与理财产品销售文件具有同等效力，</w:t>
      </w:r>
      <w:r>
        <w:rPr>
          <w:rFonts w:ascii="宋体" w:eastAsia="宋体" w:hAnsi="宋体" w:cs="Times New Roman" w:hint="eastAsia"/>
          <w:b/>
          <w:bCs/>
          <w:color w:val="000000" w:themeColor="text1"/>
          <w:sz w:val="24"/>
          <w:szCs w:val="24"/>
        </w:rPr>
        <w:t>甲方应在充分知晓、理解有关信息披露内容后签署本协议，并在签署本协议后通过约定的信息披露渠道持续关注理财产品信息披露内容。</w:t>
      </w:r>
    </w:p>
    <w:p w:rsidR="00156F5C" w14:paraId="3B5FC216" w14:textId="4EEAEB73">
      <w:pPr>
        <w:spacing w:line="360" w:lineRule="auto"/>
        <w:ind w:firstLine="480" w:firstLineChars="200"/>
        <w:rPr>
          <w:rFonts w:ascii="宋体" w:eastAsia="宋体" w:hAnsi="宋体" w:cs="Times New Roman"/>
          <w:b/>
          <w:bCs/>
          <w:color w:val="000000" w:themeColor="text1"/>
          <w:sz w:val="24"/>
          <w:szCs w:val="24"/>
        </w:rPr>
      </w:pPr>
      <w:r>
        <w:rPr>
          <w:rFonts w:ascii="宋体" w:eastAsia="宋体" w:hAnsi="宋体" w:cs="Times New Roman"/>
          <w:b/>
          <w:bCs/>
          <w:color w:val="000000" w:themeColor="text1"/>
          <w:sz w:val="24"/>
          <w:szCs w:val="24"/>
        </w:rPr>
        <w:t>6</w:t>
      </w:r>
      <w:r>
        <w:rPr>
          <w:rFonts w:ascii="宋体" w:eastAsia="宋体" w:hAnsi="宋体" w:cs="Times New Roman" w:hint="eastAsia"/>
          <w:b/>
          <w:bCs/>
          <w:color w:val="000000" w:themeColor="text1"/>
          <w:sz w:val="24"/>
          <w:szCs w:val="24"/>
        </w:rPr>
        <w:t>、</w:t>
      </w:r>
      <w:r>
        <w:rPr>
          <w:rFonts w:ascii="宋体" w:eastAsia="宋体" w:hAnsi="宋体" w:cs="Times New Roman"/>
          <w:b/>
          <w:bCs/>
          <w:color w:val="000000" w:themeColor="text1"/>
          <w:sz w:val="24"/>
          <w:szCs w:val="24"/>
        </w:rPr>
        <w:t>基于乙方履行</w:t>
      </w:r>
      <w:r>
        <w:rPr>
          <w:rFonts w:ascii="宋体" w:eastAsia="宋体" w:hAnsi="宋体" w:cs="Times New Roman" w:hint="eastAsia"/>
          <w:b/>
          <w:bCs/>
          <w:color w:val="000000" w:themeColor="text1"/>
          <w:sz w:val="24"/>
          <w:szCs w:val="24"/>
        </w:rPr>
        <w:t>理财产品销售文件所载明的各项义务</w:t>
      </w:r>
      <w:r>
        <w:rPr>
          <w:rFonts w:ascii="宋体" w:eastAsia="宋体" w:hAnsi="宋体" w:cs="Times New Roman"/>
          <w:b/>
          <w:bCs/>
          <w:color w:val="000000" w:themeColor="text1"/>
          <w:sz w:val="24"/>
          <w:szCs w:val="24"/>
        </w:rPr>
        <w:t>、进行服务管理和风险管理、报送监管信息</w:t>
      </w:r>
      <w:r>
        <w:rPr>
          <w:rFonts w:ascii="宋体" w:eastAsia="宋体" w:hAnsi="宋体" w:cs="Times New Roman" w:hint="eastAsia"/>
          <w:b/>
          <w:bCs/>
          <w:color w:val="000000" w:themeColor="text1"/>
          <w:sz w:val="24"/>
          <w:szCs w:val="24"/>
        </w:rPr>
        <w:t>、</w:t>
      </w:r>
      <w:r>
        <w:rPr>
          <w:rFonts w:ascii="宋体" w:eastAsia="宋体" w:hAnsi="宋体" w:cs="Times New Roman"/>
          <w:b/>
          <w:bCs/>
          <w:color w:val="000000" w:themeColor="text1"/>
          <w:sz w:val="24"/>
          <w:szCs w:val="24"/>
        </w:rPr>
        <w:t>履行反洗钱、</w:t>
      </w:r>
      <w:r>
        <w:rPr>
          <w:rFonts w:ascii="宋体" w:eastAsia="宋体" w:hAnsi="宋体" w:cs="Times New Roman" w:hint="eastAsia"/>
          <w:b/>
          <w:bCs/>
          <w:color w:val="000000" w:themeColor="text1"/>
          <w:sz w:val="24"/>
          <w:szCs w:val="24"/>
        </w:rPr>
        <w:t>反恐怖融资、非居民金融账户涉税信息尽职调查、</w:t>
      </w:r>
      <w:r>
        <w:rPr>
          <w:rFonts w:ascii="宋体" w:eastAsia="宋体" w:hAnsi="宋体" w:cs="Times New Roman"/>
          <w:b/>
          <w:bCs/>
          <w:color w:val="000000" w:themeColor="text1"/>
          <w:sz w:val="24"/>
          <w:szCs w:val="24"/>
        </w:rPr>
        <w:t>投资者资质审核和销售适当性等法律法规和监管要求</w:t>
      </w:r>
      <w:r>
        <w:rPr>
          <w:rFonts w:ascii="宋体" w:eastAsia="宋体" w:hAnsi="宋体" w:cs="Times New Roman" w:hint="eastAsia"/>
          <w:b/>
          <w:bCs/>
          <w:color w:val="000000" w:themeColor="text1"/>
          <w:sz w:val="24"/>
          <w:szCs w:val="24"/>
        </w:rPr>
        <w:t>的</w:t>
      </w:r>
      <w:r>
        <w:rPr>
          <w:rFonts w:ascii="宋体" w:eastAsia="宋体" w:hAnsi="宋体" w:cs="Times New Roman"/>
          <w:b/>
          <w:bCs/>
          <w:color w:val="000000" w:themeColor="text1"/>
          <w:sz w:val="24"/>
          <w:szCs w:val="24"/>
        </w:rPr>
        <w:t>义务</w:t>
      </w:r>
      <w:r>
        <w:rPr>
          <w:rFonts w:ascii="宋体" w:eastAsia="宋体" w:hAnsi="宋体" w:cs="Times New Roman" w:hint="eastAsia"/>
          <w:b/>
          <w:bCs/>
          <w:color w:val="000000" w:themeColor="text1"/>
          <w:sz w:val="24"/>
          <w:szCs w:val="24"/>
        </w:rPr>
        <w:t>的</w:t>
      </w:r>
      <w:r>
        <w:rPr>
          <w:rFonts w:ascii="宋体" w:eastAsia="宋体" w:hAnsi="宋体" w:cs="Times New Roman"/>
          <w:b/>
          <w:bCs/>
          <w:color w:val="000000" w:themeColor="text1"/>
          <w:sz w:val="24"/>
          <w:szCs w:val="24"/>
        </w:rPr>
        <w:t>需要，</w:t>
      </w:r>
      <w:r>
        <w:rPr>
          <w:rFonts w:ascii="宋体" w:eastAsia="宋体" w:hAnsi="宋体" w:cs="Times New Roman" w:hint="eastAsia"/>
          <w:b/>
          <w:bCs/>
          <w:color w:val="000000" w:themeColor="text1"/>
          <w:sz w:val="24"/>
          <w:szCs w:val="24"/>
        </w:rPr>
        <w:t>甲方授权乙方</w:t>
      </w:r>
      <w:r>
        <w:rPr>
          <w:rFonts w:ascii="宋体" w:eastAsia="宋体" w:hAnsi="宋体" w:cs="Times New Roman"/>
          <w:b/>
          <w:bCs/>
          <w:color w:val="000000" w:themeColor="text1"/>
          <w:sz w:val="24"/>
          <w:szCs w:val="24"/>
        </w:rPr>
        <w:t>在业务办理或履行过程中</w:t>
      </w:r>
      <w:r>
        <w:rPr>
          <w:rFonts w:ascii="宋体" w:eastAsia="宋体" w:hAnsi="宋体" w:cs="Times New Roman" w:hint="eastAsia"/>
          <w:b/>
          <w:bCs/>
          <w:color w:val="000000" w:themeColor="text1"/>
          <w:sz w:val="24"/>
          <w:szCs w:val="24"/>
        </w:rPr>
        <w:t>直接或通过代理销售机构间接获取并报送、处理甲方个人信息，处理方式为收集、存储、使用、加工、传输、提供等，个人信息包括姓名、性别、国籍或地区、职业、联系方式、地址、身份证件信息等身份信息，理财账户、银行账户等账户信息，风险承受能力等级、理财产品交易时间等金融交易信息，持有理财产品信息等财产信息，及法律法规、监管要求或行业自律准则规定的其他信息；</w:t>
      </w:r>
      <w:bookmarkStart w:id="22" w:name="OLE_LINK4_0"/>
      <w:bookmarkStart w:id="23" w:name="OLE_LINK3_0"/>
      <w:r>
        <w:rPr>
          <w:rFonts w:ascii="宋体" w:eastAsia="宋体" w:hAnsi="宋体" w:cs="Times New Roman" w:hint="eastAsia"/>
          <w:b/>
          <w:bCs/>
          <w:color w:val="000000" w:themeColor="text1"/>
          <w:sz w:val="24"/>
          <w:szCs w:val="24"/>
        </w:rPr>
        <w:t>在乙方履行相关法律法规、监管规定的义务及有权机关要求的情况下，甲方授权乙方向银行业理财登记托管中心、监管机构及其他有权机关报送或提供上述信息；</w:t>
      </w:r>
      <w:bookmarkEnd w:id="22"/>
      <w:bookmarkEnd w:id="23"/>
      <w:r>
        <w:rPr>
          <w:rFonts w:ascii="宋体" w:eastAsia="宋体" w:hAnsi="宋体" w:cs="Times New Roman"/>
          <w:b/>
          <w:bCs/>
          <w:color w:val="000000" w:themeColor="text1"/>
          <w:sz w:val="24"/>
          <w:szCs w:val="24"/>
        </w:rPr>
        <w:t>在乙方办理本协议项下相关事项所必需的情形下，</w:t>
      </w:r>
      <w:r>
        <w:rPr>
          <w:rFonts w:ascii="宋体" w:eastAsia="宋体" w:hAnsi="宋体" w:cs="Times New Roman" w:hint="eastAsia"/>
          <w:b/>
          <w:bCs/>
          <w:color w:val="000000" w:themeColor="text1"/>
          <w:sz w:val="24"/>
          <w:szCs w:val="24"/>
        </w:rPr>
        <w:t>甲方授权乙方</w:t>
      </w:r>
      <w:r>
        <w:rPr>
          <w:rFonts w:ascii="宋体" w:eastAsia="宋体" w:hAnsi="宋体" w:cs="Times New Roman"/>
          <w:b/>
          <w:bCs/>
          <w:color w:val="000000" w:themeColor="text1"/>
          <w:sz w:val="24"/>
          <w:szCs w:val="24"/>
        </w:rPr>
        <w:t>向乙方集团成员、服务机构及其他乙方认为必要的业务合作机构（包括但不限于代理销售机构</w:t>
      </w:r>
      <w:r w:rsidR="002616BB">
        <w:rPr>
          <w:rFonts w:ascii="宋体" w:eastAsia="宋体" w:hAnsi="宋体" w:cs="Times New Roman" w:hint="eastAsia"/>
          <w:b/>
          <w:bCs/>
          <w:color w:val="000000" w:themeColor="text1"/>
          <w:sz w:val="24"/>
          <w:szCs w:val="24"/>
        </w:rPr>
        <w:t>、清算服务机构</w:t>
      </w:r>
      <w:r>
        <w:rPr>
          <w:rFonts w:ascii="宋体" w:eastAsia="宋体" w:hAnsi="宋体" w:cs="Times New Roman" w:hint="eastAsia"/>
          <w:b/>
          <w:bCs/>
          <w:color w:val="000000" w:themeColor="text1"/>
          <w:sz w:val="24"/>
          <w:szCs w:val="24"/>
        </w:rPr>
        <w:t>等</w:t>
      </w:r>
      <w:r>
        <w:rPr>
          <w:rFonts w:ascii="宋体" w:eastAsia="宋体" w:hAnsi="宋体" w:cs="Times New Roman"/>
          <w:b/>
          <w:bCs/>
          <w:color w:val="000000" w:themeColor="text1"/>
          <w:sz w:val="24"/>
          <w:szCs w:val="24"/>
        </w:rPr>
        <w:t>）提供乙方获取的</w:t>
      </w:r>
      <w:r>
        <w:rPr>
          <w:rFonts w:ascii="宋体" w:eastAsia="宋体" w:hAnsi="宋体" w:cs="Times New Roman" w:hint="eastAsia"/>
          <w:b/>
          <w:bCs/>
          <w:color w:val="000000" w:themeColor="text1"/>
          <w:sz w:val="24"/>
          <w:szCs w:val="24"/>
        </w:rPr>
        <w:t>上述</w:t>
      </w:r>
      <w:r>
        <w:rPr>
          <w:rFonts w:ascii="宋体" w:eastAsia="宋体" w:hAnsi="宋体" w:cs="Times New Roman"/>
          <w:b/>
          <w:bCs/>
          <w:color w:val="000000" w:themeColor="text1"/>
          <w:sz w:val="24"/>
          <w:szCs w:val="24"/>
        </w:rPr>
        <w:t>甲方信</w:t>
      </w:r>
      <w:r>
        <w:rPr>
          <w:rFonts w:ascii="宋体" w:eastAsia="宋体" w:hAnsi="宋体" w:cs="Times New Roman"/>
          <w:b/>
          <w:bCs/>
          <w:color w:val="000000" w:themeColor="text1"/>
          <w:sz w:val="24"/>
          <w:szCs w:val="24"/>
        </w:rPr>
        <w:t>息</w:t>
      </w:r>
      <w:r>
        <w:rPr>
          <w:rFonts w:ascii="宋体" w:eastAsia="宋体" w:hAnsi="宋体" w:cs="Times New Roman" w:hint="eastAsia"/>
          <w:b/>
          <w:bCs/>
          <w:color w:val="000000" w:themeColor="text1"/>
          <w:sz w:val="24"/>
          <w:szCs w:val="24"/>
        </w:rPr>
        <w:t>，授权使用时限与提供前述服务及履行相关法律法规和监管要求义务的必要时限一致</w:t>
      </w:r>
      <w:r>
        <w:rPr>
          <w:rFonts w:ascii="宋体" w:eastAsia="宋体" w:hAnsi="宋体" w:cs="Times New Roman"/>
          <w:b/>
          <w:bCs/>
          <w:color w:val="000000" w:themeColor="text1"/>
          <w:sz w:val="24"/>
          <w:szCs w:val="24"/>
        </w:rPr>
        <w:t>。接收信息的</w:t>
      </w:r>
      <w:r>
        <w:rPr>
          <w:rFonts w:ascii="宋体" w:eastAsia="宋体" w:hAnsi="宋体" w:cs="Times New Roman"/>
          <w:b/>
          <w:bCs/>
          <w:color w:val="000000" w:themeColor="text1"/>
          <w:sz w:val="24"/>
          <w:szCs w:val="24"/>
        </w:rPr>
        <w:t>上述第三</w:t>
      </w:r>
      <w:r>
        <w:rPr>
          <w:rFonts w:ascii="宋体" w:eastAsia="宋体" w:hAnsi="宋体" w:cs="Times New Roman"/>
          <w:b/>
          <w:bCs/>
          <w:color w:val="000000" w:themeColor="text1"/>
          <w:sz w:val="24"/>
          <w:szCs w:val="24"/>
        </w:rPr>
        <w:t>方将为处理本协议项下事务之目的接触并按照乙方的业务需要</w:t>
      </w:r>
      <w:r>
        <w:rPr>
          <w:rFonts w:ascii="宋体" w:eastAsia="宋体" w:hAnsi="宋体" w:cs="Times New Roman" w:hint="eastAsia"/>
          <w:b/>
          <w:bCs/>
          <w:color w:val="000000" w:themeColor="text1"/>
          <w:sz w:val="24"/>
          <w:szCs w:val="24"/>
        </w:rPr>
        <w:t>处理</w:t>
      </w:r>
      <w:r>
        <w:rPr>
          <w:rFonts w:ascii="宋体" w:eastAsia="宋体" w:hAnsi="宋体" w:cs="Times New Roman"/>
          <w:b/>
          <w:bCs/>
          <w:color w:val="000000" w:themeColor="text1"/>
          <w:sz w:val="24"/>
          <w:szCs w:val="24"/>
        </w:rPr>
        <w:t>甲方信息</w:t>
      </w:r>
      <w:r>
        <w:rPr>
          <w:rFonts w:ascii="宋体" w:eastAsia="宋体" w:hAnsi="宋体" w:cs="Times New Roman" w:hint="eastAsia"/>
          <w:b/>
          <w:bCs/>
          <w:color w:val="000000" w:themeColor="text1"/>
          <w:sz w:val="24"/>
          <w:szCs w:val="24"/>
        </w:rPr>
        <w:t>，处理方式包括但不限于存储、使用、加工、传输、提供等</w:t>
      </w:r>
      <w:r>
        <w:rPr>
          <w:rFonts w:ascii="宋体" w:eastAsia="宋体" w:hAnsi="宋体" w:cs="Times New Roman"/>
          <w:b/>
          <w:bCs/>
          <w:color w:val="000000" w:themeColor="text1"/>
          <w:sz w:val="24"/>
          <w:szCs w:val="24"/>
        </w:rPr>
        <w:t>。</w:t>
      </w:r>
      <w:r w:rsidR="0000412A">
        <w:rPr>
          <w:rFonts w:ascii="宋体" w:eastAsia="宋体" w:hAnsi="宋体" w:cs="Times New Roman" w:hint="eastAsia"/>
          <w:b/>
          <w:bCs/>
          <w:color w:val="000000" w:themeColor="text1"/>
          <w:sz w:val="24"/>
          <w:szCs w:val="24"/>
        </w:rPr>
        <w:t>上述约定的甲方个人信息包括敏感个人信息，敏感个人信息一旦泄露或非法使用，容易导致甲方的人格尊严受到侵害或者人身、财产安全受到危害。</w:t>
      </w:r>
      <w:r>
        <w:rPr>
          <w:rFonts w:ascii="宋体" w:eastAsia="宋体" w:hAnsi="宋体" w:cs="Times New Roman"/>
          <w:b/>
          <w:bCs/>
          <w:color w:val="000000" w:themeColor="text1"/>
          <w:sz w:val="24"/>
          <w:szCs w:val="24"/>
        </w:rPr>
        <w:t>乙方承诺</w:t>
      </w:r>
      <w:r w:rsidR="0000412A">
        <w:rPr>
          <w:rFonts w:ascii="宋体" w:eastAsia="宋体" w:hAnsi="宋体" w:cs="Times New Roman" w:hint="eastAsia"/>
          <w:b/>
          <w:bCs/>
          <w:color w:val="000000" w:themeColor="text1"/>
          <w:sz w:val="24"/>
          <w:szCs w:val="24"/>
        </w:rPr>
        <w:t>，乙方</w:t>
      </w:r>
      <w:r w:rsidR="0000412A">
        <w:rPr>
          <w:rFonts w:ascii="宋体" w:eastAsia="宋体" w:hAnsi="宋体" w:cs="Times New Roman"/>
          <w:b/>
          <w:bCs/>
          <w:color w:val="000000" w:themeColor="text1"/>
          <w:sz w:val="24"/>
          <w:szCs w:val="24"/>
        </w:rPr>
        <w:t>及</w:t>
      </w:r>
      <w:r w:rsidR="0000412A">
        <w:rPr>
          <w:rFonts w:ascii="宋体" w:eastAsia="宋体" w:hAnsi="宋体" w:cs="Times New Roman" w:hint="eastAsia"/>
          <w:b/>
          <w:bCs/>
          <w:color w:val="000000" w:themeColor="text1"/>
          <w:sz w:val="24"/>
          <w:szCs w:val="24"/>
        </w:rPr>
        <w:t>第三</w:t>
      </w:r>
      <w:r w:rsidR="0000412A">
        <w:rPr>
          <w:rFonts w:ascii="宋体" w:eastAsia="宋体" w:hAnsi="宋体" w:cs="Times New Roman" w:hint="eastAsia"/>
          <w:b/>
          <w:bCs/>
          <w:color w:val="000000" w:themeColor="text1"/>
          <w:sz w:val="24"/>
          <w:szCs w:val="24"/>
        </w:rPr>
        <w:t>方</w:t>
      </w:r>
      <w:r w:rsidR="0000412A">
        <w:rPr>
          <w:rFonts w:ascii="宋体" w:eastAsia="宋体" w:hAnsi="宋体" w:cs="Times New Roman"/>
          <w:b/>
          <w:bCs/>
          <w:color w:val="000000" w:themeColor="text1"/>
          <w:sz w:val="24"/>
          <w:szCs w:val="24"/>
        </w:rPr>
        <w:t>业务</w:t>
      </w:r>
      <w:r w:rsidR="0000412A">
        <w:rPr>
          <w:rFonts w:ascii="宋体" w:eastAsia="宋体" w:hAnsi="宋体" w:cs="Times New Roman"/>
          <w:b/>
          <w:bCs/>
          <w:color w:val="000000" w:themeColor="text1"/>
          <w:sz w:val="24"/>
          <w:szCs w:val="24"/>
        </w:rPr>
        <w:t>合作机构</w:t>
      </w:r>
      <w:r w:rsidR="0000412A">
        <w:rPr>
          <w:rFonts w:ascii="宋体" w:eastAsia="宋体" w:hAnsi="宋体" w:cs="Times New Roman" w:hint="eastAsia"/>
          <w:b/>
          <w:bCs/>
          <w:color w:val="000000" w:themeColor="text1"/>
          <w:sz w:val="24"/>
          <w:szCs w:val="24"/>
        </w:rPr>
        <w:t>基于上述目的处理个人信息（包括</w:t>
      </w:r>
      <w:r w:rsidR="0000412A">
        <w:rPr>
          <w:rFonts w:ascii="宋体" w:eastAsia="宋体" w:hAnsi="宋体" w:cs="Times New Roman"/>
          <w:b/>
          <w:bCs/>
          <w:color w:val="000000" w:themeColor="text1"/>
          <w:sz w:val="24"/>
          <w:szCs w:val="24"/>
        </w:rPr>
        <w:t>敏感个人信息）</w:t>
      </w:r>
      <w:r w:rsidR="0000412A">
        <w:rPr>
          <w:rFonts w:ascii="宋体" w:eastAsia="宋体" w:hAnsi="宋体" w:cs="Times New Roman" w:hint="eastAsia"/>
          <w:b/>
          <w:bCs/>
          <w:color w:val="000000" w:themeColor="text1"/>
          <w:sz w:val="24"/>
          <w:szCs w:val="24"/>
        </w:rPr>
        <w:t>为提供服务或满足合</w:t>
      </w:r>
      <w:r w:rsidR="0000412A">
        <w:rPr>
          <w:rFonts w:ascii="宋体" w:eastAsia="宋体" w:hAnsi="宋体" w:cs="Times New Roman" w:hint="eastAsia"/>
          <w:b/>
          <w:bCs/>
          <w:color w:val="000000" w:themeColor="text1"/>
          <w:sz w:val="24"/>
          <w:szCs w:val="24"/>
        </w:rPr>
        <w:t>规</w:t>
      </w:r>
      <w:r w:rsidR="0000412A">
        <w:rPr>
          <w:rFonts w:ascii="宋体" w:eastAsia="宋体" w:hAnsi="宋体" w:cs="Times New Roman" w:hint="eastAsia"/>
          <w:b/>
          <w:bCs/>
          <w:color w:val="000000" w:themeColor="text1"/>
          <w:sz w:val="24"/>
          <w:szCs w:val="24"/>
        </w:rPr>
        <w:t>要求所必须，乙方</w:t>
      </w:r>
      <w:r>
        <w:rPr>
          <w:rFonts w:ascii="宋体" w:eastAsia="宋体" w:hAnsi="宋体" w:cs="Times New Roman"/>
          <w:b/>
          <w:bCs/>
          <w:color w:val="000000" w:themeColor="text1"/>
          <w:sz w:val="24"/>
          <w:szCs w:val="24"/>
        </w:rPr>
        <w:t>将向有关第三</w:t>
      </w:r>
      <w:r>
        <w:rPr>
          <w:rFonts w:ascii="宋体" w:eastAsia="宋体" w:hAnsi="宋体" w:cs="Times New Roman"/>
          <w:b/>
          <w:bCs/>
          <w:color w:val="000000" w:themeColor="text1"/>
          <w:sz w:val="24"/>
          <w:szCs w:val="24"/>
        </w:rPr>
        <w:t>方明确</w:t>
      </w:r>
      <w:r>
        <w:rPr>
          <w:rFonts w:ascii="宋体" w:eastAsia="宋体" w:hAnsi="宋体" w:cs="Times New Roman"/>
          <w:b/>
          <w:bCs/>
          <w:color w:val="000000" w:themeColor="text1"/>
          <w:sz w:val="24"/>
          <w:szCs w:val="24"/>
        </w:rPr>
        <w:t>其保护甲</w:t>
      </w:r>
      <w:r>
        <w:rPr>
          <w:rFonts w:ascii="宋体" w:eastAsia="宋体" w:hAnsi="宋体" w:cs="Times New Roman" w:hint="eastAsia"/>
          <w:b/>
          <w:bCs/>
          <w:color w:val="000000" w:themeColor="text1"/>
          <w:sz w:val="24"/>
          <w:szCs w:val="24"/>
        </w:rPr>
        <w:t>方信息的职责并要求第三方承担相应保密义务</w:t>
      </w:r>
      <w:r w:rsidR="00726D24">
        <w:rPr>
          <w:rFonts w:ascii="宋体" w:eastAsia="宋体" w:hAnsi="宋体" w:cs="Times New Roman" w:hint="eastAsia"/>
          <w:b/>
          <w:bCs/>
          <w:color w:val="000000" w:themeColor="text1"/>
          <w:sz w:val="24"/>
          <w:szCs w:val="24"/>
        </w:rPr>
        <w:t>，严格按照相关法律法规及上述约定开展信息处理行为并采取安全保护措施</w:t>
      </w:r>
      <w:r>
        <w:rPr>
          <w:rFonts w:ascii="宋体" w:eastAsia="宋体" w:hAnsi="宋体" w:cs="Times New Roman" w:hint="eastAsia"/>
          <w:b/>
          <w:bCs/>
          <w:color w:val="000000" w:themeColor="text1"/>
          <w:sz w:val="24"/>
          <w:szCs w:val="24"/>
        </w:rPr>
        <w:t>。</w:t>
      </w:r>
      <w:bookmarkStart w:id="24" w:name="OLE_LINK5"/>
      <w:bookmarkStart w:id="25" w:name="OLE_LINK2_0"/>
      <w:bookmarkStart w:id="26" w:name="OLE_LINK1_0"/>
      <w:r>
        <w:rPr>
          <w:rFonts w:ascii="宋体" w:eastAsia="宋体" w:hAnsi="宋体" w:cs="Times New Roman" w:hint="eastAsia"/>
          <w:b/>
          <w:bCs/>
          <w:color w:val="000000" w:themeColor="text1"/>
          <w:sz w:val="24"/>
          <w:szCs w:val="24"/>
        </w:rPr>
        <w:t>乙方将妥善保管投资者理财产品销售相关资料，保管年限不低于《中华人民共和国反洗钱法》、《理财公司理财产品销售管理暂行办法》等法律法规及监管规定的年限；超出必要保管期限后，乙方、销售机构及其他第三方合作机构（如有）将及时删除投资者的档案（包括以电子化形式以及纸质文本形式保管的投资者个人信息）。如甲方对第三方机构处理甲方的个人信息活动有疑问或要求，甲方可以通过《理财产品说明书》、第三方机构的官方网站（如有）、第三方机构的官方公众号（如有）等渠道获取相应的联系方式以行使甲方的个人信息权利，或者直接联系乙方</w:t>
      </w:r>
      <w:bookmarkEnd w:id="24"/>
      <w:bookmarkEnd w:id="25"/>
      <w:bookmarkEnd w:id="26"/>
      <w:r>
        <w:rPr>
          <w:rFonts w:ascii="宋体" w:eastAsia="宋体" w:hAnsi="宋体" w:cs="Times New Roman"/>
          <w:b/>
          <w:bCs/>
          <w:color w:val="000000" w:themeColor="text1"/>
          <w:sz w:val="24"/>
          <w:szCs w:val="24"/>
        </w:rPr>
        <w:t>。</w:t>
      </w:r>
    </w:p>
    <w:p w:rsidR="00156F5C" w14:paraId="63A5A78C" w14:textId="77777777">
      <w:pPr>
        <w:adjustRightInd w:val="0"/>
        <w:snapToGrid w:val="0"/>
        <w:spacing w:line="360" w:lineRule="auto"/>
        <w:ind w:firstLine="480" w:firstLineChars="200"/>
        <w:jc w:val="left"/>
        <w:rPr>
          <w:rFonts w:ascii="宋体" w:hAnsi="宋体"/>
          <w:b/>
          <w:bCs/>
          <w:color w:val="000000" w:themeColor="text1"/>
          <w:sz w:val="24"/>
        </w:rPr>
      </w:pPr>
      <w:r>
        <w:rPr>
          <w:rFonts w:ascii="宋体" w:eastAsia="宋体" w:hAnsi="宋体" w:cs="Times New Roman"/>
          <w:color w:val="000000" w:themeColor="text1"/>
          <w:sz w:val="24"/>
          <w:szCs w:val="24"/>
        </w:rPr>
        <w:t>7</w:t>
      </w:r>
      <w:r>
        <w:rPr>
          <w:rFonts w:ascii="宋体" w:eastAsia="宋体" w:hAnsi="宋体" w:cs="Times New Roman" w:hint="eastAsia"/>
          <w:color w:val="000000" w:themeColor="text1"/>
          <w:sz w:val="24"/>
          <w:szCs w:val="24"/>
        </w:rPr>
        <w:t>、乙方有义务按照《理财产品说明书》的约定</w:t>
      </w:r>
      <w:r>
        <w:rPr>
          <w:rFonts w:ascii="宋体" w:eastAsia="宋体" w:hAnsi="宋体" w:cs="Times New Roman"/>
          <w:color w:val="000000" w:themeColor="text1"/>
          <w:sz w:val="24"/>
          <w:szCs w:val="24"/>
        </w:rPr>
        <w:t>在理财产品资金清算日</w:t>
      </w:r>
      <w:r>
        <w:rPr>
          <w:rFonts w:ascii="宋体" w:eastAsia="宋体" w:hAnsi="宋体" w:cs="Times New Roman" w:hint="eastAsia"/>
          <w:color w:val="000000" w:themeColor="text1"/>
          <w:sz w:val="24"/>
          <w:szCs w:val="24"/>
        </w:rPr>
        <w:t>将应支付甲方的理财产品投资本金（如有）及收益（如有）划入到甲方指定账户。</w:t>
      </w:r>
      <w:r>
        <w:rPr>
          <w:rFonts w:ascii="宋体" w:eastAsia="宋体" w:hAnsi="宋体" w:cs="Times New Roman" w:hint="eastAsia"/>
          <w:b/>
          <w:color w:val="000000" w:themeColor="text1"/>
          <w:sz w:val="24"/>
          <w:szCs w:val="24"/>
        </w:rPr>
        <w:t>如因甲方原因导致理财产品投资本金和</w:t>
      </w:r>
      <w:r>
        <w:rPr>
          <w:rFonts w:ascii="宋体" w:eastAsia="宋体" w:hAnsi="宋体" w:cs="Times New Roman"/>
          <w:b/>
          <w:color w:val="000000" w:themeColor="text1"/>
          <w:sz w:val="24"/>
          <w:szCs w:val="24"/>
        </w:rPr>
        <w:t>/或收益无法入账的，由此导致损失的，由甲方承担，乙方不承担责任。</w:t>
      </w:r>
      <w:r>
        <w:rPr>
          <w:rFonts w:ascii="宋体" w:eastAsia="宋体" w:hAnsi="宋体" w:cs="Times New Roman" w:hint="eastAsia"/>
          <w:color w:val="000000" w:themeColor="text1"/>
          <w:sz w:val="24"/>
          <w:szCs w:val="24"/>
        </w:rPr>
        <w:t>甲方通过代理销售机构投资乙方理财产品时，乙方将理财产品投资本金（如有）及收益（如有）划入代理销售机构指定账户后，即视为完成乙方的支付义务。</w:t>
      </w:r>
      <w:r>
        <w:rPr>
          <w:rFonts w:ascii="宋体" w:eastAsia="宋体" w:hAnsi="宋体" w:cs="Times New Roman" w:hint="eastAsia"/>
          <w:b/>
          <w:color w:val="000000" w:themeColor="text1"/>
          <w:sz w:val="24"/>
          <w:szCs w:val="24"/>
        </w:rPr>
        <w:t>如因甲方或代理销售机构原因导致理财产品投资本金或收益无法划入甲方指定账户的，乙方不承担责任。从到期日至资金清算日的期间不计付利息。</w:t>
      </w:r>
    </w:p>
    <w:p w:rsidR="00156F5C" w14:paraId="651992BA"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8</w:t>
      </w:r>
      <w:r>
        <w:rPr>
          <w:rFonts w:ascii="宋体" w:eastAsia="宋体" w:hAnsi="宋体" w:cs="Times New Roman" w:hint="eastAsia"/>
          <w:color w:val="000000" w:themeColor="text1"/>
          <w:sz w:val="24"/>
          <w:szCs w:val="24"/>
        </w:rPr>
        <w:t>、除法律、法规、监管规定另有规定或双方另有约定外，乙方不负责代扣代缴甲方应缴纳的税款。</w:t>
      </w:r>
    </w:p>
    <w:p w:rsidR="00156F5C" w14:paraId="211EE6DA" w14:textId="77777777">
      <w:pPr>
        <w:spacing w:line="360" w:lineRule="auto"/>
        <w:ind w:firstLine="480" w:firstLineChars="200"/>
        <w:rPr>
          <w:rFonts w:ascii="宋体" w:eastAsia="宋体" w:hAnsi="宋体" w:cs="Times New Roman"/>
          <w:b/>
          <w:color w:val="000000" w:themeColor="text1"/>
          <w:sz w:val="24"/>
          <w:szCs w:val="24"/>
        </w:rPr>
      </w:pPr>
      <w:r>
        <w:rPr>
          <w:rFonts w:ascii="宋体" w:eastAsia="宋体" w:hAnsi="宋体" w:cs="Times New Roman"/>
          <w:color w:val="000000" w:themeColor="text1"/>
          <w:sz w:val="24"/>
          <w:szCs w:val="24"/>
        </w:rPr>
        <w:t>9</w:t>
      </w:r>
      <w:r>
        <w:rPr>
          <w:rFonts w:ascii="宋体" w:eastAsia="宋体" w:hAnsi="宋体" w:cs="Times New Roman" w:hint="eastAsia"/>
          <w:color w:val="000000" w:themeColor="text1"/>
          <w:sz w:val="24"/>
          <w:szCs w:val="24"/>
        </w:rPr>
        <w:t>、乙方接受甲方的委托和授权，按照法律、法规、监管规定以及</w:t>
      </w:r>
      <w:r>
        <w:rPr>
          <w:rFonts w:ascii="宋体" w:eastAsia="宋体" w:hAnsi="宋体" w:cs="Times New Roman"/>
          <w:color w:val="000000" w:themeColor="text1"/>
          <w:sz w:val="24"/>
          <w:szCs w:val="24"/>
        </w:rPr>
        <w:t>理财产品</w:t>
      </w:r>
      <w:r>
        <w:rPr>
          <w:rFonts w:ascii="宋体" w:eastAsia="宋体" w:hAnsi="宋体" w:cs="Times New Roman" w:hint="eastAsia"/>
          <w:color w:val="000000" w:themeColor="text1"/>
          <w:sz w:val="24"/>
          <w:szCs w:val="24"/>
        </w:rPr>
        <w:t>销售</w:t>
      </w:r>
      <w:r>
        <w:rPr>
          <w:rFonts w:ascii="宋体" w:eastAsia="宋体" w:hAnsi="宋体" w:cs="Times New Roman"/>
          <w:color w:val="000000" w:themeColor="text1"/>
          <w:sz w:val="24"/>
          <w:szCs w:val="24"/>
        </w:rPr>
        <w:t>文件的约定</w:t>
      </w:r>
      <w:r>
        <w:rPr>
          <w:rFonts w:ascii="宋体" w:eastAsia="宋体" w:hAnsi="宋体" w:cs="Times New Roman" w:hint="eastAsia"/>
          <w:color w:val="000000" w:themeColor="text1"/>
          <w:sz w:val="24"/>
          <w:szCs w:val="24"/>
        </w:rPr>
        <w:t>，遵循诚实信用、勤勉尽责的原则履行受托管理职责，维护甲方合法权益</w:t>
      </w:r>
      <w:r>
        <w:rPr>
          <w:rFonts w:ascii="宋体" w:eastAsia="宋体" w:hAnsi="宋体" w:cs="Times New Roman" w:hint="eastAsia"/>
          <w:b/>
          <w:color w:val="000000" w:themeColor="text1"/>
          <w:sz w:val="24"/>
          <w:szCs w:val="24"/>
        </w:rPr>
        <w:t>。</w:t>
      </w:r>
    </w:p>
    <w:p w:rsidR="00156F5C" w14:paraId="398B07A5"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r>
        <w:rPr>
          <w:rFonts w:ascii="宋体" w:eastAsia="宋体" w:hAnsi="宋体" w:cs="Times New Roman"/>
          <w:color w:val="000000" w:themeColor="text1"/>
          <w:sz w:val="24"/>
          <w:szCs w:val="24"/>
        </w:rPr>
        <w:t>0</w:t>
      </w:r>
      <w:r>
        <w:rPr>
          <w:rFonts w:ascii="宋体" w:eastAsia="宋体" w:hAnsi="宋体" w:cs="Times New Roman" w:hint="eastAsia"/>
          <w:color w:val="000000" w:themeColor="text1"/>
          <w:sz w:val="24"/>
          <w:szCs w:val="24"/>
        </w:rPr>
        <w:t>、乙方对本协议及其条款负有保密义务，未经甲方许可，乙方不得向任何</w:t>
      </w:r>
      <w:r>
        <w:rPr>
          <w:rFonts w:ascii="宋体" w:eastAsia="宋体" w:hAnsi="宋体" w:cs="Times New Roman" w:hint="eastAsia"/>
          <w:color w:val="000000" w:themeColor="text1"/>
          <w:sz w:val="24"/>
          <w:szCs w:val="24"/>
        </w:rPr>
        <w:t>组织、个</w:t>
      </w:r>
      <w:r>
        <w:rPr>
          <w:rFonts w:ascii="宋体" w:eastAsia="宋体" w:hAnsi="宋体" w:cs="Times New Roman"/>
          <w:color w:val="000000" w:themeColor="text1"/>
          <w:sz w:val="24"/>
          <w:szCs w:val="24"/>
        </w:rPr>
        <w:t>人提供或泄露与甲方有关的业务资料及信息，但法律</w:t>
      </w:r>
      <w:r>
        <w:rPr>
          <w:rFonts w:ascii="宋体" w:eastAsia="宋体" w:hAnsi="宋体" w:cs="Times New Roman" w:hint="eastAsia"/>
          <w:color w:val="000000" w:themeColor="text1"/>
          <w:sz w:val="24"/>
          <w:szCs w:val="24"/>
        </w:rPr>
        <w:t>、</w:t>
      </w:r>
      <w:r>
        <w:rPr>
          <w:rFonts w:ascii="宋体" w:eastAsia="宋体" w:hAnsi="宋体" w:cs="Times New Roman"/>
          <w:color w:val="000000" w:themeColor="text1"/>
          <w:sz w:val="24"/>
          <w:szCs w:val="24"/>
        </w:rPr>
        <w:t>法规及金融监管机构另有规定、</w:t>
      </w:r>
      <w:r>
        <w:rPr>
          <w:rFonts w:ascii="宋体" w:eastAsia="宋体" w:hAnsi="宋体" w:cs="Times New Roman" w:hint="eastAsia"/>
          <w:color w:val="000000" w:themeColor="text1"/>
          <w:sz w:val="24"/>
          <w:szCs w:val="24"/>
        </w:rPr>
        <w:t>乙方</w:t>
      </w:r>
      <w:r>
        <w:rPr>
          <w:rFonts w:ascii="宋体" w:eastAsia="宋体" w:hAnsi="宋体" w:cs="Times New Roman"/>
          <w:color w:val="000000" w:themeColor="text1"/>
          <w:sz w:val="24"/>
          <w:szCs w:val="24"/>
        </w:rPr>
        <w:t>向专业咨询机构</w:t>
      </w:r>
      <w:r>
        <w:rPr>
          <w:rFonts w:ascii="宋体" w:eastAsia="宋体" w:hAnsi="宋体" w:cs="Times New Roman" w:hint="eastAsia"/>
          <w:color w:val="000000" w:themeColor="text1"/>
          <w:sz w:val="24"/>
          <w:szCs w:val="24"/>
        </w:rPr>
        <w:t>进行咨询涉及的披露</w:t>
      </w:r>
      <w:r>
        <w:rPr>
          <w:rFonts w:ascii="宋体" w:eastAsia="宋体" w:hAnsi="宋体" w:cs="Times New Roman"/>
          <w:color w:val="000000" w:themeColor="text1"/>
          <w:sz w:val="24"/>
          <w:szCs w:val="24"/>
        </w:rPr>
        <w:t>以及甲乙双方另有约定的其他情况除外。</w:t>
      </w:r>
    </w:p>
    <w:p w:rsidR="00156F5C" w14:paraId="25B1259A" w14:textId="77777777">
      <w:pPr>
        <w:spacing w:line="360" w:lineRule="auto"/>
        <w:ind w:firstLine="480" w:firstLineChars="20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、法律、法规、监管规定和其他在本产品所对应理财产品销售文件中约定的乙方的权利与义务。</w:t>
      </w:r>
    </w:p>
    <w:p w:rsidR="00156F5C" w14:paraId="17FC4490" w14:textId="77777777">
      <w:pPr>
        <w:spacing w:line="360" w:lineRule="auto"/>
        <w:ind w:firstLine="480"/>
        <w:rPr>
          <w:rFonts w:ascii="宋体" w:eastAsia="宋体" w:hAnsi="宋体" w:cs="Times New Roman"/>
          <w:b/>
          <w:sz w:val="24"/>
          <w:szCs w:val="24"/>
        </w:rPr>
      </w:pPr>
      <w:r>
        <w:rPr>
          <w:rFonts w:ascii="宋体" w:eastAsia="宋体" w:hAnsi="宋体" w:cs="Times New Roman" w:hint="eastAsia"/>
          <w:b/>
          <w:sz w:val="24"/>
          <w:szCs w:val="24"/>
        </w:rPr>
        <w:t>第四条 违约责任</w:t>
      </w:r>
    </w:p>
    <w:p w:rsidR="00156F5C" w14:paraId="43DF03F5"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由于本协议一方当事人的过错，造成本协议不能履行或不能完全履行的，由有过错的一方承担违约责任；如双方同时负有过错，则应由双方各自按照过错程度承担责任。</w:t>
      </w:r>
    </w:p>
    <w:p w:rsidR="00156F5C" w14:paraId="5DA797F5" w14:textId="77777777">
      <w:pPr>
        <w:spacing w:line="360" w:lineRule="auto"/>
        <w:ind w:firstLine="480"/>
        <w:rPr>
          <w:rFonts w:ascii="宋体" w:eastAsia="宋体" w:hAnsi="宋体" w:cs="Times New Roman"/>
          <w:b/>
          <w:sz w:val="24"/>
          <w:szCs w:val="24"/>
        </w:rPr>
      </w:pPr>
      <w:r>
        <w:rPr>
          <w:rFonts w:ascii="宋体" w:eastAsia="宋体" w:hAnsi="宋体" w:cs="Times New Roman" w:hint="eastAsia"/>
          <w:b/>
          <w:sz w:val="24"/>
          <w:szCs w:val="24"/>
        </w:rPr>
        <w:t>第五条 免责条款</w:t>
      </w:r>
    </w:p>
    <w:p w:rsidR="00156F5C" w14:paraId="017D7690"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1、由于国家法律</w:t>
      </w:r>
      <w:r>
        <w:rPr>
          <w:rFonts w:ascii="宋体" w:eastAsia="宋体" w:hAnsi="宋体" w:cs="Times New Roman" w:hint="eastAsia"/>
          <w:b/>
          <w:sz w:val="24"/>
          <w:szCs w:val="24"/>
        </w:rPr>
        <w:t>、</w:t>
      </w:r>
      <w:r>
        <w:rPr>
          <w:rFonts w:ascii="宋体" w:eastAsia="宋体" w:hAnsi="宋体" w:cs="Times New Roman"/>
          <w:b/>
          <w:sz w:val="24"/>
          <w:szCs w:val="24"/>
        </w:rPr>
        <w:t>法规、监管规定、监管部门政策变化、紧急措施的出台而</w:t>
      </w:r>
      <w:r>
        <w:rPr>
          <w:rFonts w:ascii="宋体" w:eastAsia="宋体" w:hAnsi="宋体" w:cs="Times New Roman" w:hint="eastAsia"/>
          <w:b/>
          <w:sz w:val="24"/>
          <w:szCs w:val="24"/>
        </w:rPr>
        <w:t>导致甲方蒙受损失或协议终止的，乙方不承担责任。</w:t>
      </w:r>
    </w:p>
    <w:p w:rsidR="00156F5C" w14:paraId="453A1CA6"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2、由于自然灾害、意外事故、战争、系统故障、通讯故障等不可抗力或乙方无过错且无法</w:t>
      </w:r>
      <w:r>
        <w:rPr>
          <w:rFonts w:ascii="宋体" w:eastAsia="宋体" w:hAnsi="宋体" w:cs="Times New Roman" w:hint="eastAsia"/>
          <w:b/>
          <w:sz w:val="24"/>
          <w:szCs w:val="24"/>
        </w:rPr>
        <w:t>避免</w:t>
      </w:r>
      <w:r>
        <w:rPr>
          <w:rFonts w:ascii="宋体" w:eastAsia="宋体" w:hAnsi="宋体" w:cs="Times New Roman"/>
          <w:b/>
          <w:sz w:val="24"/>
          <w:szCs w:val="24"/>
        </w:rPr>
        <w:t>的外因而导致的交易中断、延误等风险及损失，乙方不承担责任。</w:t>
      </w:r>
    </w:p>
    <w:p w:rsidR="00156F5C" w14:paraId="6169D7D5"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3、非因乙方原因（包括但不限于甲方遗失本协议、甲方协议被盗用、甲方指定账户被司法机关等有权部门冻结、扣划等原因）造成的损失，乙方不承担责任。</w:t>
      </w:r>
    </w:p>
    <w:p w:rsidR="00156F5C" w14:paraId="3489EF48"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4、发生前述情形时，乙方将在条件允许</w:t>
      </w:r>
      <w:r>
        <w:rPr>
          <w:rFonts w:ascii="宋体" w:eastAsia="宋体" w:hAnsi="宋体" w:cs="Times New Roman" w:hint="eastAsia"/>
          <w:b/>
          <w:sz w:val="24"/>
          <w:szCs w:val="24"/>
        </w:rPr>
        <w:t>且</w:t>
      </w:r>
      <w:r>
        <w:rPr>
          <w:rFonts w:ascii="宋体" w:eastAsia="宋体" w:hAnsi="宋体" w:cs="Times New Roman"/>
          <w:b/>
          <w:sz w:val="24"/>
          <w:szCs w:val="24"/>
        </w:rPr>
        <w:t>不违反法律、法规及监管规定的情况下采取必要合理的补救措施，尽力保护甲方利益，以减少甲方损失。</w:t>
      </w:r>
    </w:p>
    <w:p w:rsidR="00156F5C" w14:paraId="2AAD5C06" w14:textId="77777777">
      <w:pPr>
        <w:spacing w:line="360" w:lineRule="auto"/>
        <w:ind w:firstLine="480"/>
        <w:rPr>
          <w:rFonts w:ascii="宋体" w:eastAsia="宋体" w:hAnsi="宋体" w:cs="Times New Roman"/>
          <w:b/>
          <w:sz w:val="24"/>
          <w:szCs w:val="24"/>
        </w:rPr>
      </w:pPr>
      <w:r>
        <w:rPr>
          <w:rFonts w:ascii="宋体" w:eastAsia="宋体" w:hAnsi="宋体" w:cs="Times New Roman" w:hint="eastAsia"/>
          <w:b/>
          <w:sz w:val="24"/>
          <w:szCs w:val="24"/>
        </w:rPr>
        <w:t>第六条 争议解决</w:t>
      </w:r>
    </w:p>
    <w:p w:rsidR="00156F5C" w14:paraId="179F8548"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本协议适用中华人民共和国法律。本协议履行过程中所发生的一切争议，双方应本着诚实信用的原则友好协商解决。若协商不成，双方均同意选择</w:t>
      </w:r>
      <w:r>
        <w:rPr>
          <w:rFonts w:ascii="宋体" w:eastAsia="宋体" w:hAnsi="宋体" w:cs="Times New Roman" w:hint="eastAsia"/>
          <w:b/>
          <w:sz w:val="24"/>
          <w:szCs w:val="24"/>
        </w:rPr>
        <w:t>如下第</w:t>
      </w:r>
      <w:r>
        <w:rPr>
          <w:rFonts w:ascii="宋体" w:eastAsia="宋体" w:hAnsi="宋体" w:cs="Times New Roman" w:hint="eastAsia"/>
          <w:b/>
          <w:sz w:val="24"/>
          <w:szCs w:val="24"/>
          <w:u w:val="single"/>
        </w:rPr>
        <w:t xml:space="preserve"> 2 </w:t>
      </w:r>
      <w:r>
        <w:rPr>
          <w:rFonts w:ascii="宋体" w:eastAsia="宋体" w:hAnsi="宋体" w:cs="Times New Roman"/>
          <w:b/>
          <w:sz w:val="24"/>
          <w:szCs w:val="24"/>
        </w:rPr>
        <w:t>种方式解决</w:t>
      </w:r>
      <w:r>
        <w:rPr>
          <w:rFonts w:ascii="宋体" w:eastAsia="宋体" w:hAnsi="宋体" w:cs="Times New Roman" w:hint="eastAsia"/>
          <w:b/>
          <w:sz w:val="24"/>
          <w:szCs w:val="24"/>
        </w:rPr>
        <w:t>：</w:t>
      </w:r>
    </w:p>
    <w:p w:rsidR="00156F5C" w14:paraId="5DC8E243" w14:textId="13D1F1DE">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1、</w:t>
      </w:r>
      <w:r>
        <w:rPr>
          <w:rFonts w:ascii="宋体" w:eastAsia="宋体" w:hAnsi="宋体" w:cs="Times New Roman" w:hint="eastAsia"/>
          <w:b/>
          <w:sz w:val="24"/>
          <w:szCs w:val="24"/>
        </w:rPr>
        <w:t>提交【/】仲裁委员会仲裁。仲裁应按照该仲裁机构现行有效的仲裁规则进行。仲裁裁决是终局的，对双方均有约束力。</w:t>
      </w:r>
    </w:p>
    <w:p w:rsidR="00156F5C" w14:paraId="7E9D0CA3" w14:textId="2CADFEE9">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任何一方均有权向被告方所在地、管理人所在地、合同履行地有管辖权的人民法院提起诉讼。</w:t>
      </w:r>
    </w:p>
    <w:p w:rsidR="00156F5C" w14:paraId="57B014DD"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b/>
          <w:sz w:val="24"/>
          <w:szCs w:val="24"/>
        </w:rPr>
        <w:t>在争议解决期间，若该争议不影响本协议其他条款及其他理财产品</w:t>
      </w:r>
      <w:r>
        <w:rPr>
          <w:rFonts w:ascii="宋体" w:eastAsia="宋体" w:hAnsi="宋体" w:cs="Times New Roman"/>
          <w:b/>
          <w:sz w:val="24"/>
          <w:szCs w:val="24"/>
        </w:rPr>
        <w:t>销售文</w:t>
      </w:r>
      <w:r>
        <w:rPr>
          <w:rFonts w:ascii="宋体" w:eastAsia="宋体" w:hAnsi="宋体" w:cs="Times New Roman"/>
          <w:b/>
          <w:sz w:val="24"/>
          <w:szCs w:val="24"/>
        </w:rPr>
        <w:t>件</w:t>
      </w:r>
      <w:r>
        <w:rPr>
          <w:rFonts w:ascii="宋体" w:eastAsia="宋体" w:hAnsi="宋体" w:cs="Times New Roman" w:hint="eastAsia"/>
          <w:b/>
          <w:sz w:val="24"/>
          <w:szCs w:val="24"/>
        </w:rPr>
        <w:t>各条款的履行，前述条款应继续履行。因处理争议产生的费用（包括但不限于律师费、诉讼费等），除法院判决</w:t>
      </w:r>
      <w:r>
        <w:rPr>
          <w:rFonts w:ascii="宋体" w:eastAsia="宋体" w:hAnsi="宋体" w:cs="Times New Roman"/>
          <w:b/>
          <w:sz w:val="24"/>
          <w:szCs w:val="24"/>
        </w:rPr>
        <w:t>/裁定另有规定，</w:t>
      </w:r>
      <w:r>
        <w:rPr>
          <w:rFonts w:ascii="宋体" w:eastAsia="宋体" w:hAnsi="宋体" w:cs="Times New Roman" w:hint="eastAsia"/>
          <w:b/>
          <w:sz w:val="24"/>
          <w:szCs w:val="24"/>
        </w:rPr>
        <w:t>由败诉方承担。</w:t>
      </w:r>
    </w:p>
    <w:p w:rsidR="00156F5C" w14:paraId="191D5574" w14:textId="77777777">
      <w:pPr>
        <w:pStyle w:val="ListParagraph"/>
        <w:spacing w:line="360" w:lineRule="auto"/>
        <w:ind w:firstLine="482"/>
        <w:rPr>
          <w:rFonts w:ascii="宋体" w:eastAsia="宋体" w:hAnsi="宋体" w:cs="Times New Roman"/>
          <w:sz w:val="24"/>
          <w:szCs w:val="24"/>
        </w:rPr>
      </w:pPr>
      <w:r>
        <w:rPr>
          <w:rFonts w:ascii="宋体" w:eastAsia="宋体" w:hAnsi="宋体" w:cs="Times New Roman" w:hint="eastAsia"/>
          <w:b/>
          <w:sz w:val="24"/>
          <w:szCs w:val="24"/>
        </w:rPr>
        <w:t>第七条</w:t>
      </w:r>
      <w:r>
        <w:rPr>
          <w:rFonts w:ascii="宋体" w:eastAsia="宋体" w:hAnsi="宋体" w:cs="Times New Roman"/>
          <w:b/>
          <w:sz w:val="24"/>
          <w:szCs w:val="24"/>
        </w:rPr>
        <w:t xml:space="preserve"> 协议的生效</w:t>
      </w:r>
      <w:r>
        <w:rPr>
          <w:rFonts w:ascii="宋体" w:eastAsia="宋体" w:hAnsi="宋体" w:cs="Times New Roman" w:hint="eastAsia"/>
          <w:b/>
          <w:sz w:val="24"/>
          <w:szCs w:val="24"/>
        </w:rPr>
        <w:t>和终止</w:t>
      </w:r>
    </w:p>
    <w:p w:rsidR="00156F5C" w14:paraId="1563FD96"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（一）协议生效</w:t>
      </w:r>
    </w:p>
    <w:p w:rsidR="00156F5C" w14:paraId="3804310B" w14:textId="2971C86E">
      <w:pPr>
        <w:widowControl/>
        <w:spacing w:line="360" w:lineRule="auto"/>
        <w:ind w:firstLine="480" w:firstLineChars="200"/>
        <w:jc w:val="left"/>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甲方通过乙方或代理销售机构营业网点购买本理财产品的</w:t>
      </w:r>
      <w:r>
        <w:rPr>
          <w:rFonts w:ascii="宋体" w:eastAsia="宋体" w:hAnsi="宋体" w:cs="Times New Roman"/>
          <w:sz w:val="24"/>
          <w:szCs w:val="24"/>
        </w:rPr>
        <w:t>，本协议于甲方签署（</w:t>
      </w:r>
      <w:r>
        <w:rPr>
          <w:rFonts w:ascii="宋体" w:eastAsia="宋体" w:hAnsi="宋体" w:cs="Times New Roman" w:hint="eastAsia"/>
          <w:sz w:val="24"/>
          <w:szCs w:val="24"/>
        </w:rPr>
        <w:t>甲方为自然人的，应签字；甲方为机构的，应</w:t>
      </w:r>
      <w:r>
        <w:rPr>
          <w:rFonts w:ascii="宋体" w:eastAsia="宋体" w:hAnsi="宋体" w:cs="Times New Roman"/>
          <w:sz w:val="24"/>
          <w:szCs w:val="24"/>
        </w:rPr>
        <w:t>加盖</w:t>
      </w:r>
      <w:r>
        <w:rPr>
          <w:rFonts w:ascii="宋体" w:eastAsia="宋体" w:hAnsi="宋体" w:cs="Times New Roman" w:hint="eastAsia"/>
          <w:sz w:val="24"/>
          <w:szCs w:val="24"/>
        </w:rPr>
        <w:t>公章（或经公章授权的其他有效印鉴），</w:t>
      </w:r>
      <w:r>
        <w:rPr>
          <w:rFonts w:ascii="宋体" w:eastAsia="宋体" w:hAnsi="宋体" w:cs="Times New Roman"/>
          <w:sz w:val="24"/>
          <w:szCs w:val="24"/>
        </w:rPr>
        <w:t>并</w:t>
      </w:r>
      <w:r>
        <w:rPr>
          <w:rFonts w:ascii="宋体" w:eastAsia="宋体" w:hAnsi="宋体" w:cs="Times New Roman" w:hint="eastAsia"/>
          <w:sz w:val="24"/>
          <w:szCs w:val="24"/>
        </w:rPr>
        <w:t>由其法定代表人（负责人）或授权代理人签字</w:t>
      </w:r>
      <w:r>
        <w:rPr>
          <w:rFonts w:ascii="宋体" w:eastAsia="宋体" w:hAnsi="宋体" w:cs="Times New Roman"/>
          <w:sz w:val="24"/>
          <w:szCs w:val="24"/>
        </w:rPr>
        <w:t>/签章；甲方为资产管理产品的，应</w:t>
      </w:r>
      <w:r>
        <w:rPr>
          <w:rFonts w:ascii="宋体" w:eastAsia="宋体" w:hAnsi="宋体" w:cs="Times New Roman" w:hint="eastAsia"/>
          <w:sz w:val="24"/>
          <w:szCs w:val="24"/>
        </w:rPr>
        <w:t>加盖甲方产品</w:t>
      </w:r>
      <w:r>
        <w:rPr>
          <w:rFonts w:ascii="宋体" w:eastAsia="宋体" w:hAnsi="宋体" w:cs="Times New Roman"/>
          <w:sz w:val="24"/>
          <w:szCs w:val="24"/>
        </w:rPr>
        <w:t>管理人</w:t>
      </w:r>
      <w:r>
        <w:rPr>
          <w:rFonts w:ascii="宋体" w:eastAsia="宋体" w:hAnsi="宋体" w:cs="Times New Roman" w:hint="eastAsia"/>
          <w:sz w:val="24"/>
          <w:szCs w:val="24"/>
        </w:rPr>
        <w:t>公</w:t>
      </w:r>
      <w:r>
        <w:rPr>
          <w:rFonts w:ascii="宋体" w:eastAsia="宋体" w:hAnsi="宋体" w:cs="Times New Roman"/>
          <w:sz w:val="24"/>
          <w:szCs w:val="24"/>
        </w:rPr>
        <w:t>章</w:t>
      </w:r>
      <w:r>
        <w:rPr>
          <w:rFonts w:ascii="宋体" w:eastAsia="宋体" w:hAnsi="宋体" w:cs="Times New Roman" w:hint="eastAsia"/>
          <w:sz w:val="24"/>
          <w:szCs w:val="24"/>
        </w:rPr>
        <w:t>（或经公章授权的其他有效印鉴），并由甲方产品管理人的法定代表人（负责人）或授权代理人签字/签章）</w:t>
      </w:r>
      <w:r>
        <w:rPr>
          <w:rFonts w:ascii="宋体" w:eastAsia="宋体" w:hAnsi="宋体" w:cs="Times New Roman"/>
          <w:sz w:val="24"/>
          <w:szCs w:val="24"/>
        </w:rPr>
        <w:t>且乙方确认甲方成功认（申）购并收到甲方缴付的全部投资</w:t>
      </w:r>
      <w:r>
        <w:rPr>
          <w:rFonts w:ascii="宋体" w:eastAsia="宋体" w:hAnsi="宋体" w:cs="Times New Roman" w:hint="eastAsia"/>
          <w:sz w:val="24"/>
          <w:szCs w:val="24"/>
        </w:rPr>
        <w:t>款项</w:t>
      </w:r>
      <w:r>
        <w:rPr>
          <w:rFonts w:ascii="宋体" w:eastAsia="宋体" w:hAnsi="宋体" w:cs="Times New Roman"/>
          <w:sz w:val="24"/>
          <w:szCs w:val="24"/>
        </w:rPr>
        <w:t>本金之日起生效。本协议</w:t>
      </w:r>
      <w:r>
        <w:rPr>
          <w:rFonts w:ascii="宋体" w:eastAsia="宋体" w:hAnsi="宋体" w:cs="Times New Roman" w:hint="eastAsia"/>
          <w:sz w:val="24"/>
          <w:szCs w:val="24"/>
        </w:rPr>
        <w:t>一式</w:t>
      </w:r>
      <w:r w:rsidR="00E24A27">
        <w:rPr>
          <w:rFonts w:ascii="宋体" w:eastAsia="宋体" w:hAnsi="宋体" w:cs="Times New Roman"/>
          <w:sz w:val="24"/>
          <w:szCs w:val="24"/>
          <w:u w:val="single"/>
        </w:rPr>
        <w:t>2</w:t>
      </w:r>
      <w:r>
        <w:rPr>
          <w:rFonts w:ascii="宋体" w:eastAsia="宋体" w:hAnsi="宋体" w:cs="Times New Roman" w:hint="eastAsia"/>
          <w:sz w:val="24"/>
          <w:szCs w:val="24"/>
        </w:rPr>
        <w:t>份，其中甲方执有</w:t>
      </w:r>
      <w:r w:rsidR="00E24A27">
        <w:rPr>
          <w:rFonts w:ascii="宋体" w:eastAsia="宋体" w:hAnsi="宋体" w:cs="Times New Roman"/>
          <w:sz w:val="24"/>
          <w:szCs w:val="24"/>
          <w:u w:val="single"/>
        </w:rPr>
        <w:t>1</w:t>
      </w:r>
      <w:r>
        <w:rPr>
          <w:rFonts w:ascii="宋体" w:eastAsia="宋体" w:hAnsi="宋体" w:cs="Times New Roman" w:hint="eastAsia"/>
          <w:sz w:val="24"/>
          <w:szCs w:val="24"/>
        </w:rPr>
        <w:t>份。</w:t>
      </w:r>
    </w:p>
    <w:p w:rsidR="00156F5C" w14:paraId="13DA4CC3" w14:textId="77777777">
      <w:pPr>
        <w:pStyle w:val="ListParagraph"/>
        <w:spacing w:line="360" w:lineRule="auto"/>
        <w:ind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甲方通过乙方或代理销售机构的网上银行、手机银行等线</w:t>
      </w:r>
      <w:r>
        <w:rPr>
          <w:rFonts w:ascii="宋体" w:eastAsia="宋体" w:hAnsi="宋体" w:cs="Times New Roman" w:hint="eastAsia"/>
          <w:sz w:val="24"/>
          <w:szCs w:val="24"/>
        </w:rPr>
        <w:t>上渠道</w:t>
      </w:r>
      <w:r>
        <w:rPr>
          <w:rFonts w:ascii="宋体" w:eastAsia="宋体" w:hAnsi="宋体" w:cs="Times New Roman" w:hint="eastAsia"/>
          <w:sz w:val="24"/>
          <w:szCs w:val="24"/>
        </w:rPr>
        <w:t>方式购买本理财产品的</w:t>
      </w:r>
      <w:r>
        <w:rPr>
          <w:rFonts w:ascii="宋体" w:eastAsia="宋体" w:hAnsi="宋体" w:cs="Times New Roman"/>
          <w:sz w:val="24"/>
          <w:szCs w:val="24"/>
        </w:rPr>
        <w:t>，本协议经甲方点击同意本协议且乙方确认甲方成功认（申）购并收到甲方缴付的全部投资</w:t>
      </w:r>
      <w:r>
        <w:rPr>
          <w:rFonts w:ascii="宋体" w:eastAsia="宋体" w:hAnsi="宋体" w:cs="Times New Roman" w:hint="eastAsia"/>
          <w:sz w:val="24"/>
          <w:szCs w:val="24"/>
        </w:rPr>
        <w:t>本金款项</w:t>
      </w:r>
      <w:r>
        <w:rPr>
          <w:rFonts w:ascii="宋体" w:eastAsia="宋体" w:hAnsi="宋体" w:cs="Times New Roman"/>
          <w:sz w:val="24"/>
          <w:szCs w:val="24"/>
        </w:rPr>
        <w:t>之日起生效。</w:t>
      </w:r>
      <w:r>
        <w:rPr>
          <w:rFonts w:ascii="宋体" w:eastAsia="宋体" w:hAnsi="宋体" w:cs="Times New Roman" w:hint="eastAsia"/>
          <w:sz w:val="24"/>
          <w:szCs w:val="24"/>
        </w:rPr>
        <w:t>双</w:t>
      </w:r>
      <w:r>
        <w:rPr>
          <w:rFonts w:ascii="宋体" w:eastAsia="宋体" w:hAnsi="宋体" w:cs="Times New Roman"/>
          <w:sz w:val="24"/>
          <w:szCs w:val="24"/>
        </w:rPr>
        <w:t>方认可线上点击同意具有与书面签署同等的法律效力</w:t>
      </w:r>
      <w:r>
        <w:rPr>
          <w:rFonts w:ascii="宋体" w:eastAsia="宋体" w:hAnsi="宋体" w:cs="Times New Roman" w:hint="eastAsia"/>
          <w:sz w:val="24"/>
          <w:szCs w:val="24"/>
        </w:rPr>
        <w:t>。</w:t>
      </w:r>
    </w:p>
    <w:p w:rsidR="00156F5C" w14:paraId="38BF9F8B" w14:textId="77777777">
      <w:pPr>
        <w:pStyle w:val="ListParagraph"/>
        <w:spacing w:line="360" w:lineRule="auto"/>
        <w:ind w:firstLine="482"/>
      </w:pPr>
      <w:r>
        <w:rPr>
          <w:rFonts w:ascii="宋体" w:eastAsia="宋体" w:hAnsi="宋体" w:cs="Times New Roman" w:hint="eastAsia"/>
          <w:b/>
          <w:sz w:val="24"/>
          <w:szCs w:val="24"/>
        </w:rPr>
        <w:t>通过线</w:t>
      </w:r>
      <w:r>
        <w:rPr>
          <w:rFonts w:ascii="宋体" w:eastAsia="宋体" w:hAnsi="宋体" w:cs="Times New Roman" w:hint="eastAsia"/>
          <w:b/>
          <w:sz w:val="24"/>
          <w:szCs w:val="24"/>
        </w:rPr>
        <w:t>上渠道认</w:t>
      </w:r>
      <w:r>
        <w:rPr>
          <w:rFonts w:ascii="宋体" w:eastAsia="宋体" w:hAnsi="宋体" w:cs="Times New Roman" w:hint="eastAsia"/>
          <w:b/>
          <w:sz w:val="24"/>
          <w:szCs w:val="24"/>
        </w:rPr>
        <w:t>（申）购</w:t>
      </w:r>
      <w:r>
        <w:rPr>
          <w:rFonts w:ascii="宋体" w:eastAsia="宋体" w:hAnsi="宋体" w:cs="Times New Roman"/>
          <w:b/>
          <w:sz w:val="24"/>
          <w:szCs w:val="24"/>
        </w:rPr>
        <w:t>时，甲方使用的身份认证要素（包括但不限</w:t>
      </w:r>
      <w:r>
        <w:rPr>
          <w:rFonts w:ascii="宋体" w:eastAsia="宋体" w:hAnsi="宋体" w:cs="Times New Roman" w:hint="eastAsia"/>
          <w:b/>
          <w:sz w:val="24"/>
          <w:szCs w:val="24"/>
        </w:rPr>
        <w:t>于账号、</w:t>
      </w:r>
      <w:r>
        <w:rPr>
          <w:rFonts w:ascii="宋体" w:eastAsia="宋体" w:hAnsi="宋体" w:cs="Times New Roman" w:hint="eastAsia"/>
          <w:b/>
          <w:sz w:val="24"/>
          <w:szCs w:val="24"/>
        </w:rPr>
        <w:t>网银登录</w:t>
      </w:r>
      <w:r>
        <w:rPr>
          <w:rFonts w:ascii="宋体" w:eastAsia="宋体" w:hAnsi="宋体" w:cs="Times New Roman" w:hint="eastAsia"/>
          <w:b/>
          <w:sz w:val="24"/>
          <w:szCs w:val="24"/>
        </w:rPr>
        <w:t>名、证件号码、手机号码、密码、数字证书、</w:t>
      </w:r>
      <w:r>
        <w:rPr>
          <w:rFonts w:ascii="宋体" w:eastAsia="宋体" w:hAnsi="宋体" w:cs="Times New Roman"/>
          <w:b/>
          <w:sz w:val="24"/>
          <w:szCs w:val="24"/>
        </w:rPr>
        <w:t>USBKey</w:t>
      </w:r>
      <w:r>
        <w:rPr>
          <w:rFonts w:ascii="宋体" w:eastAsia="宋体" w:hAnsi="宋体" w:cs="Times New Roman"/>
          <w:b/>
          <w:sz w:val="24"/>
          <w:szCs w:val="24"/>
        </w:rPr>
        <w:t>、动态密码等）或其他交</w:t>
      </w:r>
      <w:r>
        <w:rPr>
          <w:rFonts w:ascii="宋体" w:eastAsia="宋体" w:hAnsi="宋体" w:cs="Times New Roman" w:hint="eastAsia"/>
          <w:b/>
          <w:sz w:val="24"/>
          <w:szCs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或代理销售机构系统而提出异议。</w:t>
      </w:r>
    </w:p>
    <w:p w:rsidR="00156F5C" w14:paraId="2A587502" w14:textId="77777777">
      <w:pPr>
        <w:widowControl/>
        <w:spacing w:line="360" w:lineRule="auto"/>
        <w:ind w:firstLine="480" w:firstLineChars="200"/>
        <w:jc w:val="left"/>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3、甲方知悉并确认，乙方对于理财产品项下甲方认（申）购</w:t>
      </w:r>
      <w:r>
        <w:rPr>
          <w:rFonts w:ascii="宋体" w:eastAsia="宋体" w:hAnsi="宋体" w:cs="宋体"/>
          <w:bCs/>
          <w:color w:val="000000"/>
          <w:kern w:val="0"/>
          <w:sz w:val="24"/>
          <w:szCs w:val="24"/>
        </w:rPr>
        <w:t>份额的确认即视为乙方对于本协议的签署和认可，受本协议约束，甲方不得以乙方不在本协议中</w:t>
      </w:r>
      <w:r>
        <w:rPr>
          <w:rFonts w:ascii="宋体" w:eastAsia="宋体" w:hAnsi="宋体" w:cs="宋体" w:hint="eastAsia"/>
          <w:bCs/>
          <w:color w:val="000000"/>
          <w:kern w:val="0"/>
          <w:sz w:val="24"/>
          <w:szCs w:val="24"/>
        </w:rPr>
        <w:t>签名或</w:t>
      </w:r>
      <w:r>
        <w:rPr>
          <w:rFonts w:ascii="宋体" w:eastAsia="宋体" w:hAnsi="宋体" w:cs="宋体"/>
          <w:bCs/>
          <w:color w:val="000000"/>
          <w:kern w:val="0"/>
          <w:sz w:val="24"/>
          <w:szCs w:val="24"/>
        </w:rPr>
        <w:t>签章为由主张本协议不成立或不生效</w:t>
      </w:r>
      <w:r>
        <w:rPr>
          <w:rFonts w:ascii="宋体" w:eastAsia="宋体" w:hAnsi="宋体" w:cs="宋体" w:hint="eastAsia"/>
          <w:bCs/>
          <w:color w:val="000000"/>
          <w:kern w:val="0"/>
          <w:sz w:val="24"/>
          <w:szCs w:val="24"/>
        </w:rPr>
        <w:t>。</w:t>
      </w:r>
    </w:p>
    <w:p w:rsidR="00156F5C" w14:paraId="1E8D9B94" w14:textId="77777777">
      <w:pPr>
        <w:widowControl/>
        <w:spacing w:line="360" w:lineRule="auto"/>
        <w:ind w:firstLine="480" w:firstLineChars="200"/>
        <w:jc w:val="left"/>
        <w:rPr>
          <w:rFonts w:ascii="宋体" w:eastAsia="宋体" w:hAnsi="宋体" w:cs="Times New Roman"/>
          <w:b/>
          <w:sz w:val="24"/>
          <w:szCs w:val="24"/>
        </w:rPr>
      </w:pPr>
      <w:r>
        <w:rPr>
          <w:rFonts w:ascii="宋体" w:eastAsia="宋体" w:hAnsi="宋体" w:cs="宋体"/>
          <w:color w:val="000000"/>
          <w:kern w:val="0"/>
          <w:sz w:val="24"/>
          <w:szCs w:val="24"/>
        </w:rPr>
        <w:t>4、</w:t>
      </w:r>
      <w:r>
        <w:rPr>
          <w:rFonts w:ascii="宋体" w:eastAsia="宋体" w:hAnsi="宋体" w:cs="宋体" w:hint="eastAsia"/>
          <w:b/>
          <w:color w:val="000000"/>
          <w:kern w:val="0"/>
          <w:sz w:val="24"/>
          <w:szCs w:val="24"/>
        </w:rPr>
        <w:t>甲方通过乙方</w:t>
      </w:r>
      <w:r>
        <w:rPr>
          <w:rFonts w:ascii="宋体" w:eastAsia="宋体" w:hAnsi="宋体" w:cs="Times New Roman" w:hint="eastAsia"/>
          <w:b/>
          <w:sz w:val="24"/>
          <w:szCs w:val="24"/>
        </w:rPr>
        <w:t>或</w:t>
      </w:r>
      <w:r>
        <w:rPr>
          <w:rFonts w:ascii="宋体" w:eastAsia="宋体" w:hAnsi="宋体" w:cs="宋体" w:hint="eastAsia"/>
          <w:b/>
          <w:color w:val="000000"/>
          <w:kern w:val="0"/>
          <w:sz w:val="24"/>
          <w:szCs w:val="24"/>
        </w:rPr>
        <w:t>代理销售机构提交的有效理财产品认（申）购</w:t>
      </w:r>
      <w:r>
        <w:rPr>
          <w:rFonts w:ascii="宋体" w:eastAsia="宋体" w:hAnsi="宋体" w:cs="宋体"/>
          <w:b/>
          <w:color w:val="000000"/>
          <w:kern w:val="0"/>
          <w:sz w:val="24"/>
          <w:szCs w:val="24"/>
        </w:rPr>
        <w:t>/撤单申请，</w:t>
      </w:r>
      <w:r>
        <w:rPr>
          <w:rFonts w:ascii="宋体" w:eastAsia="宋体" w:hAnsi="宋体" w:cs="宋体" w:hint="eastAsia"/>
          <w:b/>
          <w:color w:val="000000"/>
          <w:kern w:val="0"/>
          <w:sz w:val="24"/>
          <w:szCs w:val="24"/>
        </w:rPr>
        <w:t>并不意味着理财产品认（申）购</w:t>
      </w:r>
      <w:r>
        <w:rPr>
          <w:rFonts w:ascii="宋体" w:eastAsia="宋体" w:hAnsi="宋体" w:cs="宋体"/>
          <w:b/>
          <w:color w:val="000000"/>
          <w:kern w:val="0"/>
          <w:sz w:val="24"/>
          <w:szCs w:val="24"/>
        </w:rPr>
        <w:t>/撤单一定成功，具体</w:t>
      </w:r>
      <w:r>
        <w:rPr>
          <w:rFonts w:ascii="宋体" w:eastAsia="宋体" w:hAnsi="宋体" w:cs="宋体" w:hint="eastAsia"/>
          <w:b/>
          <w:kern w:val="0"/>
          <w:sz w:val="24"/>
          <w:szCs w:val="24"/>
        </w:rPr>
        <w:t>认（申）购</w:t>
      </w:r>
      <w:r>
        <w:rPr>
          <w:rFonts w:ascii="宋体" w:eastAsia="宋体" w:hAnsi="宋体" w:cs="宋体"/>
          <w:b/>
          <w:color w:val="000000"/>
          <w:kern w:val="0"/>
          <w:sz w:val="24"/>
          <w:szCs w:val="24"/>
        </w:rPr>
        <w:t>/撤单的受理结果根据《</w:t>
      </w:r>
      <w:r>
        <w:rPr>
          <w:rFonts w:ascii="宋体" w:eastAsia="宋体" w:hAnsi="宋体" w:cs="宋体" w:hint="eastAsia"/>
          <w:b/>
          <w:color w:val="000000"/>
          <w:kern w:val="0"/>
          <w:sz w:val="24"/>
          <w:szCs w:val="24"/>
        </w:rPr>
        <w:t>理财产品说明书》约定执行。</w:t>
      </w:r>
    </w:p>
    <w:p w:rsidR="00156F5C" w14:paraId="39964C0A" w14:textId="77777777">
      <w:pPr>
        <w:widowControl/>
        <w:spacing w:line="360" w:lineRule="auto"/>
        <w:ind w:firstLine="480" w:firstLineChars="200"/>
        <w:jc w:val="left"/>
        <w:rPr>
          <w:rFonts w:ascii="宋体" w:eastAsia="宋体" w:hAnsi="宋体" w:cs="宋体"/>
          <w:bCs/>
          <w:color w:val="000000"/>
          <w:kern w:val="0"/>
          <w:sz w:val="24"/>
          <w:szCs w:val="24"/>
        </w:rPr>
      </w:pPr>
      <w:r>
        <w:rPr>
          <w:rFonts w:ascii="宋体" w:eastAsia="宋体" w:hAnsi="宋体" w:cs="Times New Roman" w:hint="eastAsia"/>
          <w:sz w:val="24"/>
          <w:szCs w:val="24"/>
        </w:rPr>
        <w:t>5、</w:t>
      </w:r>
      <w:r>
        <w:rPr>
          <w:rFonts w:ascii="宋体" w:eastAsia="宋体" w:hAnsi="宋体" w:cs="宋体" w:hint="eastAsia"/>
          <w:b/>
          <w:bCs/>
          <w:color w:val="000000"/>
          <w:kern w:val="0"/>
          <w:sz w:val="24"/>
          <w:szCs w:val="24"/>
        </w:rPr>
        <w:t>甲方通过代理销售机构购买乙方理财产品时，甲方若需针对产品相关事项进行咨询或投诉，可与乙方或代理销售机构联系，乙方或代理销售机构将及时接听、记录甲方的意见或建议，并与甲方协商共同解决。</w:t>
      </w:r>
    </w:p>
    <w:p w:rsidR="00156F5C" w14:paraId="55EFFC37" w14:textId="77777777">
      <w:pPr>
        <w:widowControl/>
        <w:spacing w:line="360" w:lineRule="auto"/>
        <w:ind w:firstLine="480" w:firstLineChars="200"/>
        <w:jc w:val="left"/>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本协议生效后</w:t>
      </w:r>
      <w:r>
        <w:rPr>
          <w:rFonts w:ascii="宋体" w:eastAsia="宋体" w:hAnsi="宋体" w:cs="Times New Roman"/>
          <w:sz w:val="24"/>
          <w:szCs w:val="24"/>
        </w:rPr>
        <w:t>,甲方在乙方认</w:t>
      </w:r>
      <w:r>
        <w:rPr>
          <w:rFonts w:ascii="宋体" w:eastAsia="宋体" w:hAnsi="宋体" w:cs="Times New Roman" w:hint="eastAsia"/>
          <w:sz w:val="24"/>
          <w:szCs w:val="24"/>
        </w:rPr>
        <w:t>（申）</w:t>
      </w:r>
      <w:r>
        <w:rPr>
          <w:rFonts w:ascii="宋体" w:eastAsia="宋体" w:hAnsi="宋体" w:cs="Times New Roman"/>
          <w:sz w:val="24"/>
          <w:szCs w:val="24"/>
        </w:rPr>
        <w:t>购</w:t>
      </w:r>
      <w:r>
        <w:rPr>
          <w:rFonts w:ascii="宋体" w:eastAsia="宋体" w:hAnsi="宋体" w:cs="Times New Roman" w:hint="eastAsia"/>
          <w:sz w:val="24"/>
          <w:szCs w:val="24"/>
        </w:rPr>
        <w:t>或赎回本</w:t>
      </w:r>
      <w:r>
        <w:rPr>
          <w:rFonts w:ascii="宋体" w:eastAsia="宋体" w:hAnsi="宋体" w:cs="Times New Roman"/>
          <w:sz w:val="24"/>
          <w:szCs w:val="24"/>
        </w:rPr>
        <w:t>产品</w:t>
      </w:r>
      <w:r>
        <w:rPr>
          <w:rFonts w:ascii="宋体" w:eastAsia="宋体" w:hAnsi="宋体" w:cs="Times New Roman" w:hint="eastAsia"/>
          <w:sz w:val="24"/>
          <w:szCs w:val="24"/>
        </w:rPr>
        <w:t>的任何行为</w:t>
      </w:r>
      <w:r>
        <w:rPr>
          <w:rFonts w:ascii="宋体" w:eastAsia="宋体" w:hAnsi="宋体" w:cs="Times New Roman"/>
          <w:sz w:val="24"/>
          <w:szCs w:val="24"/>
        </w:rPr>
        <w:t>均适用本协议，但本协议不作为甲方认</w:t>
      </w:r>
      <w:r>
        <w:rPr>
          <w:rFonts w:ascii="宋体" w:eastAsia="宋体" w:hAnsi="宋体" w:cs="Times New Roman" w:hint="eastAsia"/>
          <w:sz w:val="24"/>
          <w:szCs w:val="24"/>
        </w:rPr>
        <w:t>（申）</w:t>
      </w:r>
      <w:r>
        <w:rPr>
          <w:rFonts w:ascii="宋体" w:eastAsia="宋体" w:hAnsi="宋体" w:cs="Times New Roman"/>
          <w:sz w:val="24"/>
          <w:szCs w:val="24"/>
        </w:rPr>
        <w:t xml:space="preserve">购或持有乙方管理的特定理财产品的凭证。 </w:t>
      </w:r>
    </w:p>
    <w:p w:rsidR="00156F5C" w14:paraId="72ABA8FD" w14:textId="0D22F869">
      <w:pPr>
        <w:widowControl/>
        <w:spacing w:line="360" w:lineRule="auto"/>
        <w:ind w:firstLine="480" w:firstLineChars="200"/>
        <w:jc w:val="left"/>
        <w:rPr>
          <w:rFonts w:ascii="宋体" w:eastAsia="宋体" w:hAnsi="宋体" w:cs="Times New Roman"/>
          <w:b/>
          <w:bCs/>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乙方有权不定期对本协议进行更新，</w:t>
      </w:r>
      <w:r>
        <w:rPr>
          <w:rFonts w:ascii="宋体" w:eastAsia="宋体" w:hAnsi="宋体" w:cs="Times New Roman" w:hint="eastAsia"/>
          <w:sz w:val="24"/>
          <w:szCs w:val="24"/>
        </w:rPr>
        <w:t>通过乙方官</w:t>
      </w:r>
      <w:r>
        <w:rPr>
          <w:rFonts w:ascii="宋体" w:eastAsia="宋体" w:hAnsi="宋体" w:cs="Times New Roman"/>
          <w:sz w:val="24"/>
          <w:szCs w:val="24"/>
        </w:rPr>
        <w:t>网（</w:t>
      </w:r>
      <w:r w:rsidRPr="004A5F1C" w:rsidR="004A5F1C">
        <w:rPr>
          <w:rFonts w:ascii="宋体" w:eastAsia="宋体" w:hAnsi="宋体" w:cs="Times New Roman"/>
          <w:sz w:val="24"/>
          <w:szCs w:val="24"/>
        </w:rPr>
        <w:t>www.wmbnb.com</w:t>
      </w:r>
      <w:r>
        <w:rPr>
          <w:rFonts w:ascii="宋体" w:eastAsia="宋体" w:hAnsi="宋体" w:cs="Times New Roman"/>
          <w:sz w:val="24"/>
          <w:szCs w:val="24"/>
        </w:rPr>
        <w:t>）、相关理财代理销售机构官方渠道或其他</w:t>
      </w:r>
      <w:r>
        <w:rPr>
          <w:rFonts w:ascii="宋体" w:eastAsia="宋体" w:hAnsi="宋体" w:cs="Times New Roman" w:hint="eastAsia"/>
          <w:sz w:val="24"/>
          <w:szCs w:val="24"/>
        </w:rPr>
        <w:t>适当的</w:t>
      </w:r>
      <w:r>
        <w:rPr>
          <w:rFonts w:ascii="宋体" w:eastAsia="宋体" w:hAnsi="宋体" w:cs="Times New Roman"/>
          <w:sz w:val="24"/>
          <w:szCs w:val="24"/>
        </w:rPr>
        <w:t>方式进行信息披露（具体产品的信息披露方式、频率等</w:t>
      </w:r>
      <w:r>
        <w:rPr>
          <w:rFonts w:ascii="宋体" w:eastAsia="宋体" w:hAnsi="宋体" w:cs="Times New Roman"/>
          <w:sz w:val="24"/>
          <w:szCs w:val="24"/>
        </w:rPr>
        <w:t>规则见</w:t>
      </w:r>
      <w:r>
        <w:rPr>
          <w:rFonts w:ascii="宋体" w:eastAsia="宋体" w:hAnsi="宋体" w:cs="Times New Roman"/>
          <w:sz w:val="24"/>
          <w:szCs w:val="24"/>
        </w:rPr>
        <w:t>《理财产品说明书》）。</w:t>
      </w:r>
      <w:r>
        <w:rPr>
          <w:rFonts w:ascii="宋体" w:eastAsia="宋体" w:hAnsi="宋体" w:cs="Times New Roman"/>
          <w:b/>
          <w:bCs/>
          <w:sz w:val="24"/>
          <w:szCs w:val="24"/>
        </w:rPr>
        <w:t>乙方更新本协议并进行披露后，如甲方购买</w:t>
      </w:r>
      <w:r>
        <w:rPr>
          <w:rFonts w:ascii="宋体" w:eastAsia="宋体" w:hAnsi="宋体" w:cs="Times New Roman" w:hint="eastAsia"/>
          <w:b/>
          <w:bCs/>
          <w:sz w:val="24"/>
          <w:szCs w:val="24"/>
        </w:rPr>
        <w:t>、</w:t>
      </w:r>
      <w:r>
        <w:rPr>
          <w:rFonts w:ascii="宋体" w:eastAsia="宋体" w:hAnsi="宋体" w:cs="Times New Roman"/>
          <w:b/>
          <w:bCs/>
          <w:sz w:val="24"/>
          <w:szCs w:val="24"/>
        </w:rPr>
        <w:t>或继续持有</w:t>
      </w:r>
      <w:r>
        <w:rPr>
          <w:rFonts w:ascii="宋体" w:eastAsia="宋体" w:hAnsi="宋体" w:cs="Times New Roman" w:hint="eastAsia"/>
          <w:b/>
          <w:bCs/>
          <w:sz w:val="24"/>
          <w:szCs w:val="24"/>
        </w:rPr>
        <w:t>本</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，则视为甲方完全接受</w:t>
      </w:r>
      <w:r>
        <w:rPr>
          <w:rFonts w:ascii="宋体" w:eastAsia="宋体" w:hAnsi="宋体" w:cs="Times New Roman" w:hint="eastAsia"/>
          <w:b/>
          <w:bCs/>
          <w:sz w:val="24"/>
          <w:szCs w:val="24"/>
        </w:rPr>
        <w:t>最新版本协议</w:t>
      </w:r>
      <w:r>
        <w:rPr>
          <w:rFonts w:ascii="宋体" w:eastAsia="宋体" w:hAnsi="宋体" w:cs="Times New Roman"/>
          <w:b/>
          <w:bCs/>
          <w:sz w:val="24"/>
          <w:szCs w:val="24"/>
        </w:rPr>
        <w:t>的所有内容。</w:t>
      </w:r>
    </w:p>
    <w:p w:rsidR="00156F5C" w14:paraId="52EE1D96" w14:textId="1924FD3A">
      <w:pPr>
        <w:widowControl/>
        <w:spacing w:line="360" w:lineRule="auto"/>
        <w:ind w:firstLine="480" w:firstLineChars="200"/>
        <w:jc w:val="left"/>
        <w:rPr>
          <w:rFonts w:ascii="宋体" w:eastAsia="宋体" w:hAnsi="宋体" w:cs="Times New Roman"/>
          <w:b/>
          <w:sz w:val="24"/>
          <w:szCs w:val="24"/>
        </w:rPr>
      </w:pPr>
      <w:r>
        <w:rPr>
          <w:rFonts w:ascii="宋体" w:eastAsia="宋体" w:hAnsi="宋体" w:cs="Times New Roman" w:hint="eastAsia"/>
          <w:b/>
          <w:bCs/>
          <w:sz w:val="24"/>
          <w:szCs w:val="24"/>
        </w:rPr>
        <w:t>8、</w:t>
      </w:r>
      <w:r>
        <w:rPr>
          <w:rFonts w:ascii="宋体" w:eastAsia="宋体" w:hAnsi="宋体" w:cs="Times New Roman" w:hint="eastAsia"/>
          <w:b/>
          <w:sz w:val="24"/>
          <w:szCs w:val="24"/>
        </w:rPr>
        <w:t>双方一致同意本协议履行地为浙江省宁波市</w:t>
      </w:r>
      <w:r>
        <w:rPr>
          <w:rFonts w:ascii="宋体" w:eastAsia="宋体" w:hAnsi="宋体" w:cs="Times New Roman" w:hint="eastAsia"/>
          <w:b/>
          <w:sz w:val="24"/>
          <w:szCs w:val="24"/>
        </w:rPr>
        <w:t>鄞</w:t>
      </w:r>
      <w:r>
        <w:rPr>
          <w:rFonts w:ascii="宋体" w:eastAsia="宋体" w:hAnsi="宋体" w:cs="Times New Roman" w:hint="eastAsia"/>
          <w:b/>
          <w:sz w:val="24"/>
          <w:szCs w:val="24"/>
        </w:rPr>
        <w:t>州区。</w:t>
      </w:r>
    </w:p>
    <w:p w:rsidR="00156F5C" w14:paraId="3E7ED80A" w14:textId="77777777">
      <w:pPr>
        <w:pStyle w:val="ListParagraph"/>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（二）协议终止</w:t>
      </w:r>
    </w:p>
    <w:p w:rsidR="00156F5C" w14:paraId="2332C14A"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1、除《理财产品说明书》约定的提前终止情形外，甲方</w:t>
      </w:r>
      <w:r>
        <w:rPr>
          <w:rFonts w:ascii="宋体" w:eastAsia="宋体" w:hAnsi="宋体" w:cs="Times New Roman" w:hint="eastAsia"/>
          <w:b/>
          <w:sz w:val="24"/>
          <w:szCs w:val="24"/>
        </w:rPr>
        <w:t>发生违反理财产品销售文件的违约行为或交易资金被国家有权机关采取冻结、扣划等保全措施时，乙方有权提前终止本协议，造成甲方损失的，乙方不承担责任。</w:t>
      </w:r>
    </w:p>
    <w:p w:rsidR="00156F5C" w14:paraId="6D2DFC90" w14:textId="77777777">
      <w:pPr>
        <w:spacing w:line="360" w:lineRule="auto"/>
        <w:ind w:firstLine="480" w:firstLineChars="200"/>
        <w:rPr>
          <w:rFonts w:ascii="宋体" w:eastAsia="宋体" w:hAnsi="宋体" w:cs="Times New Roman"/>
          <w:b/>
          <w:sz w:val="24"/>
          <w:szCs w:val="24"/>
        </w:rPr>
      </w:pPr>
      <w:r>
        <w:rPr>
          <w:rFonts w:ascii="宋体" w:eastAsia="宋体" w:hAnsi="宋体" w:cs="Times New Roman"/>
          <w:b/>
          <w:sz w:val="24"/>
          <w:szCs w:val="24"/>
        </w:rPr>
        <w:t>2、如甲方拒绝配合乙方开展尽职调查，或</w:t>
      </w:r>
      <w:r>
        <w:rPr>
          <w:rFonts w:ascii="宋体" w:eastAsia="宋体" w:hAnsi="宋体" w:cs="Times New Roman" w:hint="eastAsia"/>
          <w:b/>
          <w:sz w:val="24"/>
          <w:szCs w:val="24"/>
        </w:rPr>
        <w:t>者乙方发现有关甲方交易存在违法违规，或者乙方发现或有合理理由怀疑甲方或其资金存在洗钱、欺诈、侵权、贩毒、恐怖融资、逃税、侵犯知识产权或其他违法犯罪活动，或者甲方或其交易等被列入国际组织、中国或其他国家发布的制裁名单或制裁范围，乙方有权提前终止本协议，造成甲方损失的，乙方不承担责任。</w:t>
      </w:r>
    </w:p>
    <w:p w:rsidR="00156F5C" w14:paraId="183F017F"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3、乙方宣布本理财产品设立失败、乙方或投资者提前终止理财产品（包括但</w:t>
      </w:r>
      <w:r>
        <w:rPr>
          <w:rFonts w:ascii="宋体" w:eastAsia="宋体" w:hAnsi="宋体" w:cs="Times New Roman"/>
          <w:sz w:val="24"/>
          <w:szCs w:val="24"/>
        </w:rPr>
        <w:t>不限于</w:t>
      </w:r>
      <w:r>
        <w:rPr>
          <w:rFonts w:ascii="宋体" w:eastAsia="宋体" w:hAnsi="宋体" w:cs="Times New Roman" w:hint="eastAsia"/>
          <w:sz w:val="24"/>
          <w:szCs w:val="24"/>
        </w:rPr>
        <w:t>投资者全部赎回理财产品份额）或者理财产品到期并完成清算分配后，本协议自动终止。</w:t>
      </w:r>
    </w:p>
    <w:p w:rsidR="00156F5C" w14:paraId="44292F3E"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b/>
          <w:sz w:val="24"/>
          <w:szCs w:val="24"/>
        </w:rPr>
        <w:t>甲方通过乙方或代理销售机构提交的有效理财产品赎回</w:t>
      </w:r>
      <w:r>
        <w:rPr>
          <w:rFonts w:ascii="宋体" w:eastAsia="宋体" w:hAnsi="宋体" w:cs="Times New Roman"/>
          <w:b/>
          <w:sz w:val="24"/>
          <w:szCs w:val="24"/>
        </w:rPr>
        <w:t>/撤单申请，并不意味着理</w:t>
      </w:r>
      <w:r>
        <w:rPr>
          <w:rFonts w:ascii="宋体" w:eastAsia="宋体" w:hAnsi="宋体" w:cs="Times New Roman" w:hint="eastAsia"/>
          <w:b/>
          <w:sz w:val="24"/>
          <w:szCs w:val="24"/>
        </w:rPr>
        <w:t>财产品赎回</w:t>
      </w:r>
      <w:r>
        <w:rPr>
          <w:rFonts w:ascii="宋体" w:eastAsia="宋体" w:hAnsi="宋体" w:cs="Times New Roman"/>
          <w:b/>
          <w:sz w:val="24"/>
          <w:szCs w:val="24"/>
        </w:rPr>
        <w:t>/撤单一定成功，具体赎回/撤单的受理结果根据《</w:t>
      </w:r>
      <w:r>
        <w:rPr>
          <w:rFonts w:ascii="宋体" w:eastAsia="宋体" w:hAnsi="宋体" w:cs="Times New Roman" w:hint="eastAsia"/>
          <w:b/>
          <w:sz w:val="24"/>
          <w:szCs w:val="24"/>
        </w:rPr>
        <w:t>理财</w:t>
      </w:r>
      <w:r>
        <w:rPr>
          <w:rFonts w:ascii="宋体" w:eastAsia="宋体" w:hAnsi="宋体" w:cs="Times New Roman"/>
          <w:b/>
          <w:sz w:val="24"/>
          <w:szCs w:val="24"/>
        </w:rPr>
        <w:t>产品说明书》约定</w:t>
      </w:r>
      <w:r>
        <w:rPr>
          <w:rFonts w:ascii="宋体" w:eastAsia="宋体" w:hAnsi="宋体" w:cs="Times New Roman" w:hint="eastAsia"/>
          <w:b/>
          <w:sz w:val="24"/>
          <w:szCs w:val="24"/>
        </w:rPr>
        <w:t>执行。</w:t>
      </w:r>
    </w:p>
    <w:p w:rsidR="00156F5C" w14:paraId="7B0629A6" w14:textId="77777777">
      <w:pPr>
        <w:spacing w:line="360" w:lineRule="auto"/>
        <w:ind w:firstLine="480" w:firstLineChars="200"/>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本协议及《</w:t>
      </w:r>
      <w:r>
        <w:rPr>
          <w:rFonts w:ascii="宋体" w:eastAsia="宋体" w:hAnsi="宋体" w:cs="Times New Roman" w:hint="eastAsia"/>
          <w:sz w:val="24"/>
          <w:szCs w:val="24"/>
        </w:rPr>
        <w:t>理财</w:t>
      </w:r>
      <w:r>
        <w:rPr>
          <w:rFonts w:ascii="宋体" w:eastAsia="宋体" w:hAnsi="宋体" w:cs="Times New Roman"/>
          <w:sz w:val="24"/>
          <w:szCs w:val="24"/>
        </w:rPr>
        <w:t>产品说明书》项</w:t>
      </w:r>
      <w:r>
        <w:rPr>
          <w:rFonts w:ascii="宋体" w:eastAsia="宋体" w:hAnsi="宋体" w:cs="Times New Roman"/>
          <w:sz w:val="24"/>
          <w:szCs w:val="24"/>
        </w:rPr>
        <w:t>下各方</w:t>
      </w:r>
      <w:r>
        <w:rPr>
          <w:rFonts w:ascii="宋体" w:eastAsia="宋体" w:hAnsi="宋体" w:cs="Times New Roman"/>
          <w:sz w:val="24"/>
          <w:szCs w:val="24"/>
        </w:rPr>
        <w:t>权利义务履行完毕之日，本协议自动终</w:t>
      </w:r>
      <w:r>
        <w:rPr>
          <w:rFonts w:ascii="宋体" w:eastAsia="宋体" w:hAnsi="宋体" w:cs="Times New Roman" w:hint="eastAsia"/>
          <w:sz w:val="24"/>
          <w:szCs w:val="24"/>
        </w:rPr>
        <w:t>止。</w:t>
      </w:r>
    </w:p>
    <w:p w:rsidR="00156F5C" w14:paraId="3678B420" w14:textId="77777777">
      <w:pPr>
        <w:pStyle w:val="ListParagraph"/>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第八条</w:t>
      </w:r>
      <w:r>
        <w:rPr>
          <w:rFonts w:ascii="宋体" w:eastAsia="宋体" w:hAnsi="宋体" w:cs="Times New Roman"/>
          <w:sz w:val="24"/>
          <w:szCs w:val="24"/>
        </w:rPr>
        <w:t xml:space="preserve"> </w:t>
      </w:r>
      <w:r>
        <w:rPr>
          <w:rFonts w:ascii="宋体" w:eastAsia="宋体" w:hAnsi="宋体" w:cs="Times New Roman" w:hint="eastAsia"/>
          <w:b/>
          <w:sz w:val="24"/>
          <w:szCs w:val="24"/>
        </w:rPr>
        <w:t>本协议与本理财产品的《理财产品说明书》、《风险揭示书》、《销售（代理销售）协议书》、《投资者权益须知》等理财产品销售文件共同构成一份完整且不可分割的、关于甲方所投资乙方发行</w:t>
      </w:r>
      <w:r>
        <w:rPr>
          <w:rFonts w:ascii="宋体" w:eastAsia="宋体" w:hAnsi="宋体" w:cs="Times New Roman"/>
          <w:b/>
          <w:sz w:val="24"/>
          <w:szCs w:val="24"/>
        </w:rPr>
        <w:t>管理的本</w:t>
      </w:r>
      <w:r>
        <w:rPr>
          <w:rFonts w:ascii="宋体" w:eastAsia="宋体" w:hAnsi="宋体" w:cs="Times New Roman" w:hint="eastAsia"/>
          <w:b/>
          <w:sz w:val="24"/>
          <w:szCs w:val="24"/>
        </w:rPr>
        <w:t>理财产品的全部协议。本协议与《理财产品说明书》不一致的，以《理财产品说明书》为准。如果因任何原因使本协议项下的任何条款或内容无效或被依法撤销，本协议其他条款或内容的合法性、有效性和</w:t>
      </w:r>
      <w:r>
        <w:rPr>
          <w:rFonts w:ascii="宋体" w:eastAsia="宋体" w:hAnsi="宋体" w:cs="Times New Roman" w:hint="eastAsia"/>
          <w:b/>
          <w:sz w:val="24"/>
          <w:szCs w:val="24"/>
        </w:rPr>
        <w:t>可</w:t>
      </w:r>
      <w:r>
        <w:rPr>
          <w:rFonts w:ascii="宋体" w:eastAsia="宋体" w:hAnsi="宋体" w:cs="Times New Roman" w:hint="eastAsia"/>
          <w:b/>
          <w:sz w:val="24"/>
          <w:szCs w:val="24"/>
        </w:rPr>
        <w:t>执行性不受影响。</w:t>
      </w:r>
    </w:p>
    <w:p w:rsidR="00156F5C" w14:paraId="4FA2FBFA" w14:textId="77777777">
      <w:pPr>
        <w:pStyle w:val="ListParagraph"/>
        <w:spacing w:line="360" w:lineRule="auto"/>
        <w:ind w:firstLine="480"/>
        <w:rPr>
          <w:rFonts w:ascii="宋体" w:eastAsia="宋体" w:hAnsi="宋体" w:cs="Times New Roman"/>
          <w:sz w:val="24"/>
          <w:szCs w:val="24"/>
        </w:rPr>
      </w:pPr>
    </w:p>
    <w:p w:rsidR="00156F5C" w14:paraId="3AA9832E" w14:textId="77777777">
      <w:pPr>
        <w:pStyle w:val="ListParagraph"/>
        <w:spacing w:line="360" w:lineRule="auto"/>
        <w:ind w:firstLine="482"/>
        <w:rPr>
          <w:rFonts w:ascii="宋体" w:eastAsia="宋体" w:hAnsi="宋体" w:cs="Times New Roman"/>
          <w:b/>
          <w:sz w:val="24"/>
          <w:szCs w:val="24"/>
        </w:rPr>
      </w:pPr>
      <w:r>
        <w:rPr>
          <w:rFonts w:ascii="宋体" w:eastAsia="宋体" w:hAnsi="宋体" w:cs="Times New Roman" w:hint="eastAsia"/>
          <w:b/>
          <w:sz w:val="24"/>
          <w:szCs w:val="24"/>
        </w:rPr>
        <w:t>声明：甲方是具有完全民事行为能力的自然人/法人/其他</w:t>
      </w:r>
      <w:r>
        <w:rPr>
          <w:rFonts w:ascii="宋体" w:eastAsia="宋体" w:hAnsi="宋体" w:cs="Times New Roman"/>
          <w:b/>
          <w:sz w:val="24"/>
          <w:szCs w:val="24"/>
        </w:rPr>
        <w:t>组织</w:t>
      </w:r>
      <w:r>
        <w:rPr>
          <w:rFonts w:ascii="宋体" w:eastAsia="宋体" w:hAnsi="宋体" w:cs="Times New Roman" w:hint="eastAsia"/>
          <w:b/>
          <w:sz w:val="24"/>
          <w:szCs w:val="24"/>
        </w:rPr>
        <w:t>，自愿投资本理财产品，接受乙方提供的投资理财服务。甲方确认已完整阅读本理财产品的《理财产品说明书》、《风险揭示书》、《销售（代理销售）协议书》、《投资者权益须知》及</w:t>
      </w:r>
      <w:r>
        <w:rPr>
          <w:rFonts w:ascii="宋体" w:eastAsia="宋体" w:hAnsi="宋体" w:cs="Times New Roman"/>
          <w:b/>
          <w:sz w:val="24"/>
          <w:szCs w:val="24"/>
        </w:rPr>
        <w:t>本</w:t>
      </w:r>
      <w:r>
        <w:rPr>
          <w:rFonts w:ascii="宋体" w:eastAsia="宋体" w:hAnsi="宋体" w:cs="Times New Roman" w:hint="eastAsia"/>
          <w:b/>
          <w:sz w:val="24"/>
          <w:szCs w:val="24"/>
        </w:rPr>
        <w:t>协议，并知晓清楚全部条款，签署</w:t>
      </w:r>
      <w:r>
        <w:rPr>
          <w:rFonts w:ascii="宋体" w:eastAsia="宋体" w:hAnsi="宋体" w:cs="Times New Roman"/>
          <w:b/>
          <w:sz w:val="24"/>
          <w:szCs w:val="24"/>
        </w:rPr>
        <w:t>本协议视为对前述</w:t>
      </w:r>
      <w:r>
        <w:rPr>
          <w:rFonts w:ascii="宋体" w:eastAsia="宋体" w:hAnsi="宋体" w:cs="Times New Roman" w:hint="eastAsia"/>
          <w:b/>
          <w:sz w:val="24"/>
          <w:szCs w:val="24"/>
        </w:rPr>
        <w:t>理财产品</w:t>
      </w:r>
      <w:r>
        <w:rPr>
          <w:rFonts w:ascii="宋体" w:eastAsia="宋体" w:hAnsi="宋体" w:cs="Times New Roman"/>
          <w:b/>
          <w:sz w:val="24"/>
          <w:szCs w:val="24"/>
        </w:rPr>
        <w:t>销售文件的</w:t>
      </w:r>
      <w:r>
        <w:rPr>
          <w:rFonts w:ascii="宋体" w:eastAsia="宋体" w:hAnsi="宋体" w:cs="Times New Roman" w:hint="eastAsia"/>
          <w:b/>
          <w:sz w:val="24"/>
          <w:szCs w:val="24"/>
        </w:rPr>
        <w:t>签署</w:t>
      </w:r>
      <w:r>
        <w:rPr>
          <w:rFonts w:ascii="宋体" w:eastAsia="宋体" w:hAnsi="宋体" w:cs="Times New Roman"/>
          <w:b/>
          <w:sz w:val="24"/>
          <w:szCs w:val="24"/>
        </w:rPr>
        <w:t>与确认，</w:t>
      </w:r>
      <w:r>
        <w:rPr>
          <w:rFonts w:ascii="宋体" w:eastAsia="宋体" w:hAnsi="宋体" w:cs="Times New Roman" w:hint="eastAsia"/>
          <w:b/>
          <w:sz w:val="24"/>
          <w:szCs w:val="24"/>
        </w:rPr>
        <w:t>甲方对本协议相关条款不存在任何疑问或异议。</w:t>
      </w:r>
    </w:p>
    <w:p w:rsidR="00156F5C" w14:paraId="141A61FE" w14:textId="77777777">
      <w:pPr>
        <w:pStyle w:val="ListParagraph"/>
        <w:spacing w:line="360" w:lineRule="auto"/>
        <w:ind w:firstLine="482"/>
        <w:rPr>
          <w:rFonts w:ascii="宋体" w:eastAsia="宋体" w:hAnsi="宋体" w:cs="Times New Roman"/>
          <w:b/>
          <w:sz w:val="24"/>
          <w:szCs w:val="24"/>
        </w:rPr>
      </w:pPr>
    </w:p>
    <w:p w:rsidR="00156F5C" w14:paraId="72B27C0B" w14:textId="77777777">
      <w:pPr>
        <w:tabs>
          <w:tab w:val="left" w:pos="3460"/>
        </w:tabs>
        <w:spacing w:line="312" w:lineRule="auto"/>
        <w:ind w:left="63" w:leftChars="30"/>
        <w:rPr>
          <w:rFonts w:ascii="宋体" w:hAnsi="宋体" w:cs="宋体"/>
          <w:b/>
          <w:bCs/>
          <w:kern w:val="0"/>
          <w:sz w:val="24"/>
        </w:rPr>
      </w:pPr>
      <w:r>
        <w:rPr>
          <w:rFonts w:ascii="宋体" w:hAnsi="宋体" w:cs="宋体" w:hint="eastAsia"/>
          <w:b/>
          <w:bCs/>
          <w:kern w:val="0"/>
          <w:sz w:val="24"/>
        </w:rPr>
        <w:t>（自然人签署适用）</w:t>
      </w:r>
    </w:p>
    <w:p w:rsidR="00156F5C" w14:paraId="532DFE6D" w14:textId="77777777">
      <w:pPr>
        <w:tabs>
          <w:tab w:val="left" w:pos="3460"/>
        </w:tabs>
        <w:spacing w:line="312" w:lineRule="auto"/>
        <w:ind w:left="63" w:leftChars="30"/>
        <w:rPr>
          <w:rFonts w:ascii="宋体" w:hAnsi="宋体" w:cs="宋体"/>
          <w:b/>
          <w:bCs/>
          <w:kern w:val="0"/>
          <w:sz w:val="24"/>
        </w:rPr>
      </w:pPr>
      <w:r>
        <w:rPr>
          <w:rFonts w:ascii="宋体" w:hAnsi="宋体" w:cs="宋体" w:hint="eastAsia"/>
          <w:b/>
          <w:bCs/>
          <w:kern w:val="0"/>
          <w:sz w:val="24"/>
        </w:rPr>
        <w:t>甲方签字</w:t>
      </w:r>
      <w:r>
        <w:rPr>
          <w:rFonts w:ascii="宋体" w:hAnsi="宋体" w:cs="宋体" w:hint="eastAsia"/>
          <w:b/>
          <w:bCs/>
          <w:kern w:val="0"/>
          <w:sz w:val="24"/>
        </w:rPr>
        <w:t xml:space="preserve">   ____________</w:t>
      </w:r>
      <w:r>
        <w:rPr>
          <w:rFonts w:ascii="宋体" w:hAnsi="宋体" w:cs="宋体"/>
          <w:b/>
          <w:bCs/>
          <w:kern w:val="0"/>
          <w:sz w:val="24"/>
        </w:rPr>
        <w:tab/>
      </w:r>
    </w:p>
    <w:p w:rsidR="00156F5C" w14:paraId="26867B6F" w14:textId="77777777">
      <w:pPr>
        <w:tabs>
          <w:tab w:val="left" w:pos="3460"/>
        </w:tabs>
        <w:spacing w:line="312" w:lineRule="auto"/>
        <w:ind w:left="63" w:leftChars="30"/>
        <w:rPr>
          <w:rFonts w:ascii="宋体" w:hAnsi="宋体" w:cs="宋体"/>
          <w:b/>
          <w:bCs/>
          <w:kern w:val="0"/>
          <w:sz w:val="24"/>
        </w:rPr>
      </w:pPr>
    </w:p>
    <w:p w:rsidR="00156F5C" w14:paraId="121B0779" w14:textId="77777777">
      <w:pPr>
        <w:spacing w:line="312" w:lineRule="auto"/>
        <w:rPr>
          <w:rFonts w:ascii="宋体" w:hAnsi="宋体" w:cs="宋体"/>
          <w:b/>
          <w:bCs/>
          <w:kern w:val="0"/>
          <w:sz w:val="24"/>
        </w:rPr>
      </w:pPr>
      <w:r>
        <w:rPr>
          <w:rFonts w:ascii="宋体" w:hAnsi="宋体" w:cs="宋体" w:hint="eastAsia"/>
          <w:b/>
          <w:bCs/>
          <w:kern w:val="0"/>
          <w:sz w:val="24"/>
        </w:rPr>
        <w:t>（</w:t>
      </w:r>
      <w:r>
        <w:rPr>
          <w:rFonts w:ascii="宋体" w:hAnsi="宋体" w:cs="宋体"/>
          <w:b/>
          <w:bCs/>
          <w:kern w:val="0"/>
          <w:sz w:val="24"/>
        </w:rPr>
        <w:t>机构投资者</w:t>
      </w:r>
      <w:r>
        <w:rPr>
          <w:rFonts w:ascii="宋体" w:hAnsi="宋体" w:cs="宋体" w:hint="eastAsia"/>
          <w:b/>
          <w:bCs/>
          <w:kern w:val="0"/>
          <w:sz w:val="24"/>
        </w:rPr>
        <w:t>签署适用）</w:t>
      </w:r>
    </w:p>
    <w:p w:rsidR="00156F5C" w14:paraId="3F94ED12" w14:textId="77777777">
      <w:pPr>
        <w:spacing w:line="312" w:lineRule="auto"/>
        <w:rPr>
          <w:rFonts w:ascii="宋体" w:hAnsi="宋体" w:cs="宋体"/>
          <w:b/>
          <w:bCs/>
          <w:kern w:val="0"/>
          <w:sz w:val="24"/>
        </w:rPr>
      </w:pPr>
      <w:r>
        <w:rPr>
          <w:rFonts w:ascii="宋体" w:hAnsi="宋体" w:cs="宋体" w:hint="eastAsia"/>
          <w:b/>
          <w:bCs/>
          <w:kern w:val="0"/>
          <w:sz w:val="24"/>
        </w:rPr>
        <w:t>公章（或经公章授权的其他有效印鉴）：</w:t>
      </w:r>
    </w:p>
    <w:p w:rsidR="00156F5C" w14:paraId="103A1104" w14:textId="77777777">
      <w:pPr>
        <w:spacing w:line="312" w:lineRule="auto"/>
        <w:rPr>
          <w:rFonts w:ascii="宋体" w:hAnsi="宋体" w:cs="宋体"/>
          <w:b/>
          <w:bCs/>
          <w:kern w:val="0"/>
          <w:sz w:val="24"/>
        </w:rPr>
      </w:pPr>
      <w:r>
        <w:rPr>
          <w:rFonts w:ascii="宋体" w:hAnsi="宋体" w:cs="宋体" w:hint="eastAsia"/>
          <w:b/>
          <w:bCs/>
          <w:kern w:val="0"/>
          <w:sz w:val="24"/>
        </w:rPr>
        <w:t>法定代表人（负责人）或授权代理人签字</w:t>
      </w:r>
      <w:r>
        <w:rPr>
          <w:rFonts w:ascii="宋体" w:hAnsi="宋体" w:cs="宋体" w:hint="eastAsia"/>
          <w:b/>
          <w:bCs/>
          <w:kern w:val="0"/>
          <w:sz w:val="24"/>
        </w:rPr>
        <w:t>/</w:t>
      </w:r>
      <w:r>
        <w:rPr>
          <w:rFonts w:ascii="宋体" w:hAnsi="宋体" w:cs="宋体" w:hint="eastAsia"/>
          <w:b/>
          <w:bCs/>
          <w:kern w:val="0"/>
          <w:sz w:val="24"/>
        </w:rPr>
        <w:t>签章：</w:t>
      </w:r>
    </w:p>
    <w:p w:rsidR="00156F5C" w14:paraId="496F54F6" w14:textId="77777777">
      <w:pPr>
        <w:spacing w:line="312" w:lineRule="auto"/>
        <w:rPr>
          <w:rFonts w:ascii="宋体" w:hAnsi="宋体" w:cs="宋体"/>
          <w:b/>
          <w:bCs/>
          <w:kern w:val="0"/>
          <w:sz w:val="24"/>
        </w:rPr>
      </w:pPr>
    </w:p>
    <w:p w:rsidR="00156F5C" w14:paraId="1EAB8911" w14:textId="77777777">
      <w:pPr>
        <w:spacing w:line="312" w:lineRule="auto"/>
        <w:rPr>
          <w:rFonts w:ascii="宋体" w:hAnsi="宋体" w:cs="宋体"/>
          <w:b/>
          <w:bCs/>
          <w:kern w:val="0"/>
          <w:sz w:val="24"/>
        </w:rPr>
      </w:pPr>
    </w:p>
    <w:p w:rsidR="00156F5C" w14:paraId="35B61703" w14:textId="77777777">
      <w:pPr>
        <w:spacing w:line="312" w:lineRule="auto"/>
        <w:rPr>
          <w:rFonts w:ascii="宋体" w:hAnsi="宋体"/>
          <w:sz w:val="24"/>
        </w:rPr>
        <w:sectPr>
          <w:footerReference w:type="default" r:id="rId5"/>
          <w:pgSz w:w="11906" w:h="16838"/>
          <w:pgMar w:top="1440" w:right="1800" w:bottom="1440" w:left="1800" w:header="851" w:footer="992" w:gutter="0"/>
          <w:pgNumType w:fmt="numberInDash"/>
          <w:cols w:space="425"/>
          <w:docGrid w:type="lines" w:linePitch="312"/>
        </w:sectPr>
      </w:pPr>
      <w:r>
        <w:rPr>
          <w:rFonts w:ascii="宋体" w:hAnsi="宋体" w:cs="宋体" w:hint="eastAsia"/>
          <w:b/>
          <w:bCs/>
          <w:kern w:val="0"/>
          <w:sz w:val="24"/>
        </w:rPr>
        <w:t>日期</w:t>
      </w:r>
      <w:r>
        <w:rPr>
          <w:rFonts w:ascii="宋体" w:hAnsi="宋体" w:cs="宋体" w:hint="eastAsia"/>
          <w:b/>
          <w:bCs/>
          <w:kern w:val="0"/>
          <w:sz w:val="24"/>
        </w:rPr>
        <w:t xml:space="preserve">         ____________</w:t>
      </w:r>
    </w:p>
    <w:p w:rsidR="00CD2B94">
      <w:pPr>
        <w:spacing w:line="312" w:lineRule="auto"/>
        <w:jc w:val="center"/>
        <w:rPr>
          <w:rFonts w:ascii="黑体" w:eastAsia="黑体" w:hAnsi="宋体" w:cs="Times New Roman"/>
          <w:b/>
          <w:sz w:val="44"/>
          <w:szCs w:val="44"/>
        </w:rPr>
      </w:pPr>
      <w:r w:rsidRPr="00171D1B">
        <w:rPr>
          <w:rFonts w:ascii="黑体" w:eastAsia="黑体" w:hAnsi="宋体" w:cs="Times New Roman" w:hint="eastAsia"/>
          <w:b/>
          <w:sz w:val="44"/>
          <w:szCs w:val="44"/>
        </w:rPr>
        <w:t>宁银理财宁欣日日薪固定收益类日开理财84号（最短持有7天）</w:t>
      </w:r>
      <w:r w:rsidR="000A6F70">
        <w:rPr>
          <w:rFonts w:ascii="黑体" w:eastAsia="黑体" w:hAnsi="宋体" w:cs="Times New Roman" w:hint="eastAsia"/>
          <w:b/>
          <w:sz w:val="44"/>
          <w:szCs w:val="44"/>
        </w:rPr>
        <w:t>产品风险揭示书</w:t>
      </w:r>
    </w:p>
    <w:p w:rsidR="00CD2B94">
      <w:pPr>
        <w:spacing w:line="312" w:lineRule="auto"/>
        <w:jc w:val="center"/>
        <w:rPr>
          <w:rFonts w:ascii="黑体" w:eastAsia="黑体" w:hAnsi="宋体" w:cs="Times New Roman"/>
          <w:b/>
          <w:sz w:val="44"/>
          <w:szCs w:val="44"/>
        </w:rPr>
      </w:pPr>
      <w:r>
        <w:rPr>
          <w:rFonts w:ascii="宋体" w:eastAsia="宋体" w:hAnsi="宋体" w:cs="Times New Roman" w:hint="eastAsia"/>
          <w:b/>
          <w:sz w:val="24"/>
          <w:szCs w:val="24"/>
        </w:rPr>
        <w:t>（</w:t>
      </w:r>
      <w:r>
        <w:rPr>
          <w:rFonts w:ascii="宋体" w:eastAsia="宋体" w:hAnsi="宋体" w:cs="Times New Roman"/>
          <w:b/>
          <w:sz w:val="24"/>
          <w:szCs w:val="24"/>
        </w:rPr>
        <w:t>202601</w:t>
      </w:r>
      <w:r>
        <w:rPr>
          <w:rFonts w:ascii="宋体" w:eastAsia="宋体" w:hAnsi="宋体" w:cs="Times New Roman" w:hint="eastAsia"/>
          <w:b/>
          <w:sz w:val="24"/>
          <w:szCs w:val="24"/>
        </w:rPr>
        <w:t>版）</w:t>
      </w:r>
    </w:p>
    <w:p w:rsidR="00CD2B94">
      <w:pPr>
        <w:spacing w:line="312" w:lineRule="auto"/>
        <w:rPr>
          <w:rFonts w:ascii="宋体" w:eastAsia="宋体" w:hAnsi="宋体" w:cs="Times New Roman"/>
          <w:sz w:val="24"/>
          <w:szCs w:val="24"/>
        </w:rPr>
      </w:pPr>
      <w:r>
        <w:rPr>
          <w:rFonts w:ascii="宋体" w:eastAsia="宋体" w:hAnsi="宋体" w:cs="Times New Roman" w:hint="eastAsia"/>
          <w:sz w:val="24"/>
          <w:szCs w:val="24"/>
        </w:rPr>
        <w:t>尊敬的投资者：</w:t>
      </w:r>
    </w:p>
    <w:p w:rsidR="00CD2B94">
      <w:pPr>
        <w:spacing w:line="312" w:lineRule="auto"/>
        <w:jc w:val="center"/>
        <w:rPr>
          <w:rFonts w:ascii="宋体" w:eastAsia="宋体" w:hAnsi="宋体" w:cs="Times New Roman"/>
          <w:b/>
          <w:sz w:val="24"/>
          <w:szCs w:val="24"/>
          <w:u w:val="single"/>
        </w:rPr>
      </w:pPr>
      <w:r>
        <w:rPr>
          <w:rFonts w:ascii="宋体" w:eastAsia="宋体" w:hAnsi="宋体" w:cs="Times New Roman" w:hint="eastAsia"/>
          <w:b/>
          <w:sz w:val="24"/>
          <w:szCs w:val="24"/>
          <w:u w:val="single"/>
        </w:rPr>
        <w:t>理财非存款、产品有风险、投资须谨慎。</w:t>
      </w:r>
    </w:p>
    <w:p w:rsidR="00CD2B94">
      <w:pPr>
        <w:spacing w:line="312" w:lineRule="auto"/>
        <w:jc w:val="center"/>
        <w:rPr>
          <w:rFonts w:ascii="宋体" w:eastAsia="宋体" w:hAnsi="宋体" w:cs="Times New Roman"/>
          <w:b/>
          <w:sz w:val="24"/>
          <w:szCs w:val="24"/>
          <w:u w:val="single"/>
        </w:rPr>
      </w:pPr>
      <w:r>
        <w:rPr>
          <w:rFonts w:ascii="宋体" w:eastAsia="宋体" w:hAnsi="宋体" w:cs="Times New Roman" w:hint="eastAsia"/>
          <w:b/>
          <w:sz w:val="24"/>
          <w:szCs w:val="24"/>
          <w:u w:val="single"/>
        </w:rPr>
        <w:t>理财产品过往业绩不代表其未来表现，不等于理财产品实际收益，投资须谨慎。</w:t>
      </w:r>
    </w:p>
    <w:p w:rsidR="00CD2B94">
      <w:pPr>
        <w:spacing w:line="312" w:lineRule="auto"/>
        <w:ind w:firstLine="555"/>
        <w:rPr>
          <w:rFonts w:ascii="宋体" w:eastAsia="宋体" w:hAnsi="宋体" w:cs="Times New Roman"/>
          <w:sz w:val="24"/>
          <w:szCs w:val="24"/>
        </w:rPr>
      </w:pPr>
      <w:r>
        <w:rPr>
          <w:rFonts w:ascii="宋体" w:eastAsia="宋体" w:hAnsi="宋体" w:cs="Times New Roman" w:hint="eastAsia"/>
          <w:sz w:val="24"/>
          <w:szCs w:val="24"/>
        </w:rPr>
        <w:t>本产品</w:t>
      </w:r>
      <w:r>
        <w:rPr>
          <w:rFonts w:ascii="宋体" w:eastAsia="宋体" w:hAnsi="宋体" w:cs="Times New Roman"/>
          <w:sz w:val="24"/>
          <w:szCs w:val="24"/>
        </w:rPr>
        <w:t>系宁银理财有限</w:t>
      </w:r>
      <w:r>
        <w:rPr>
          <w:rFonts w:ascii="宋体" w:eastAsia="宋体" w:hAnsi="宋体" w:cs="Times New Roman" w:hint="eastAsia"/>
          <w:sz w:val="24"/>
          <w:szCs w:val="24"/>
        </w:rPr>
        <w:t>责任</w:t>
      </w:r>
      <w:r>
        <w:rPr>
          <w:rFonts w:ascii="宋体" w:eastAsia="宋体" w:hAnsi="宋体" w:cs="Times New Roman"/>
          <w:sz w:val="24"/>
          <w:szCs w:val="24"/>
        </w:rPr>
        <w:t>公司</w:t>
      </w:r>
      <w:r>
        <w:rPr>
          <w:rFonts w:ascii="宋体" w:eastAsia="宋体" w:hAnsi="宋体" w:cs="Times New Roman" w:hint="eastAsia"/>
          <w:sz w:val="24"/>
          <w:szCs w:val="24"/>
        </w:rPr>
        <w:t>（下称“宁银理财”或“本公司”）</w:t>
      </w:r>
      <w:r>
        <w:rPr>
          <w:rFonts w:ascii="宋体" w:eastAsia="宋体" w:hAnsi="宋体" w:cs="Times New Roman"/>
          <w:sz w:val="24"/>
          <w:szCs w:val="24"/>
        </w:rPr>
        <w:t>发行</w:t>
      </w:r>
      <w:r>
        <w:rPr>
          <w:rFonts w:ascii="宋体" w:eastAsia="宋体" w:hAnsi="宋体" w:cs="Times New Roman" w:hint="eastAsia"/>
          <w:sz w:val="24"/>
          <w:szCs w:val="24"/>
        </w:rPr>
        <w:t>运作</w:t>
      </w:r>
      <w:r>
        <w:rPr>
          <w:rFonts w:ascii="宋体" w:eastAsia="宋体" w:hAnsi="宋体" w:cs="Times New Roman"/>
          <w:sz w:val="24"/>
          <w:szCs w:val="24"/>
        </w:rPr>
        <w:t>的</w:t>
      </w:r>
      <w:r>
        <w:rPr>
          <w:rFonts w:ascii="宋体" w:eastAsia="宋体" w:hAnsi="宋体" w:cs="Times New Roman"/>
          <w:b/>
          <w:sz w:val="24"/>
          <w:szCs w:val="24"/>
        </w:rPr>
        <w:t>非保本</w:t>
      </w:r>
      <w:r>
        <w:rPr>
          <w:rFonts w:ascii="宋体" w:eastAsia="宋体" w:hAnsi="宋体" w:cs="Times New Roman"/>
          <w:sz w:val="24"/>
          <w:szCs w:val="24"/>
        </w:rPr>
        <w:t>理财产品，</w:t>
      </w:r>
      <w:r>
        <w:rPr>
          <w:rFonts w:ascii="宋体" w:eastAsia="宋体" w:hAnsi="宋体" w:cs="Times New Roman" w:hint="eastAsia"/>
          <w:sz w:val="24"/>
          <w:szCs w:val="24"/>
        </w:rPr>
        <w:t>在本产品下</w:t>
      </w:r>
      <w:r>
        <w:rPr>
          <w:rFonts w:ascii="宋体" w:eastAsia="宋体" w:hAnsi="宋体" w:cs="Times New Roman"/>
          <w:sz w:val="24"/>
          <w:szCs w:val="24"/>
        </w:rPr>
        <w:t>，</w:t>
      </w:r>
      <w:r>
        <w:rPr>
          <w:rFonts w:ascii="宋体" w:eastAsia="宋体" w:hAnsi="宋体" w:cs="Times New Roman" w:hint="eastAsia"/>
          <w:sz w:val="24"/>
          <w:szCs w:val="24"/>
        </w:rPr>
        <w:t>您</w:t>
      </w:r>
      <w:r>
        <w:rPr>
          <w:rFonts w:ascii="宋体" w:eastAsia="宋体" w:hAnsi="宋体" w:cs="Times New Roman"/>
          <w:sz w:val="24"/>
          <w:szCs w:val="24"/>
        </w:rPr>
        <w:t>委托</w:t>
      </w:r>
      <w:r>
        <w:rPr>
          <w:rFonts w:ascii="宋体" w:eastAsia="宋体" w:hAnsi="宋体" w:cs="Times New Roman" w:hint="eastAsia"/>
          <w:sz w:val="24"/>
          <w:szCs w:val="24"/>
        </w:rPr>
        <w:t>本</w:t>
      </w:r>
      <w:r>
        <w:rPr>
          <w:rFonts w:ascii="宋体" w:eastAsia="宋体" w:hAnsi="宋体" w:cs="Times New Roman"/>
          <w:sz w:val="24"/>
          <w:szCs w:val="24"/>
        </w:rPr>
        <w:t>公司</w:t>
      </w:r>
      <w:r>
        <w:rPr>
          <w:rFonts w:ascii="宋体" w:eastAsia="宋体" w:hAnsi="宋体" w:cs="Times New Roman" w:hint="eastAsia"/>
          <w:sz w:val="24"/>
          <w:szCs w:val="24"/>
        </w:rPr>
        <w:t>对理财产品资金进行投资管理</w:t>
      </w:r>
      <w:r>
        <w:rPr>
          <w:rFonts w:ascii="宋体" w:eastAsia="宋体" w:hAnsi="宋体" w:cs="Times New Roman"/>
          <w:sz w:val="24"/>
          <w:szCs w:val="24"/>
        </w:rPr>
        <w:t>，</w:t>
      </w:r>
      <w:r>
        <w:rPr>
          <w:rFonts w:ascii="宋体" w:eastAsia="宋体" w:hAnsi="宋体" w:cs="Times New Roman" w:hint="eastAsia"/>
          <w:sz w:val="24"/>
          <w:szCs w:val="24"/>
        </w:rPr>
        <w:t>本公司</w:t>
      </w:r>
      <w:r>
        <w:rPr>
          <w:rFonts w:ascii="宋体" w:eastAsia="宋体" w:hAnsi="宋体" w:cs="Times New Roman"/>
          <w:sz w:val="24"/>
          <w:szCs w:val="24"/>
        </w:rPr>
        <w:t>将</w:t>
      </w:r>
      <w:r>
        <w:rPr>
          <w:rFonts w:ascii="宋体" w:eastAsia="宋体" w:hAnsi="宋体" w:cs="Times New Roman" w:hint="eastAsia"/>
          <w:sz w:val="24"/>
          <w:szCs w:val="24"/>
        </w:rPr>
        <w:t>按照约定条件和实际投资收益情况向您支付收益，不保证本金支付和收益水平</w:t>
      </w:r>
      <w:r>
        <w:rPr>
          <w:rFonts w:ascii="宋体" w:eastAsia="宋体" w:hAnsi="宋体" w:cs="Times New Roman"/>
          <w:sz w:val="24"/>
          <w:szCs w:val="24"/>
        </w:rPr>
        <w:t>。</w:t>
      </w:r>
    </w:p>
    <w:p w:rsidR="00CD2B94">
      <w:pPr>
        <w:spacing w:line="312" w:lineRule="auto"/>
        <w:ind w:firstLine="555"/>
        <w:rPr>
          <w:rFonts w:ascii="宋体" w:eastAsia="宋体" w:hAnsi="宋体" w:cs="Times New Roman"/>
          <w:sz w:val="24"/>
          <w:szCs w:val="24"/>
        </w:rPr>
      </w:pPr>
      <w:r>
        <w:rPr>
          <w:rFonts w:ascii="宋体" w:eastAsia="宋体" w:hAnsi="宋体" w:cs="Times New Roman" w:hint="eastAsia"/>
          <w:b/>
          <w:sz w:val="24"/>
          <w:szCs w:val="24"/>
        </w:rPr>
        <w:t>请仔细阅读理财产品销售文件（包括但不限于《理财产品说明书》、《风险揭示书》、《销售（代理销售）协议书》（通过代理销售机构销售的，文件具体名称以代理销售机构为准，下同）、《投资协议书》、《投资者权益须知》），确保</w:t>
      </w:r>
      <w:r>
        <w:rPr>
          <w:rFonts w:ascii="宋体" w:eastAsia="宋体" w:hAnsi="宋体" w:cs="Times New Roman"/>
          <w:b/>
          <w:sz w:val="24"/>
          <w:szCs w:val="24"/>
        </w:rPr>
        <w:t>您已</w:t>
      </w:r>
      <w:r>
        <w:rPr>
          <w:rFonts w:ascii="宋体" w:eastAsia="宋体" w:hAnsi="宋体" w:cs="Times New Roman" w:hint="eastAsia"/>
          <w:b/>
          <w:sz w:val="24"/>
          <w:szCs w:val="24"/>
        </w:rPr>
        <w:t>了解自己的风险承受能力、</w:t>
      </w:r>
      <w:r>
        <w:rPr>
          <w:rFonts w:ascii="宋体" w:eastAsia="宋体" w:hAnsi="宋体" w:cs="Times New Roman"/>
          <w:b/>
          <w:sz w:val="24"/>
          <w:szCs w:val="24"/>
        </w:rPr>
        <w:t>理财</w:t>
      </w:r>
      <w:r>
        <w:rPr>
          <w:rFonts w:ascii="宋体" w:eastAsia="宋体" w:hAnsi="宋体" w:cs="Times New Roman" w:hint="eastAsia"/>
          <w:b/>
          <w:sz w:val="24"/>
          <w:szCs w:val="24"/>
        </w:rPr>
        <w:t>产品具体信息及风险后，谨慎投资。如影响您风险承受能力的因素发生变化，请及时更新风险承受能力评估。</w:t>
      </w:r>
    </w:p>
    <w:p w:rsidR="00CD2B94">
      <w:pPr>
        <w:spacing w:line="312" w:lineRule="auto"/>
        <w:ind w:left="63" w:firstLine="480" w:leftChars="30" w:firstLineChars="200"/>
        <w:rPr>
          <w:rFonts w:ascii="宋体" w:eastAsia="宋体" w:hAnsi="宋体" w:cs="Courier New"/>
          <w:b/>
          <w:bCs/>
          <w:sz w:val="24"/>
          <w:szCs w:val="24"/>
        </w:rPr>
      </w:pPr>
      <w:r>
        <w:rPr>
          <w:rFonts w:ascii="宋体" w:eastAsia="宋体" w:hAnsi="宋体" w:cs="Times New Roman" w:hint="eastAsia"/>
          <w:sz w:val="24"/>
          <w:szCs w:val="24"/>
        </w:rPr>
        <w:t>购买本</w:t>
      </w:r>
      <w:r>
        <w:rPr>
          <w:rFonts w:ascii="宋体" w:eastAsia="宋体" w:hAnsi="宋体" w:cs="Times New Roman"/>
          <w:sz w:val="24"/>
          <w:szCs w:val="24"/>
        </w:rPr>
        <w:t>理财产品</w:t>
      </w:r>
      <w:r>
        <w:rPr>
          <w:rFonts w:ascii="宋体" w:eastAsia="宋体" w:hAnsi="宋体" w:cs="Times New Roman" w:hint="eastAsia"/>
          <w:sz w:val="24"/>
          <w:szCs w:val="24"/>
        </w:rPr>
        <w:t>，您将可能面临包括但不限于以下风险：</w:t>
      </w:r>
    </w:p>
    <w:p w:rsidR="00CD2B94">
      <w:pPr>
        <w:spacing w:line="276"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1</w:t>
      </w:r>
      <w:r>
        <w:rPr>
          <w:rFonts w:ascii="宋体" w:eastAsia="宋体" w:hAnsi="宋体" w:cs="Times New Roman" w:hint="eastAsia"/>
          <w:b/>
          <w:sz w:val="24"/>
          <w:szCs w:val="24"/>
        </w:rPr>
        <w:t>、市场风险：理财产品在运作过程中，由于市场变化造成产品所投资产价格波动、从而影响理财产品收益的风险。市场风险包括但不限</w:t>
      </w:r>
      <w:r>
        <w:rPr>
          <w:rFonts w:ascii="宋体" w:eastAsia="宋体" w:hAnsi="宋体" w:cs="Times New Roman" w:hint="eastAsia"/>
          <w:b/>
          <w:sz w:val="24"/>
          <w:szCs w:val="24"/>
        </w:rPr>
        <w:t>于投资债券面临的利率变化及债券价格波动带来的风险，投资股票面临的股票价格波动带来的风险，投资商品及金融衍生品面临的商品及衍生品价格波动带来的风险等。</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、信用风险：理财产品所投资产的相关债务人或关联责任人（包括但不限于担保人）等信用状况恶化、不能如期履约的风险。</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Courier New"/>
          <w:b/>
          <w:bCs/>
          <w:sz w:val="24"/>
          <w:szCs w:val="24"/>
        </w:rPr>
        <w:t>3</w:t>
      </w:r>
      <w:r>
        <w:rPr>
          <w:rFonts w:ascii="宋体" w:eastAsia="宋体" w:hAnsi="宋体" w:cs="Courier New" w:hint="eastAsia"/>
          <w:b/>
          <w:bCs/>
          <w:sz w:val="24"/>
          <w:szCs w:val="24"/>
        </w:rPr>
        <w:t>、</w:t>
      </w:r>
      <w:r>
        <w:rPr>
          <w:rFonts w:ascii="宋体" w:eastAsia="宋体" w:hAnsi="宋体" w:cs="Times New Roman" w:hint="eastAsia"/>
          <w:b/>
          <w:sz w:val="24"/>
          <w:szCs w:val="24"/>
        </w:rPr>
        <w:t>理财产品不成立风险：如理财产品募集期届满，发生本理财产品难以成立的情况，宁银理财有权宣布本理财产品不成立。</w:t>
      </w:r>
    </w:p>
    <w:p w:rsidR="00CD2B94">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b/>
          <w:bCs/>
          <w:sz w:val="24"/>
          <w:szCs w:val="24"/>
        </w:rPr>
        <w:t>4</w:t>
      </w:r>
      <w:r>
        <w:rPr>
          <w:rFonts w:ascii="宋体" w:eastAsia="宋体" w:hAnsi="宋体" w:cs="Courier New" w:hint="eastAsia"/>
          <w:b/>
          <w:bCs/>
          <w:sz w:val="24"/>
          <w:szCs w:val="24"/>
        </w:rPr>
        <w:t>、流动性风险：在特定市场环境下，理财产品所投资的上述部分市场或资产可能出现流动性较差的情况，导致理财产品存在无法通过变现资产等途径以合理成本及时获得充足资金，用于满足投资者赎回需求、履行其他支付义务的风险。对于有</w:t>
      </w:r>
      <w:r>
        <w:rPr>
          <w:rFonts w:ascii="宋体" w:eastAsia="宋体" w:hAnsi="宋体" w:cs="Courier New"/>
          <w:b/>
          <w:bCs/>
          <w:sz w:val="24"/>
          <w:szCs w:val="24"/>
        </w:rPr>
        <w:t>明确投资期限的理财产品，</w:t>
      </w:r>
      <w:r>
        <w:rPr>
          <w:rFonts w:ascii="宋体" w:eastAsia="宋体" w:hAnsi="宋体" w:cs="Courier New" w:hint="eastAsia"/>
          <w:b/>
          <w:bCs/>
          <w:sz w:val="24"/>
          <w:szCs w:val="24"/>
        </w:rPr>
        <w:t>在存续期内如果您产生流动性需求，可能面临理财产品投资期限与资金需求日不匹配的流动性风险。此外</w:t>
      </w:r>
      <w:r>
        <w:rPr>
          <w:rFonts w:ascii="宋体" w:eastAsia="宋体" w:hAnsi="宋体" w:cs="Courier New"/>
          <w:b/>
          <w:bCs/>
          <w:sz w:val="24"/>
          <w:szCs w:val="24"/>
        </w:rPr>
        <w:t>，</w:t>
      </w:r>
      <w:r>
        <w:rPr>
          <w:rFonts w:ascii="宋体" w:eastAsia="宋体" w:hAnsi="宋体" w:cs="Courier New" w:hint="eastAsia"/>
          <w:b/>
          <w:bCs/>
          <w:sz w:val="24"/>
          <w:szCs w:val="24"/>
        </w:rPr>
        <w:t>针对</w:t>
      </w:r>
      <w:r>
        <w:rPr>
          <w:rFonts w:ascii="宋体" w:eastAsia="宋体" w:hAnsi="宋体" w:cs="Courier New"/>
          <w:b/>
          <w:bCs/>
          <w:sz w:val="24"/>
          <w:szCs w:val="24"/>
        </w:rPr>
        <w:t>开放式产品，</w:t>
      </w:r>
      <w:r>
        <w:rPr>
          <w:rFonts w:ascii="宋体" w:eastAsia="宋体" w:hAnsi="宋体" w:cs="Courier New" w:hint="eastAsia"/>
          <w:b/>
          <w:bCs/>
          <w:sz w:val="24"/>
          <w:szCs w:val="24"/>
        </w:rPr>
        <w:t>投资者只能在开放期的交易时间内进行申购、赎回，开放期内若发生巨额赎回，投资者将面临不能及时赎回理财产品的流动性风险。</w:t>
      </w:r>
    </w:p>
    <w:p w:rsidR="00CD2B94">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hint="eastAsia"/>
          <w:b/>
          <w:bCs/>
          <w:sz w:val="24"/>
          <w:szCs w:val="24"/>
        </w:rPr>
        <w:t>宁银理财可以依照法律法规及产品说明书的约定，综合</w:t>
      </w:r>
      <w:r>
        <w:rPr>
          <w:rFonts w:ascii="宋体" w:eastAsia="宋体" w:hAnsi="宋体" w:cs="Courier New" w:hint="eastAsia"/>
          <w:b/>
          <w:bCs/>
          <w:sz w:val="24"/>
          <w:szCs w:val="24"/>
        </w:rPr>
        <w:t>运用各项理财产品流动性风险应对措施：</w:t>
      </w:r>
    </w:p>
    <w:p w:rsidR="00CD2B94">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hint="eastAsia"/>
          <w:b/>
          <w:bCs/>
          <w:sz w:val="24"/>
          <w:szCs w:val="24"/>
        </w:rPr>
        <w:t>（一）认购风险应对措施，包括：设定单一投资者认购金额上限、设定理财产品单日净认购比例上限、拒绝大额认购、暂停认购，以及国家金融监督管理总局规定的其他措施；</w:t>
      </w:r>
    </w:p>
    <w:p w:rsidR="00CD2B94">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hint="eastAsia"/>
          <w:b/>
          <w:bCs/>
          <w:sz w:val="24"/>
          <w:szCs w:val="24"/>
        </w:rPr>
        <w:t>（二）赎回风险应对措施，包括：设置赎回上限、延期办理巨额赎回申请、暂停接受赎回申请、延缓支付赎回款项、收取短期赎回费、暂停理财产品估值、摆动定价，以及国家金融监督管理总局规定的其他措施。</w:t>
      </w:r>
    </w:p>
    <w:p w:rsidR="00CD2B94">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b/>
          <w:bCs/>
          <w:sz w:val="24"/>
          <w:szCs w:val="24"/>
        </w:rPr>
        <w:t>上述</w:t>
      </w:r>
      <w:r>
        <w:rPr>
          <w:rFonts w:ascii="宋体" w:eastAsia="宋体" w:hAnsi="宋体" w:cs="Courier New" w:hint="eastAsia"/>
          <w:b/>
          <w:bCs/>
          <w:sz w:val="24"/>
          <w:szCs w:val="24"/>
        </w:rPr>
        <w:t>理财产品流动性风险应对措施</w:t>
      </w:r>
      <w:r>
        <w:rPr>
          <w:rFonts w:ascii="宋体" w:eastAsia="宋体" w:hAnsi="宋体" w:cs="Courier New"/>
          <w:b/>
          <w:bCs/>
          <w:sz w:val="24"/>
          <w:szCs w:val="24"/>
        </w:rPr>
        <w:t>可能</w:t>
      </w:r>
      <w:r>
        <w:rPr>
          <w:rFonts w:ascii="宋体" w:eastAsia="宋体" w:hAnsi="宋体" w:cs="Courier New" w:hint="eastAsia"/>
          <w:b/>
          <w:bCs/>
          <w:sz w:val="24"/>
          <w:szCs w:val="24"/>
        </w:rPr>
        <w:t>导致无法满足投资者对产品的部分或全部认（申）购或赎回需求，进而</w:t>
      </w:r>
      <w:r>
        <w:rPr>
          <w:rFonts w:ascii="宋体" w:eastAsia="宋体" w:hAnsi="宋体" w:cs="Courier New"/>
          <w:b/>
          <w:bCs/>
          <w:sz w:val="24"/>
          <w:szCs w:val="24"/>
        </w:rPr>
        <w:t>影响投资者的资金流动性安排。</w:t>
      </w:r>
      <w:r>
        <w:rPr>
          <w:rFonts w:ascii="宋体" w:eastAsia="宋体" w:hAnsi="宋体" w:cs="Courier New" w:hint="eastAsia"/>
          <w:b/>
          <w:bCs/>
          <w:sz w:val="24"/>
          <w:szCs w:val="24"/>
        </w:rPr>
        <w:t>当产品</w:t>
      </w:r>
      <w:r>
        <w:rPr>
          <w:rFonts w:ascii="宋体" w:eastAsia="宋体" w:hAnsi="宋体" w:cs="Courier New" w:hint="eastAsia"/>
          <w:b/>
          <w:bCs/>
          <w:sz w:val="24"/>
          <w:szCs w:val="24"/>
        </w:rPr>
        <w:t>管理人根据产品说明书中与投资者事先约定的相关措施的处理方法和程序接受投资者的认（申）购申请时，可能会造成理财产品投资收益摊薄、后续发生巨额赎回可能性增加等潜在影响。</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5</w:t>
      </w:r>
      <w:r>
        <w:rPr>
          <w:rFonts w:ascii="宋体" w:eastAsia="宋体" w:hAnsi="宋体" w:cs="Times New Roman" w:hint="eastAsia"/>
          <w:b/>
          <w:sz w:val="24"/>
          <w:szCs w:val="24"/>
        </w:rPr>
        <w:t>、不达业绩比较基准的风险：产品的业绩比较基准为综合考虑产品的投资组合及同类产品过往业绩等因素测算而得，不代表产品业绩的未来表现，不作为宁银理财向您支付产品本金或收益的承诺。本产品为净值型产品，业绩表现将随市场情况波动，具有不确定性，产品业绩表现存在不达业绩基准的风险。</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6</w:t>
      </w:r>
      <w:r>
        <w:rPr>
          <w:rFonts w:ascii="宋体" w:eastAsia="宋体" w:hAnsi="宋体" w:cs="Times New Roman" w:hint="eastAsia"/>
          <w:b/>
          <w:sz w:val="24"/>
          <w:szCs w:val="24"/>
        </w:rPr>
        <w:t>、提前终止风险：</w:t>
      </w:r>
      <w:r>
        <w:rPr>
          <w:rFonts w:ascii="Times New Roman" w:eastAsia="宋体" w:hAnsi="Times New Roman" w:cs="Times New Roman" w:hint="eastAsia"/>
          <w:sz w:val="24"/>
          <w:szCs w:val="24"/>
        </w:rPr>
        <w:t>在理财产品存续期内，宁银理财有权在特定情况下提前终止理财</w:t>
      </w:r>
      <w:r>
        <w:rPr>
          <w:rFonts w:ascii="Times New Roman" w:eastAsia="宋体" w:hAnsi="Times New Roman" w:cs="Times New Roman" w:hint="eastAsia"/>
          <w:sz w:val="24"/>
          <w:szCs w:val="24"/>
        </w:rPr>
        <w:t>产品，一旦产品被提前终止，您可能面临不能继续持有产品的风险。</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7</w:t>
      </w:r>
      <w:r>
        <w:rPr>
          <w:rFonts w:ascii="宋体" w:eastAsia="宋体" w:hAnsi="宋体" w:cs="Times New Roman" w:hint="eastAsia"/>
          <w:b/>
          <w:sz w:val="24"/>
          <w:szCs w:val="24"/>
        </w:rPr>
        <w:t>、延期风险：理财产品到期或您决定赎回本产品时，若出现所投资产无法顺利变现、市场发生重大变动或其他宁银理财认为需要延期支付的情形时，本产品将面临无法按时支付相关款项的风险。</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8</w:t>
      </w:r>
      <w:r>
        <w:rPr>
          <w:rFonts w:ascii="宋体" w:eastAsia="宋体" w:hAnsi="宋体" w:cs="Times New Roman" w:hint="eastAsia"/>
          <w:b/>
          <w:sz w:val="24"/>
          <w:szCs w:val="24"/>
        </w:rPr>
        <w:t>、政策风险：理财产品在运作过程中，由于国家宏观政策以及市场相关法律法规、监管规定发生变化，导致产品的发行、投资、兑付等流程受到影响，进而影响产品的投资运作和收益的风险。</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9</w:t>
      </w:r>
      <w:r>
        <w:rPr>
          <w:rFonts w:ascii="宋体" w:eastAsia="宋体" w:hAnsi="宋体" w:cs="Times New Roman" w:hint="eastAsia"/>
          <w:b/>
          <w:sz w:val="24"/>
          <w:szCs w:val="24"/>
        </w:rPr>
        <w:t>、信息传递风险：宁银理财将于理财产品募集期间、存续期间和终止时，通过本公司官网（</w:t>
      </w:r>
      <w:r>
        <w:rPr>
          <w:rFonts w:ascii="宋体" w:eastAsia="宋体" w:hAnsi="宋体" w:cs="Times New Roman"/>
          <w:b/>
          <w:sz w:val="24"/>
          <w:szCs w:val="24"/>
        </w:rPr>
        <w:t>www.wmbnb.c</w:t>
      </w:r>
      <w:r>
        <w:rPr>
          <w:rFonts w:ascii="宋体" w:eastAsia="宋体" w:hAnsi="宋体" w:cs="Times New Roman"/>
          <w:b/>
          <w:sz w:val="24"/>
          <w:szCs w:val="24"/>
        </w:rPr>
        <w:t>om</w:t>
      </w:r>
      <w:r>
        <w:rPr>
          <w:rFonts w:ascii="宋体" w:eastAsia="宋体" w:hAnsi="宋体" w:cs="Times New Roman" w:hint="eastAsia"/>
          <w:b/>
          <w:sz w:val="24"/>
          <w:szCs w:val="24"/>
        </w:rPr>
        <w:t>）、相关理财代理销售机构官方渠道或其他适当的方式进行信息披露（具体产品的信息披露方式、频率等规则见《理财产品说明书》）。宁银理财或</w:t>
      </w:r>
      <w:r>
        <w:rPr>
          <w:rFonts w:ascii="宋体" w:eastAsia="宋体" w:hAnsi="宋体" w:cs="Times New Roman"/>
          <w:b/>
          <w:sz w:val="24"/>
          <w:szCs w:val="24"/>
        </w:rPr>
        <w:t>代理销售机构通过</w:t>
      </w:r>
      <w:r>
        <w:rPr>
          <w:rFonts w:ascii="宋体" w:eastAsia="宋体" w:hAnsi="宋体" w:cs="Times New Roman" w:hint="eastAsia"/>
          <w:b/>
          <w:sz w:val="24"/>
          <w:szCs w:val="24"/>
        </w:rPr>
        <w:t>理财产品销售</w:t>
      </w:r>
      <w:r>
        <w:rPr>
          <w:rFonts w:ascii="宋体" w:eastAsia="宋体" w:hAnsi="宋体" w:cs="Times New Roman"/>
          <w:b/>
          <w:sz w:val="24"/>
          <w:szCs w:val="24"/>
        </w:rPr>
        <w:t>文件约定方式披露信息后，</w:t>
      </w:r>
      <w:r>
        <w:rPr>
          <w:rFonts w:ascii="宋体" w:eastAsia="宋体" w:hAnsi="宋体" w:cs="Times New Roman" w:hint="eastAsia"/>
          <w:b/>
          <w:sz w:val="24"/>
          <w:szCs w:val="24"/>
        </w:rPr>
        <w:t>视为本公司已</w:t>
      </w:r>
      <w:r>
        <w:rPr>
          <w:rFonts w:ascii="宋体" w:eastAsia="宋体" w:hAnsi="宋体" w:cs="Times New Roman"/>
          <w:b/>
          <w:sz w:val="24"/>
          <w:szCs w:val="24"/>
        </w:rPr>
        <w:t>向</w:t>
      </w:r>
      <w:r>
        <w:rPr>
          <w:rFonts w:ascii="宋体" w:eastAsia="宋体" w:hAnsi="宋体" w:cs="Times New Roman" w:hint="eastAsia"/>
          <w:b/>
          <w:sz w:val="24"/>
          <w:szCs w:val="24"/>
        </w:rPr>
        <w:t>您</w:t>
      </w:r>
      <w:r>
        <w:rPr>
          <w:rFonts w:ascii="宋体" w:eastAsia="宋体" w:hAnsi="宋体" w:cs="Times New Roman"/>
          <w:b/>
          <w:sz w:val="24"/>
          <w:szCs w:val="24"/>
        </w:rPr>
        <w:t>完全履行信息披露义务</w:t>
      </w:r>
      <w:r>
        <w:rPr>
          <w:rFonts w:ascii="宋体" w:eastAsia="宋体" w:hAnsi="宋体" w:cs="Times New Roman" w:hint="eastAsia"/>
          <w:b/>
          <w:sz w:val="24"/>
          <w:szCs w:val="24"/>
        </w:rPr>
        <w:t>，您可依据理财产品销售文件的约定，及时登录本</w:t>
      </w:r>
      <w:r>
        <w:rPr>
          <w:rFonts w:ascii="宋体" w:eastAsia="宋体" w:hAnsi="宋体" w:cs="Times New Roman"/>
          <w:b/>
          <w:sz w:val="24"/>
          <w:szCs w:val="24"/>
        </w:rPr>
        <w:t>公司</w:t>
      </w:r>
      <w:r>
        <w:rPr>
          <w:rFonts w:ascii="宋体" w:eastAsia="宋体" w:hAnsi="宋体" w:cs="Times New Roman"/>
          <w:b/>
          <w:sz w:val="24"/>
          <w:szCs w:val="24"/>
        </w:rPr>
        <w:t>/</w:t>
      </w:r>
      <w:r>
        <w:rPr>
          <w:rFonts w:ascii="宋体" w:eastAsia="宋体" w:hAnsi="宋体" w:cs="Times New Roman"/>
          <w:b/>
          <w:sz w:val="24"/>
          <w:szCs w:val="24"/>
        </w:rPr>
        <w:t>代理销售机构</w:t>
      </w:r>
      <w:r>
        <w:rPr>
          <w:rFonts w:ascii="宋体" w:eastAsia="宋体" w:hAnsi="宋体" w:cs="Times New Roman" w:hint="eastAsia"/>
          <w:b/>
          <w:sz w:val="24"/>
          <w:szCs w:val="24"/>
        </w:rPr>
        <w:t>网站或</w:t>
      </w:r>
      <w:r>
        <w:rPr>
          <w:rFonts w:ascii="宋体" w:eastAsia="宋体" w:hAnsi="宋体" w:cs="Times New Roman"/>
          <w:b/>
          <w:sz w:val="24"/>
          <w:szCs w:val="24"/>
        </w:rPr>
        <w:t>致电</w:t>
      </w:r>
      <w:r>
        <w:rPr>
          <w:rFonts w:ascii="宋体" w:eastAsia="宋体" w:hAnsi="宋体" w:cs="Times New Roman" w:hint="eastAsia"/>
          <w:b/>
          <w:sz w:val="24"/>
          <w:szCs w:val="24"/>
        </w:rPr>
        <w:t>本</w:t>
      </w:r>
      <w:r>
        <w:rPr>
          <w:rFonts w:ascii="宋体" w:eastAsia="宋体" w:hAnsi="宋体" w:cs="Times New Roman"/>
          <w:b/>
          <w:sz w:val="24"/>
          <w:szCs w:val="24"/>
        </w:rPr>
        <w:t>公司</w:t>
      </w:r>
      <w:r>
        <w:rPr>
          <w:rFonts w:ascii="宋体" w:eastAsia="宋体" w:hAnsi="宋体" w:cs="Times New Roman"/>
          <w:b/>
          <w:sz w:val="24"/>
          <w:szCs w:val="24"/>
        </w:rPr>
        <w:t>/</w:t>
      </w:r>
      <w:r>
        <w:rPr>
          <w:rFonts w:ascii="宋体" w:eastAsia="宋体" w:hAnsi="宋体" w:cs="Times New Roman"/>
          <w:b/>
          <w:sz w:val="24"/>
          <w:szCs w:val="24"/>
        </w:rPr>
        <w:t>代理销售机构</w:t>
      </w:r>
      <w:r>
        <w:rPr>
          <w:rFonts w:ascii="宋体" w:eastAsia="宋体" w:hAnsi="宋体" w:cs="Times New Roman" w:hint="eastAsia"/>
          <w:b/>
          <w:sz w:val="24"/>
          <w:szCs w:val="24"/>
        </w:rPr>
        <w:t>客户服务</w:t>
      </w:r>
      <w:r>
        <w:rPr>
          <w:rFonts w:ascii="宋体" w:eastAsia="宋体" w:hAnsi="宋体" w:cs="Times New Roman"/>
          <w:b/>
          <w:sz w:val="24"/>
          <w:szCs w:val="24"/>
        </w:rPr>
        <w:t>热线（</w:t>
      </w:r>
      <w:r>
        <w:rPr>
          <w:rFonts w:ascii="宋体" w:eastAsia="宋体" w:hAnsi="宋体" w:cs="Times New Roman" w:hint="eastAsia"/>
          <w:b/>
          <w:sz w:val="24"/>
          <w:szCs w:val="24"/>
        </w:rPr>
        <w:t>宁银理财：</w:t>
      </w:r>
      <w:r>
        <w:rPr>
          <w:rFonts w:ascii="宋体" w:eastAsia="宋体" w:hAnsi="宋体" w:cs="Times New Roman" w:hint="eastAsia"/>
          <w:b/>
          <w:sz w:val="24"/>
          <w:szCs w:val="24"/>
        </w:rPr>
        <w:t>400-099-5574</w:t>
      </w:r>
      <w:r>
        <w:rPr>
          <w:rFonts w:ascii="宋体" w:eastAsia="宋体" w:hAnsi="宋体" w:cs="Times New Roman" w:hint="eastAsia"/>
          <w:b/>
          <w:sz w:val="24"/>
          <w:szCs w:val="24"/>
        </w:rPr>
        <w:t>；代理销售机构详见《理财产品说明书》</w:t>
      </w:r>
      <w:r>
        <w:rPr>
          <w:rFonts w:ascii="宋体" w:eastAsia="宋体" w:hAnsi="宋体" w:cs="Times New Roman"/>
          <w:b/>
          <w:sz w:val="24"/>
          <w:szCs w:val="24"/>
        </w:rPr>
        <w:t>）</w:t>
      </w:r>
      <w:r>
        <w:rPr>
          <w:rFonts w:ascii="宋体" w:eastAsia="宋体" w:hAnsi="宋体" w:cs="Times New Roman" w:hint="eastAsia"/>
          <w:b/>
          <w:sz w:val="24"/>
          <w:szCs w:val="24"/>
        </w:rPr>
        <w:t>查询。如因您未及时查询，或因通讯、系统故障或其他不可抗力等因素的影响，致使您无法及时了解理财产品信息，所产生的责</w:t>
      </w:r>
      <w:r>
        <w:rPr>
          <w:rFonts w:ascii="宋体" w:eastAsia="宋体" w:hAnsi="宋体" w:cs="Times New Roman" w:hint="eastAsia"/>
          <w:b/>
          <w:sz w:val="24"/>
          <w:szCs w:val="24"/>
        </w:rPr>
        <w:t>任和风险将由</w:t>
      </w:r>
      <w:r>
        <w:rPr>
          <w:rFonts w:ascii="宋体" w:eastAsia="宋体" w:hAnsi="宋体" w:cs="Times New Roman"/>
          <w:b/>
          <w:sz w:val="24"/>
          <w:szCs w:val="24"/>
        </w:rPr>
        <w:t>您</w:t>
      </w:r>
      <w:r>
        <w:rPr>
          <w:rFonts w:ascii="宋体" w:eastAsia="宋体" w:hAnsi="宋体" w:cs="Times New Roman" w:hint="eastAsia"/>
          <w:b/>
          <w:sz w:val="24"/>
          <w:szCs w:val="24"/>
        </w:rPr>
        <w:t>自行承担。</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您预留在</w:t>
      </w:r>
      <w:r>
        <w:rPr>
          <w:rFonts w:ascii="宋体" w:eastAsia="宋体" w:hAnsi="宋体" w:cs="Times New Roman"/>
          <w:b/>
          <w:sz w:val="24"/>
          <w:szCs w:val="24"/>
        </w:rPr>
        <w:t>公司</w:t>
      </w:r>
      <w:r>
        <w:rPr>
          <w:rFonts w:ascii="宋体" w:eastAsia="宋体" w:hAnsi="宋体" w:cs="Times New Roman" w:hint="eastAsia"/>
          <w:b/>
          <w:sz w:val="24"/>
          <w:szCs w:val="24"/>
        </w:rPr>
        <w:t>或代理销售机构的有效联系方式若发生变更，应及时通知</w:t>
      </w:r>
      <w:r>
        <w:rPr>
          <w:rFonts w:ascii="宋体" w:eastAsia="宋体" w:hAnsi="宋体" w:cs="Times New Roman"/>
          <w:b/>
          <w:sz w:val="24"/>
          <w:szCs w:val="24"/>
        </w:rPr>
        <w:t>公司</w:t>
      </w:r>
      <w:r>
        <w:rPr>
          <w:rFonts w:ascii="宋体" w:eastAsia="宋体" w:hAnsi="宋体" w:cs="Times New Roman" w:hint="eastAsia"/>
          <w:b/>
          <w:sz w:val="24"/>
          <w:szCs w:val="24"/>
        </w:rPr>
        <w:t>或代理销售机构，如因您未及时告知，导致公司或代理销售机构无法及时联</w:t>
      </w:r>
      <w:r>
        <w:rPr>
          <w:rFonts w:ascii="宋体" w:eastAsia="宋体" w:hAnsi="宋体" w:cs="Times New Roman" w:hint="eastAsia"/>
          <w:b/>
          <w:sz w:val="24"/>
          <w:szCs w:val="24"/>
        </w:rPr>
        <w:t>系您，由此产生的责任和风险将由</w:t>
      </w:r>
      <w:r>
        <w:rPr>
          <w:rFonts w:ascii="宋体" w:eastAsia="宋体" w:hAnsi="宋体" w:cs="Times New Roman"/>
          <w:b/>
          <w:sz w:val="24"/>
          <w:szCs w:val="24"/>
        </w:rPr>
        <w:t>您</w:t>
      </w:r>
      <w:r>
        <w:rPr>
          <w:rFonts w:ascii="宋体" w:eastAsia="宋体" w:hAnsi="宋体" w:cs="Times New Roman" w:hint="eastAsia"/>
          <w:b/>
          <w:sz w:val="24"/>
          <w:szCs w:val="24"/>
        </w:rPr>
        <w:t>自行承担。</w:t>
      </w:r>
    </w:p>
    <w:p w:rsidR="00CD2B94">
      <w:pPr>
        <w:spacing w:line="312" w:lineRule="auto"/>
        <w:ind w:left="63" w:firstLine="480" w:leftChars="30" w:firstLineChars="200"/>
        <w:rPr>
          <w:rFonts w:ascii="宋体" w:eastAsia="宋体" w:hAnsi="宋体" w:cs="Courier New"/>
          <w:b/>
          <w:bCs/>
          <w:sz w:val="24"/>
          <w:szCs w:val="24"/>
        </w:rPr>
      </w:pPr>
      <w:r>
        <w:rPr>
          <w:rFonts w:ascii="宋体" w:eastAsia="宋体" w:hAnsi="宋体" w:cs="Courier New"/>
          <w:b/>
          <w:bCs/>
          <w:sz w:val="24"/>
          <w:szCs w:val="24"/>
        </w:rPr>
        <w:t>10</w:t>
      </w:r>
      <w:r>
        <w:rPr>
          <w:rFonts w:ascii="宋体" w:eastAsia="宋体" w:hAnsi="宋体" w:cs="Courier New" w:hint="eastAsia"/>
          <w:b/>
          <w:bCs/>
          <w:sz w:val="24"/>
          <w:szCs w:val="24"/>
        </w:rPr>
        <w:t>、汇率风险：当理财产品的投资涉及非本国货币时，存在汇率波动带来的风险。</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sz w:val="24"/>
          <w:szCs w:val="24"/>
        </w:rPr>
        <w:t>11</w:t>
      </w:r>
      <w:r>
        <w:rPr>
          <w:rFonts w:ascii="宋体" w:eastAsia="宋体" w:hAnsi="宋体" w:cs="Times New Roman" w:hint="eastAsia"/>
          <w:b/>
          <w:sz w:val="24"/>
          <w:szCs w:val="24"/>
        </w:rPr>
        <w:t>、不可抗力风险及意外事件风险：战争、自然灾害、重大政治事件等不可抗力因素或非宁银理财原因的系统故障、投资市场停止交易等意外事件，可能严重影响理财产品的正常运作，影响理财</w:t>
      </w:r>
      <w:r>
        <w:rPr>
          <w:rFonts w:ascii="宋体" w:eastAsia="宋体" w:hAnsi="宋体" w:cs="Times New Roman"/>
          <w:b/>
          <w:sz w:val="24"/>
          <w:szCs w:val="24"/>
        </w:rPr>
        <w:t>产品投资业绩</w:t>
      </w:r>
      <w:r>
        <w:rPr>
          <w:rFonts w:ascii="宋体" w:eastAsia="宋体" w:hAnsi="宋体" w:cs="Times New Roman" w:hint="eastAsia"/>
          <w:b/>
          <w:sz w:val="24"/>
          <w:szCs w:val="24"/>
        </w:rPr>
        <w:t>。</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b/>
          <w:bCs/>
          <w:sz w:val="24"/>
          <w:szCs w:val="24"/>
        </w:rPr>
        <w:t>12</w:t>
      </w:r>
      <w:r>
        <w:rPr>
          <w:rFonts w:ascii="宋体" w:eastAsia="宋体" w:hAnsi="宋体" w:cs="Times New Roman"/>
          <w:b/>
          <w:sz w:val="24"/>
          <w:szCs w:val="24"/>
        </w:rPr>
        <w:t>、</w:t>
      </w:r>
      <w:r w:rsidR="00B871D7">
        <w:rPr>
          <w:rFonts w:ascii="宋体" w:eastAsia="宋体" w:hAnsi="宋体" w:cs="Times New Roman" w:hint="eastAsia"/>
          <w:b/>
          <w:sz w:val="24"/>
          <w:szCs w:val="24"/>
        </w:rPr>
        <w:t>特别风险提示：</w:t>
      </w:r>
      <w:r>
        <w:rPr>
          <w:rFonts w:ascii="宋体" w:eastAsia="宋体" w:hAnsi="宋体" w:cs="Times New Roman" w:hint="eastAsia"/>
          <w:b/>
          <w:sz w:val="24"/>
          <w:szCs w:val="24"/>
        </w:rPr>
        <w:t>本产品计划投资于商品及金融衍生品类资产，投资于以上资产可能面临包括但不限于以下持仓风险：</w:t>
      </w:r>
    </w:p>
    <w:p w:rsidR="00CD2B94">
      <w:pPr>
        <w:spacing w:line="312" w:lineRule="auto"/>
        <w:ind w:left="63" w:firstLine="240" w:leftChars="30" w:firstLineChars="100"/>
        <w:rPr>
          <w:rFonts w:ascii="宋体" w:eastAsia="宋体" w:hAnsi="宋体" w:cs="Times New Roman"/>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交易对手相关风险：</w:t>
      </w:r>
      <w:r>
        <w:rPr>
          <w:rFonts w:ascii="宋体" w:eastAsia="宋体" w:hAnsi="宋体" w:cs="Times New Roman"/>
          <w:sz w:val="24"/>
          <w:szCs w:val="24"/>
        </w:rPr>
        <w:t>金融衍生品交易对手相关风险可能包括信用风险、操作风险、技术风险等。其中，信用风险指在金融衍生品交易和结算过程中，交易对手方可能发生违约情形、遭受不可抗力影响或因破产等其他非主观原因导致无法履行金融衍生品交易合同项下的支付、交付义务而给投资者造成损失的风险；操作风险指交易对手在业务操作过程中，可能因操作失误或违反操作规程导致交易失败或资金划拨失败等而给投资者带来的风险；技术风险指交易对手由于信息技</w:t>
      </w:r>
      <w:r>
        <w:rPr>
          <w:rFonts w:ascii="宋体" w:eastAsia="宋体" w:hAnsi="宋体" w:cs="Times New Roman"/>
          <w:sz w:val="24"/>
          <w:szCs w:val="24"/>
        </w:rPr>
        <w:t>术系统发生故障、存在缺陷等因素影响交易撮合、清算估值、会计核算、资金划转等业务的正常开展，</w:t>
      </w:r>
      <w:r>
        <w:rPr>
          <w:rFonts w:ascii="宋体" w:eastAsia="宋体" w:hAnsi="宋体" w:cs="Times New Roman" w:hint="eastAsia"/>
          <w:sz w:val="24"/>
          <w:szCs w:val="24"/>
        </w:rPr>
        <w:t>导致投资者利益受到影响的风险。</w:t>
      </w:r>
    </w:p>
    <w:p w:rsidR="00CD2B94">
      <w:pPr>
        <w:spacing w:line="312" w:lineRule="auto"/>
        <w:ind w:left="63" w:firstLine="240" w:leftChars="30" w:firstLineChars="100"/>
        <w:rPr>
          <w:rFonts w:ascii="宋体" w:eastAsia="宋体" w:hAnsi="宋体" w:cs="Times New Roman"/>
          <w:sz w:val="24"/>
          <w:szCs w:val="24"/>
        </w:rPr>
      </w:pPr>
      <w:r>
        <w:rPr>
          <w:rFonts w:ascii="宋体" w:eastAsia="宋体" w:hAnsi="宋体" w:cs="Times New Roman" w:hint="eastAsia"/>
          <w:b/>
          <w:sz w:val="24"/>
          <w:szCs w:val="24"/>
        </w:rPr>
        <w:t>（二）</w:t>
      </w:r>
      <w:r>
        <w:rPr>
          <w:rFonts w:ascii="宋体" w:eastAsia="宋体" w:hAnsi="宋体" w:cs="Times New Roman"/>
          <w:b/>
          <w:sz w:val="24"/>
          <w:szCs w:val="24"/>
        </w:rPr>
        <w:t>金融衍生品估值模型风险</w:t>
      </w:r>
      <w:r>
        <w:rPr>
          <w:rFonts w:ascii="宋体" w:eastAsia="宋体" w:hAnsi="宋体" w:cs="Times New Roman"/>
          <w:sz w:val="24"/>
          <w:szCs w:val="24"/>
        </w:rPr>
        <w:t>：金融衍生品的估值结果受到估值模型、基于估值模型的计算方法及模型参数等多方面因素的共同影响，任一因素的调整均会导致计算得到的估值结果发生变动，因此金融衍生品存续期间的估值结果仅可作为参考，具体金融衍生品提前终止、部分提前终止、追加交易等均以交易对手实际交易确认结果为准。</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1</w:t>
      </w:r>
      <w:r>
        <w:rPr>
          <w:rFonts w:ascii="宋体" w:eastAsia="宋体" w:hAnsi="宋体" w:cs="Times New Roman"/>
          <w:b/>
          <w:sz w:val="24"/>
          <w:szCs w:val="24"/>
        </w:rPr>
        <w:t>3</w:t>
      </w:r>
      <w:r>
        <w:rPr>
          <w:rFonts w:ascii="宋体" w:eastAsia="宋体" w:hAnsi="宋体" w:cs="Times New Roman" w:hint="eastAsia"/>
          <w:b/>
          <w:sz w:val="24"/>
          <w:szCs w:val="24"/>
        </w:rPr>
        <w:t>、本产品可能投资永续债，届时将可能面临包括但不限于以下风险：</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w:t>
      </w:r>
      <w:r>
        <w:rPr>
          <w:rFonts w:ascii="宋体" w:eastAsia="宋体" w:hAnsi="宋体" w:cs="Times New Roman" w:hint="eastAsia"/>
          <w:b/>
          <w:sz w:val="24"/>
          <w:szCs w:val="24"/>
        </w:rPr>
        <w:t>1</w:t>
      </w:r>
      <w:r>
        <w:rPr>
          <w:rFonts w:ascii="宋体" w:eastAsia="宋体" w:hAnsi="宋体" w:cs="Times New Roman" w:hint="eastAsia"/>
          <w:b/>
          <w:sz w:val="24"/>
          <w:szCs w:val="24"/>
        </w:rPr>
        <w:t>）信用风险：由于永续</w:t>
      </w:r>
      <w:r>
        <w:rPr>
          <w:rFonts w:ascii="宋体" w:eastAsia="宋体" w:hAnsi="宋体" w:cs="Times New Roman" w:hint="eastAsia"/>
          <w:b/>
          <w:sz w:val="24"/>
          <w:szCs w:val="24"/>
        </w:rPr>
        <w:t>债发行人长期偿债能力和信用状况发生变化，可能导致债券违约或评级下调。</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w:t>
      </w:r>
      <w:r>
        <w:rPr>
          <w:rFonts w:ascii="宋体" w:eastAsia="宋体" w:hAnsi="宋体" w:cs="Times New Roman" w:hint="eastAsia"/>
          <w:b/>
          <w:sz w:val="24"/>
          <w:szCs w:val="24"/>
        </w:rPr>
        <w:t>2</w:t>
      </w:r>
      <w:r>
        <w:rPr>
          <w:rFonts w:ascii="宋体" w:eastAsia="宋体" w:hAnsi="宋体" w:cs="Times New Roman" w:hint="eastAsia"/>
          <w:b/>
          <w:sz w:val="24"/>
          <w:szCs w:val="24"/>
        </w:rPr>
        <w:t>）利率风险：永续债期限较长或无固定到期日，对利率变动较为敏感，利率上升时价格下跌幅度通常较大。</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w:t>
      </w:r>
      <w:r>
        <w:rPr>
          <w:rFonts w:ascii="宋体" w:eastAsia="宋体" w:hAnsi="宋体" w:cs="Times New Roman"/>
          <w:b/>
          <w:sz w:val="24"/>
          <w:szCs w:val="24"/>
        </w:rPr>
        <w:t>3</w:t>
      </w:r>
      <w:r>
        <w:rPr>
          <w:rFonts w:ascii="宋体" w:eastAsia="宋体" w:hAnsi="宋体" w:cs="Times New Roman"/>
          <w:b/>
          <w:sz w:val="24"/>
          <w:szCs w:val="24"/>
        </w:rPr>
        <w:t>）</w:t>
      </w:r>
      <w:r>
        <w:rPr>
          <w:rFonts w:ascii="宋体" w:eastAsia="宋体" w:hAnsi="宋体" w:cs="Times New Roman" w:hint="eastAsia"/>
          <w:b/>
          <w:sz w:val="24"/>
          <w:szCs w:val="24"/>
        </w:rPr>
        <w:t>流动性风险：永续债二级市场交易可能不活跃，尤其在市场快速变化或信用风险抬升时，可能难以迅速变现或需折价出售。</w:t>
      </w:r>
    </w:p>
    <w:p w:rsidR="00CD2B94">
      <w:pPr>
        <w:spacing w:line="312" w:lineRule="auto"/>
        <w:ind w:left="63" w:firstLine="240" w:leftChars="30" w:firstLineChars="100"/>
        <w:rPr>
          <w:rFonts w:ascii="宋体" w:eastAsia="宋体" w:hAnsi="宋体" w:cs="Times New Roman"/>
          <w:sz w:val="24"/>
          <w:szCs w:val="24"/>
        </w:rPr>
      </w:pPr>
    </w:p>
    <w:p w:rsidR="00CD2B94">
      <w:pPr>
        <w:spacing w:line="312" w:lineRule="auto"/>
        <w:ind w:firstLine="480" w:firstLineChars="200"/>
        <w:rPr>
          <w:rFonts w:ascii="宋体" w:eastAsia="宋体" w:hAnsi="宋体" w:cs="Times New Roman"/>
          <w:b/>
          <w:sz w:val="24"/>
          <w:szCs w:val="24"/>
        </w:rPr>
      </w:pPr>
      <w:r>
        <w:rPr>
          <w:rFonts w:ascii="宋体" w:eastAsia="宋体" w:hAnsi="宋体" w:cs="Times New Roman" w:hint="eastAsia"/>
          <w:b/>
          <w:sz w:val="24"/>
          <w:szCs w:val="24"/>
        </w:rPr>
        <w:t>上述风险发生时，您的本金及收益可能遭受损失，在最不利情况下，您将损失全部的本金及收益，由此产生的风险及损失将由</w:t>
      </w:r>
      <w:r>
        <w:rPr>
          <w:rFonts w:ascii="宋体" w:eastAsia="宋体" w:hAnsi="宋体" w:cs="Times New Roman"/>
          <w:b/>
          <w:sz w:val="24"/>
          <w:szCs w:val="24"/>
        </w:rPr>
        <w:t>您</w:t>
      </w:r>
      <w:r>
        <w:rPr>
          <w:rFonts w:ascii="宋体" w:eastAsia="宋体" w:hAnsi="宋体" w:cs="Times New Roman" w:hint="eastAsia"/>
          <w:b/>
          <w:sz w:val="24"/>
          <w:szCs w:val="24"/>
        </w:rPr>
        <w:t>自行承担。</w:t>
      </w:r>
    </w:p>
    <w:p w:rsidR="00CD2B94">
      <w:pPr>
        <w:spacing w:line="312" w:lineRule="auto"/>
        <w:ind w:left="63" w:firstLine="480" w:leftChars="30" w:firstLineChars="200"/>
        <w:rPr>
          <w:rFonts w:ascii="宋体" w:eastAsia="宋体" w:hAnsi="宋体" w:cs="Times New Roman"/>
          <w:sz w:val="24"/>
          <w:szCs w:val="24"/>
        </w:rPr>
      </w:pP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根据现行法律法规对于理财</w:t>
      </w:r>
      <w:r>
        <w:rPr>
          <w:rFonts w:ascii="宋体" w:eastAsia="宋体" w:hAnsi="宋体" w:cs="Times New Roman"/>
          <w:sz w:val="24"/>
          <w:szCs w:val="24"/>
        </w:rPr>
        <w:t>产品的分类</w:t>
      </w:r>
      <w:r>
        <w:rPr>
          <w:rFonts w:ascii="宋体" w:eastAsia="宋体" w:hAnsi="宋体" w:cs="Times New Roman" w:hint="eastAsia"/>
          <w:sz w:val="24"/>
          <w:szCs w:val="24"/>
        </w:rPr>
        <w:t>，您还需要了解以下信息：</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b/>
          <w:sz w:val="24"/>
          <w:szCs w:val="24"/>
        </w:rPr>
        <w:t>1</w:t>
      </w:r>
      <w:r>
        <w:rPr>
          <w:rFonts w:ascii="宋体" w:eastAsia="宋体" w:hAnsi="宋体" w:cs="Times New Roman"/>
          <w:b/>
          <w:sz w:val="24"/>
          <w:szCs w:val="24"/>
        </w:rPr>
        <w:t>、</w:t>
      </w:r>
      <w:r>
        <w:rPr>
          <w:rFonts w:ascii="宋体" w:eastAsia="宋体" w:hAnsi="宋体" w:cs="Times New Roman" w:hint="eastAsia"/>
          <w:b/>
          <w:sz w:val="24"/>
          <w:szCs w:val="24"/>
        </w:rPr>
        <w:t>根据募集方式的不同，理财产品分为公</w:t>
      </w:r>
      <w:r>
        <w:rPr>
          <w:rFonts w:ascii="宋体" w:eastAsia="宋体" w:hAnsi="宋体" w:cs="Times New Roman" w:hint="eastAsia"/>
          <w:b/>
          <w:sz w:val="24"/>
          <w:szCs w:val="24"/>
        </w:rPr>
        <w:t>募理财产品和私募理财产品。</w:t>
      </w:r>
      <w:r>
        <w:rPr>
          <w:rFonts w:ascii="宋体" w:eastAsia="宋体" w:hAnsi="宋体" w:cs="Times New Roman" w:hint="eastAsia"/>
          <w:sz w:val="24"/>
          <w:szCs w:val="24"/>
        </w:rPr>
        <w:t>公</w:t>
      </w:r>
      <w:r>
        <w:rPr>
          <w:rFonts w:ascii="宋体" w:eastAsia="宋体" w:hAnsi="宋体" w:cs="Times New Roman" w:hint="eastAsia"/>
          <w:sz w:val="24"/>
          <w:szCs w:val="24"/>
        </w:rPr>
        <w:t>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（一）具有</w:t>
      </w:r>
      <w:r>
        <w:rPr>
          <w:rFonts w:ascii="宋体" w:eastAsia="宋体" w:hAnsi="宋体" w:cs="Times New Roman"/>
          <w:sz w:val="24"/>
          <w:szCs w:val="24"/>
        </w:rPr>
        <w:t>2</w:t>
      </w:r>
      <w:r>
        <w:rPr>
          <w:rFonts w:ascii="宋体" w:eastAsia="宋体" w:hAnsi="宋体" w:cs="Times New Roman"/>
          <w:sz w:val="24"/>
          <w:szCs w:val="24"/>
        </w:rPr>
        <w:t>年以上投资经历，且满足家庭金融净资产不低于</w:t>
      </w:r>
      <w:r>
        <w:rPr>
          <w:rFonts w:ascii="宋体" w:eastAsia="宋体" w:hAnsi="宋体" w:cs="Times New Roman"/>
          <w:sz w:val="24"/>
          <w:szCs w:val="24"/>
        </w:rPr>
        <w:t>300</w:t>
      </w:r>
      <w:r>
        <w:rPr>
          <w:rFonts w:ascii="宋体" w:eastAsia="宋体" w:hAnsi="宋体" w:cs="Times New Roman"/>
          <w:sz w:val="24"/>
          <w:szCs w:val="24"/>
        </w:rPr>
        <w:t>万元人民币，或者家庭金融资产不低于</w:t>
      </w:r>
      <w:r>
        <w:rPr>
          <w:rFonts w:ascii="宋体" w:eastAsia="宋体" w:hAnsi="宋体" w:cs="Times New Roman"/>
          <w:sz w:val="24"/>
          <w:szCs w:val="24"/>
        </w:rPr>
        <w:t>500</w:t>
      </w:r>
      <w:r>
        <w:rPr>
          <w:rFonts w:ascii="宋体" w:eastAsia="宋体" w:hAnsi="宋体" w:cs="Times New Roman"/>
          <w:sz w:val="24"/>
          <w:szCs w:val="24"/>
        </w:rPr>
        <w:t>万元人民币，或者近</w:t>
      </w:r>
      <w:r>
        <w:rPr>
          <w:rFonts w:ascii="宋体" w:eastAsia="宋体" w:hAnsi="宋体" w:cs="Times New Roman"/>
          <w:sz w:val="24"/>
          <w:szCs w:val="24"/>
        </w:rPr>
        <w:t>3</w:t>
      </w:r>
      <w:r>
        <w:rPr>
          <w:rFonts w:ascii="宋体" w:eastAsia="宋体" w:hAnsi="宋体" w:cs="Times New Roman"/>
          <w:sz w:val="24"/>
          <w:szCs w:val="24"/>
        </w:rPr>
        <w:t>年本人年均收入不低于</w:t>
      </w:r>
      <w:r>
        <w:rPr>
          <w:rFonts w:ascii="宋体" w:eastAsia="宋体" w:hAnsi="宋体" w:cs="Times New Roman"/>
          <w:sz w:val="24"/>
          <w:szCs w:val="24"/>
        </w:rPr>
        <w:t>40</w:t>
      </w:r>
      <w:r>
        <w:rPr>
          <w:rFonts w:ascii="宋体" w:eastAsia="宋体" w:hAnsi="宋体" w:cs="Times New Roman"/>
          <w:sz w:val="24"/>
          <w:szCs w:val="24"/>
        </w:rPr>
        <w:t>万元人民币；</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（二）最近</w:t>
      </w:r>
      <w:r>
        <w:rPr>
          <w:rFonts w:ascii="宋体" w:eastAsia="宋体" w:hAnsi="宋体" w:cs="Times New Roman"/>
          <w:sz w:val="24"/>
          <w:szCs w:val="24"/>
        </w:rPr>
        <w:t>1</w:t>
      </w:r>
      <w:r>
        <w:rPr>
          <w:rFonts w:ascii="宋体" w:eastAsia="宋体" w:hAnsi="宋体" w:cs="Times New Roman"/>
          <w:sz w:val="24"/>
          <w:szCs w:val="24"/>
        </w:rPr>
        <w:t>年末净资产不低于</w:t>
      </w:r>
      <w:r>
        <w:rPr>
          <w:rFonts w:ascii="宋体" w:eastAsia="宋体" w:hAnsi="宋体" w:cs="Times New Roman"/>
          <w:sz w:val="24"/>
          <w:szCs w:val="24"/>
        </w:rPr>
        <w:t>1000</w:t>
      </w:r>
      <w:r>
        <w:rPr>
          <w:rFonts w:ascii="宋体" w:eastAsia="宋体" w:hAnsi="宋体" w:cs="Times New Roman"/>
          <w:sz w:val="24"/>
          <w:szCs w:val="24"/>
        </w:rPr>
        <w:t>万</w:t>
      </w:r>
      <w:r>
        <w:rPr>
          <w:rFonts w:ascii="宋体" w:eastAsia="宋体" w:hAnsi="宋体" w:cs="Times New Roman"/>
          <w:sz w:val="24"/>
          <w:szCs w:val="24"/>
        </w:rPr>
        <w:t>元人民币的法人或者依法成立的其他组织；</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（三）国务院银行业监督管理机构规定的其他情形。</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b/>
          <w:sz w:val="24"/>
          <w:szCs w:val="24"/>
        </w:rPr>
        <w:t>2</w:t>
      </w:r>
      <w:r>
        <w:rPr>
          <w:rFonts w:ascii="宋体" w:eastAsia="宋体" w:hAnsi="宋体" w:cs="Times New Roman"/>
          <w:b/>
          <w:sz w:val="24"/>
          <w:szCs w:val="24"/>
        </w:rPr>
        <w:t>、</w:t>
      </w:r>
      <w:r>
        <w:rPr>
          <w:rFonts w:ascii="宋体" w:eastAsia="宋体" w:hAnsi="宋体" w:cs="Times New Roman" w:hint="eastAsia"/>
          <w:b/>
          <w:sz w:val="24"/>
          <w:szCs w:val="24"/>
        </w:rPr>
        <w:t>根据投资性质的不同，理财产品分为固定收益类理财产品、权益类理财产品、商品及金融衍生品类理财产品和混合类理财产品。</w:t>
      </w:r>
      <w:r>
        <w:rPr>
          <w:rFonts w:ascii="宋体" w:eastAsia="宋体" w:hAnsi="宋体" w:cs="Times New Roman" w:hint="eastAsia"/>
          <w:sz w:val="24"/>
          <w:szCs w:val="24"/>
        </w:rPr>
        <w:t>固定收益类理财产品投资于存款、债券等债权类资产的比例不低于</w:t>
      </w:r>
      <w:r>
        <w:rPr>
          <w:rFonts w:ascii="宋体" w:eastAsia="宋体" w:hAnsi="宋体" w:cs="Times New Roman"/>
          <w:sz w:val="24"/>
          <w:szCs w:val="24"/>
        </w:rPr>
        <w:t>80%</w:t>
      </w:r>
      <w:r>
        <w:rPr>
          <w:rFonts w:ascii="宋体" w:eastAsia="宋体" w:hAnsi="宋体" w:cs="Times New Roman"/>
          <w:sz w:val="24"/>
          <w:szCs w:val="24"/>
        </w:rPr>
        <w:t>；权益类理财产品投资于权益类资产的比例不低于</w:t>
      </w:r>
      <w:r>
        <w:rPr>
          <w:rFonts w:ascii="宋体" w:eastAsia="宋体" w:hAnsi="宋体" w:cs="Times New Roman"/>
          <w:sz w:val="24"/>
          <w:szCs w:val="24"/>
        </w:rPr>
        <w:t>80%</w:t>
      </w:r>
      <w:r>
        <w:rPr>
          <w:rFonts w:ascii="宋体" w:eastAsia="宋体" w:hAnsi="宋体" w:cs="Times New Roman"/>
          <w:sz w:val="24"/>
          <w:szCs w:val="24"/>
        </w:rPr>
        <w:t>；商品及金融衍生品类理财产品投资于商品及金融衍生品的比例不低于</w:t>
      </w:r>
      <w:r>
        <w:rPr>
          <w:rFonts w:ascii="宋体" w:eastAsia="宋体" w:hAnsi="宋体" w:cs="Times New Roman"/>
          <w:sz w:val="24"/>
          <w:szCs w:val="24"/>
        </w:rPr>
        <w:t>80%</w:t>
      </w:r>
      <w:r>
        <w:rPr>
          <w:rFonts w:ascii="宋体" w:eastAsia="宋体" w:hAnsi="宋体" w:cs="Times New Roman"/>
          <w:sz w:val="24"/>
          <w:szCs w:val="24"/>
        </w:rPr>
        <w:t>；混合类理财产品投资于债权类资产、权益类资产、商品及金融衍生品类资产且任</w:t>
      </w:r>
      <w:r>
        <w:rPr>
          <w:rFonts w:ascii="宋体" w:eastAsia="宋体" w:hAnsi="宋体" w:cs="Times New Roman" w:hint="eastAsia"/>
          <w:sz w:val="24"/>
          <w:szCs w:val="24"/>
        </w:rPr>
        <w:t>一资产的投资比例未达到前三类理财产品标准。</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b/>
          <w:sz w:val="24"/>
          <w:szCs w:val="24"/>
        </w:rPr>
        <w:t>3</w:t>
      </w:r>
      <w:r>
        <w:rPr>
          <w:rFonts w:ascii="宋体" w:eastAsia="宋体" w:hAnsi="宋体" w:cs="Times New Roman"/>
          <w:b/>
          <w:sz w:val="24"/>
          <w:szCs w:val="24"/>
        </w:rPr>
        <w:t>、</w:t>
      </w:r>
      <w:r>
        <w:rPr>
          <w:rFonts w:ascii="宋体" w:eastAsia="宋体" w:hAnsi="宋体" w:cs="Times New Roman" w:hint="eastAsia"/>
          <w:b/>
          <w:sz w:val="24"/>
          <w:szCs w:val="24"/>
        </w:rPr>
        <w:t>根据运</w:t>
      </w:r>
      <w:r>
        <w:rPr>
          <w:rFonts w:ascii="宋体" w:eastAsia="宋体" w:hAnsi="宋体" w:cs="Times New Roman" w:hint="eastAsia"/>
          <w:b/>
          <w:sz w:val="24"/>
          <w:szCs w:val="24"/>
        </w:rPr>
        <w:t>作方式的不同，将理财产品分为封闭式理财产品和开放式理财产品。</w:t>
      </w:r>
      <w:r>
        <w:rPr>
          <w:rFonts w:ascii="宋体" w:eastAsia="宋体" w:hAnsi="宋体" w:cs="Times New Roman" w:hint="eastAsia"/>
          <w:sz w:val="24"/>
          <w:szCs w:val="24"/>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rsidR="00CD2B94">
      <w:pPr>
        <w:spacing w:line="312" w:lineRule="auto"/>
        <w:ind w:left="63" w:firstLine="480" w:leftChars="30" w:firstLineChars="200"/>
        <w:rPr>
          <w:rFonts w:ascii="宋体" w:eastAsia="宋体" w:hAnsi="宋体" w:cs="Times New Roman"/>
          <w:sz w:val="24"/>
          <w:szCs w:val="24"/>
        </w:rPr>
      </w:pP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对于在本公司直销渠道购买的产品，产品评级以本公司的评级结果为准。对于在代理销售机构购买的产品，代理销售机构应当独立、审慎地对本理财产品进行销售评级，代理销售机构对产品的评级与本公司产品评级结果不一致的，代理销售机构应当采用对应较高风险等级的评级结果并予以披露，理财产品评级应当以代理销售机构最终披露的评级结果为准。</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b/>
          <w:bCs/>
          <w:sz w:val="24"/>
          <w:szCs w:val="24"/>
        </w:rPr>
        <w:t>本产品为公募固定收益类开放式理财</w:t>
      </w:r>
      <w:r>
        <w:rPr>
          <w:rFonts w:ascii="宋体" w:eastAsia="宋体" w:hAnsi="宋体" w:cs="Times New Roman"/>
          <w:b/>
          <w:bCs/>
          <w:sz w:val="24"/>
          <w:szCs w:val="24"/>
        </w:rPr>
        <w:t>，</w:t>
      </w:r>
      <w:r>
        <w:rPr>
          <w:rFonts w:ascii="宋体" w:eastAsia="宋体" w:hAnsi="宋体" w:cs="Times New Roman" w:hint="eastAsia"/>
          <w:b/>
          <w:bCs/>
          <w:sz w:val="24"/>
          <w:szCs w:val="24"/>
        </w:rPr>
        <w:t>收益类型为非保本浮动收益</w:t>
      </w:r>
      <w:r>
        <w:rPr>
          <w:rFonts w:ascii="宋体" w:eastAsia="宋体" w:hAnsi="宋体" w:cs="Times New Roman" w:hint="eastAsia"/>
          <w:b/>
          <w:bCs/>
          <w:sz w:val="24"/>
          <w:szCs w:val="24"/>
        </w:rPr>
        <w:t>,</w:t>
      </w:r>
      <w:r>
        <w:rPr>
          <w:rFonts w:ascii="宋体" w:eastAsia="宋体" w:hAnsi="宋体" w:cs="Times New Roman" w:hint="eastAsia"/>
          <w:b/>
          <w:bCs/>
          <w:sz w:val="24"/>
          <w:szCs w:val="24"/>
        </w:rPr>
        <w:t>投资期限为无固定期限</w:t>
      </w:r>
      <w:r>
        <w:rPr>
          <w:rFonts w:ascii="宋体" w:eastAsia="宋体" w:hAnsi="宋体" w:cs="Times New Roman" w:hint="eastAsia"/>
          <w:b/>
          <w:bCs/>
          <w:sz w:val="24"/>
          <w:szCs w:val="24"/>
        </w:rPr>
        <w:t>,</w:t>
      </w:r>
      <w:r>
        <w:rPr>
          <w:rFonts w:ascii="宋体" w:eastAsia="宋体" w:hAnsi="宋体" w:cs="Times New Roman" w:hint="eastAsia"/>
          <w:b/>
          <w:bCs/>
          <w:sz w:val="24"/>
          <w:szCs w:val="24"/>
        </w:rPr>
        <w:t>本公司对本产品的产品风险评级为</w:t>
      </w:r>
      <w:r>
        <w:rPr>
          <w:rFonts w:ascii="宋体" w:eastAsia="宋体" w:hAnsi="宋体" w:cs="Times New Roman" w:hint="eastAsia"/>
          <w:b/>
          <w:bCs/>
          <w:sz w:val="24"/>
          <w:szCs w:val="24"/>
        </w:rPr>
        <w:t>PR2,</w:t>
      </w:r>
      <w:r>
        <w:rPr>
          <w:rFonts w:ascii="宋体" w:eastAsia="宋体" w:hAnsi="宋体" w:cs="Times New Roman" w:hint="eastAsia"/>
          <w:b/>
          <w:bCs/>
          <w:sz w:val="24"/>
          <w:szCs w:val="24"/>
        </w:rPr>
        <w:t>适合被本公司评为稳健型，平衡型，成长型，进取型的投资者购买。</w:t>
      </w:r>
      <w:r>
        <w:rPr>
          <w:rFonts w:ascii="宋体" w:eastAsia="宋体" w:hAnsi="宋体" w:cs="Times New Roman" w:hint="eastAsia"/>
          <w:sz w:val="24"/>
          <w:szCs w:val="24"/>
        </w:rPr>
        <w:t>该产品通过代理销售机构购买的，</w:t>
      </w:r>
      <w:r>
        <w:rPr>
          <w:rFonts w:ascii="宋体" w:eastAsia="宋体" w:hAnsi="宋体" w:cs="Times New Roman"/>
          <w:sz w:val="24"/>
          <w:szCs w:val="24"/>
        </w:rPr>
        <w:t>产品风险评级</w:t>
      </w:r>
      <w:r>
        <w:rPr>
          <w:rFonts w:ascii="宋体" w:eastAsia="宋体" w:hAnsi="宋体" w:cs="Times New Roman" w:hint="eastAsia"/>
          <w:sz w:val="24"/>
          <w:szCs w:val="24"/>
        </w:rPr>
        <w:t>以代理销售机构最终披露的评级结果为准，投资者的风险承受能力等级以代理销售机构的评估结果为准。</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投资者的本金和收益可能会因市场变动而蒙受重大损失，投资者应充分认</w:t>
      </w:r>
      <w:r>
        <w:rPr>
          <w:rFonts w:ascii="宋体" w:eastAsia="宋体" w:hAnsi="宋体" w:cs="Times New Roman" w:hint="eastAsia"/>
          <w:b/>
          <w:sz w:val="24"/>
          <w:szCs w:val="24"/>
        </w:rPr>
        <w:t>识投资风险，谨慎投资。最不利情况下，</w:t>
      </w:r>
      <w:r>
        <w:rPr>
          <w:rFonts w:ascii="宋体" w:eastAsia="宋体" w:hAnsi="宋体" w:cs="Times New Roman"/>
          <w:b/>
          <w:sz w:val="24"/>
          <w:szCs w:val="24"/>
        </w:rPr>
        <w:t>您将损失全部本金及收益。</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示例：如投资者购买本理财产品，本金为</w:t>
      </w:r>
      <w:r>
        <w:rPr>
          <w:rFonts w:ascii="宋体" w:eastAsia="宋体" w:hAnsi="宋体" w:cs="Times New Roman"/>
          <w:sz w:val="24"/>
          <w:szCs w:val="24"/>
        </w:rPr>
        <w:t>10,000.00</w:t>
      </w:r>
      <w:r>
        <w:rPr>
          <w:rFonts w:ascii="宋体" w:eastAsia="宋体" w:hAnsi="宋体" w:cs="Times New Roman"/>
          <w:sz w:val="24"/>
          <w:szCs w:val="24"/>
        </w:rPr>
        <w:t>元，在理财产品资产组合项下资产全部亏损的最不利情况下，理财产品</w:t>
      </w:r>
      <w:r>
        <w:rPr>
          <w:rFonts w:ascii="宋体" w:eastAsia="宋体" w:hAnsi="宋体" w:cs="Times New Roman"/>
          <w:sz w:val="24"/>
          <w:szCs w:val="24"/>
        </w:rPr>
        <w:t>10,000.00</w:t>
      </w:r>
      <w:r>
        <w:rPr>
          <w:rFonts w:ascii="宋体" w:eastAsia="宋体" w:hAnsi="宋体" w:cs="Times New Roman"/>
          <w:sz w:val="24"/>
          <w:szCs w:val="24"/>
        </w:rPr>
        <w:t>元本金将全部损失。</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特别提示：</w:t>
      </w: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该产品通过代理销售机构销售的，理财产品评级应当以代理销售机构最终披露的评级结果为准，</w:t>
      </w:r>
      <w:r>
        <w:rPr>
          <w:rFonts w:ascii="宋体" w:eastAsia="宋体" w:hAnsi="宋体" w:cs="Times New Roman" w:hint="eastAsia"/>
          <w:b/>
          <w:sz w:val="24"/>
          <w:szCs w:val="24"/>
        </w:rPr>
        <w:t>投资者的风险承受能力等级以代理销售机构的评估结果为准。</w:t>
      </w:r>
    </w:p>
    <w:p w:rsidR="00CD2B94">
      <w:pPr>
        <w:spacing w:line="312" w:lineRule="auto"/>
        <w:ind w:left="63" w:firstLine="480" w:leftChars="30" w:firstLineChars="200"/>
        <w:rPr>
          <w:rFonts w:ascii="宋体" w:eastAsia="宋体" w:hAnsi="宋体" w:cs="Times New Roman"/>
          <w:b/>
          <w:sz w:val="24"/>
          <w:szCs w:val="24"/>
        </w:rPr>
      </w:pPr>
    </w:p>
    <w:p w:rsidR="00CD2B94">
      <w:pPr>
        <w:spacing w:line="312" w:lineRule="auto"/>
        <w:ind w:left="63" w:firstLine="480" w:leftChars="30" w:firstLineChars="200"/>
        <w:rPr>
          <w:rFonts w:ascii="宋体" w:eastAsia="宋体" w:hAnsi="宋体" w:cs="Times New Roman"/>
          <w:sz w:val="24"/>
          <w:szCs w:val="24"/>
        </w:rPr>
      </w:pPr>
    </w:p>
    <w:p w:rsidR="00CD2B94">
      <w:pPr>
        <w:spacing w:line="312" w:lineRule="auto"/>
        <w:ind w:left="63" w:firstLine="480" w:leftChars="30" w:firstLineChars="200"/>
        <w:rPr>
          <w:rFonts w:ascii="宋体" w:eastAsia="宋体" w:hAnsi="宋体" w:cs="Times New Roman"/>
          <w:b/>
          <w:sz w:val="24"/>
          <w:szCs w:val="24"/>
        </w:rPr>
      </w:pPr>
      <w:r>
        <w:rPr>
          <w:rFonts w:ascii="宋体" w:eastAsia="宋体" w:hAnsi="宋体" w:cs="Times New Roman" w:hint="eastAsia"/>
          <w:b/>
          <w:sz w:val="24"/>
          <w:szCs w:val="24"/>
        </w:rPr>
        <w:t>以下内容由投资者填写（如通过线上渠道购买，</w:t>
      </w:r>
      <w:r>
        <w:rPr>
          <w:rFonts w:ascii="宋体" w:eastAsia="宋体" w:hAnsi="宋体" w:cs="Times New Roman"/>
          <w:b/>
          <w:sz w:val="24"/>
          <w:szCs w:val="24"/>
        </w:rPr>
        <w:t>认</w:t>
      </w:r>
      <w:r>
        <w:rPr>
          <w:rFonts w:ascii="宋体" w:eastAsia="宋体" w:hAnsi="宋体" w:cs="Times New Roman" w:hint="eastAsia"/>
          <w:b/>
          <w:sz w:val="24"/>
          <w:szCs w:val="24"/>
        </w:rPr>
        <w:t>（</w:t>
      </w:r>
      <w:r>
        <w:rPr>
          <w:rFonts w:ascii="宋体" w:eastAsia="宋体" w:hAnsi="宋体" w:cs="Times New Roman"/>
          <w:b/>
          <w:sz w:val="24"/>
          <w:szCs w:val="24"/>
        </w:rPr>
        <w:t>申</w:t>
      </w:r>
      <w:r>
        <w:rPr>
          <w:rFonts w:ascii="宋体" w:eastAsia="宋体" w:hAnsi="宋体" w:cs="Times New Roman" w:hint="eastAsia"/>
          <w:b/>
          <w:sz w:val="24"/>
          <w:szCs w:val="24"/>
        </w:rPr>
        <w:t>）</w:t>
      </w:r>
      <w:r>
        <w:rPr>
          <w:rFonts w:ascii="宋体" w:eastAsia="宋体" w:hAnsi="宋体" w:cs="Times New Roman"/>
          <w:b/>
          <w:sz w:val="24"/>
          <w:szCs w:val="24"/>
        </w:rPr>
        <w:t>购</w:t>
      </w:r>
      <w:r>
        <w:rPr>
          <w:rFonts w:ascii="宋体" w:eastAsia="宋体" w:hAnsi="宋体" w:cs="Times New Roman" w:hint="eastAsia"/>
          <w:b/>
          <w:sz w:val="24"/>
          <w:szCs w:val="24"/>
        </w:rPr>
        <w:t>确认</w:t>
      </w:r>
      <w:r>
        <w:rPr>
          <w:rFonts w:ascii="宋体" w:eastAsia="宋体" w:hAnsi="宋体" w:cs="Times New Roman"/>
          <w:b/>
          <w:sz w:val="24"/>
          <w:szCs w:val="24"/>
        </w:rPr>
        <w:t>即视为</w:t>
      </w:r>
      <w:r>
        <w:rPr>
          <w:rFonts w:ascii="宋体" w:eastAsia="宋体" w:hAnsi="宋体" w:cs="Times New Roman" w:hint="eastAsia"/>
          <w:b/>
          <w:sz w:val="24"/>
          <w:szCs w:val="24"/>
        </w:rPr>
        <w:t>您同意自身</w:t>
      </w:r>
      <w:r>
        <w:rPr>
          <w:rFonts w:ascii="宋体" w:eastAsia="宋体" w:hAnsi="宋体" w:cs="Times New Roman"/>
          <w:b/>
          <w:sz w:val="24"/>
          <w:szCs w:val="24"/>
        </w:rPr>
        <w:t>风险</w:t>
      </w:r>
      <w:r>
        <w:rPr>
          <w:rFonts w:ascii="宋体" w:eastAsia="宋体" w:hAnsi="宋体" w:cs="Times New Roman" w:hint="eastAsia"/>
          <w:b/>
          <w:sz w:val="24"/>
          <w:szCs w:val="24"/>
        </w:rPr>
        <w:t>承受</w:t>
      </w:r>
      <w:r>
        <w:rPr>
          <w:rFonts w:ascii="宋体" w:eastAsia="宋体" w:hAnsi="宋体" w:cs="Times New Roman"/>
          <w:b/>
          <w:sz w:val="24"/>
          <w:szCs w:val="24"/>
        </w:rPr>
        <w:t>能力评级并确认</w:t>
      </w:r>
      <w:r>
        <w:rPr>
          <w:rFonts w:ascii="宋体" w:eastAsia="宋体" w:hAnsi="宋体" w:cs="Times New Roman" w:hint="eastAsia"/>
          <w:b/>
          <w:sz w:val="24"/>
          <w:szCs w:val="24"/>
        </w:rPr>
        <w:t>风险</w:t>
      </w:r>
      <w:r>
        <w:rPr>
          <w:rFonts w:ascii="宋体" w:eastAsia="宋体" w:hAnsi="宋体" w:cs="Times New Roman"/>
          <w:b/>
          <w:sz w:val="24"/>
          <w:szCs w:val="24"/>
        </w:rPr>
        <w:t>揭示内容，愿意承担投资风险</w:t>
      </w:r>
      <w:r>
        <w:rPr>
          <w:rFonts w:ascii="宋体" w:eastAsia="宋体" w:hAnsi="宋体" w:cs="Times New Roman" w:hint="eastAsia"/>
          <w:b/>
          <w:sz w:val="24"/>
          <w:szCs w:val="24"/>
        </w:rPr>
        <w:t>，该等确认与书面</w:t>
      </w:r>
      <w:r>
        <w:rPr>
          <w:rFonts w:ascii="宋体" w:eastAsia="宋体" w:hAnsi="宋体" w:cs="Times New Roman"/>
          <w:b/>
          <w:sz w:val="24"/>
          <w:szCs w:val="24"/>
        </w:rPr>
        <w:t>签署具有同等</w:t>
      </w:r>
      <w:r>
        <w:rPr>
          <w:rFonts w:ascii="宋体" w:eastAsia="宋体" w:hAnsi="宋体" w:cs="Times New Roman" w:hint="eastAsia"/>
          <w:b/>
          <w:sz w:val="24"/>
          <w:szCs w:val="24"/>
        </w:rPr>
        <w:t>效力，无需</w:t>
      </w:r>
      <w:r>
        <w:rPr>
          <w:rFonts w:ascii="宋体" w:eastAsia="宋体" w:hAnsi="宋体" w:cs="Times New Roman"/>
          <w:b/>
          <w:sz w:val="24"/>
          <w:szCs w:val="24"/>
        </w:rPr>
        <w:t>另行签署纸质文件</w:t>
      </w:r>
      <w:r>
        <w:rPr>
          <w:rFonts w:ascii="宋体" w:eastAsia="宋体" w:hAnsi="宋体" w:cs="Times New Roman" w:hint="eastAsia"/>
          <w:b/>
          <w:sz w:val="24"/>
          <w:szCs w:val="24"/>
        </w:rPr>
        <w:t>）：</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sz w:val="24"/>
          <w:szCs w:val="24"/>
        </w:rPr>
        <w:t>、本人</w:t>
      </w:r>
      <w:r>
        <w:rPr>
          <w:rFonts w:ascii="宋体" w:eastAsia="宋体" w:hAnsi="宋体" w:cs="Times New Roman" w:hint="eastAsia"/>
          <w:sz w:val="24"/>
          <w:szCs w:val="24"/>
        </w:rPr>
        <w:t>/</w:t>
      </w:r>
      <w:r>
        <w:rPr>
          <w:rFonts w:ascii="宋体" w:eastAsia="宋体" w:hAnsi="宋体" w:cs="Times New Roman" w:hint="eastAsia"/>
          <w:sz w:val="24"/>
          <w:szCs w:val="24"/>
        </w:rPr>
        <w:t>本机构</w:t>
      </w:r>
      <w:r>
        <w:rPr>
          <w:rFonts w:ascii="宋体" w:eastAsia="宋体" w:hAnsi="宋体" w:cs="Times New Roman"/>
          <w:sz w:val="24"/>
          <w:szCs w:val="24"/>
        </w:rPr>
        <w:t>风险承受能力评级结果为（</w:t>
      </w:r>
      <w:r>
        <w:rPr>
          <w:rFonts w:ascii="宋体" w:eastAsia="宋体" w:hAnsi="宋体" w:cs="Times New Roman" w:hint="eastAsia"/>
          <w:sz w:val="24"/>
          <w:szCs w:val="24"/>
        </w:rPr>
        <w:t>专业</w:t>
      </w:r>
      <w:r>
        <w:rPr>
          <w:rFonts w:ascii="宋体" w:eastAsia="宋体" w:hAnsi="宋体" w:cs="Times New Roman"/>
          <w:sz w:val="24"/>
          <w:szCs w:val="24"/>
        </w:rPr>
        <w:t>投资者无需填写）</w:t>
      </w:r>
      <w:r>
        <w:rPr>
          <w:rFonts w:ascii="宋体" w:eastAsia="宋体" w:hAnsi="宋体" w:cs="Times New Roman" w:hint="eastAsia"/>
          <w:sz w:val="24"/>
          <w:szCs w:val="24"/>
        </w:rPr>
        <w:t>：</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sz w:val="24"/>
          <w:szCs w:val="24"/>
        </w:rPr>
        <w:t>）</w:t>
      </w:r>
      <w:r>
        <w:rPr>
          <w:rFonts w:ascii="宋体" w:eastAsia="宋体" w:hAnsi="宋体" w:cs="Times New Roman"/>
          <w:sz w:val="24"/>
          <w:szCs w:val="24"/>
        </w:rPr>
        <w:t>________</w:t>
      </w:r>
      <w:r>
        <w:rPr>
          <w:rFonts w:ascii="宋体" w:eastAsia="宋体" w:hAnsi="宋体" w:cs="Times New Roman"/>
          <w:sz w:val="24"/>
          <w:szCs w:val="24"/>
        </w:rPr>
        <w:t>（通过宁银理财直销</w:t>
      </w:r>
      <w:r>
        <w:rPr>
          <w:rFonts w:ascii="宋体" w:eastAsia="宋体" w:hAnsi="宋体" w:cs="Times New Roman" w:hint="eastAsia"/>
          <w:sz w:val="24"/>
          <w:szCs w:val="24"/>
        </w:rPr>
        <w:t>渠道购买</w:t>
      </w:r>
      <w:r>
        <w:rPr>
          <w:rFonts w:ascii="宋体" w:eastAsia="宋体" w:hAnsi="宋体" w:cs="Times New Roman"/>
          <w:sz w:val="24"/>
          <w:szCs w:val="24"/>
        </w:rPr>
        <w:t>的</w:t>
      </w:r>
      <w:r>
        <w:rPr>
          <w:rFonts w:ascii="宋体" w:eastAsia="宋体" w:hAnsi="宋体" w:cs="Times New Roman" w:hint="eastAsia"/>
          <w:sz w:val="24"/>
          <w:szCs w:val="24"/>
        </w:rPr>
        <w:t>普通</w:t>
      </w:r>
      <w:r>
        <w:rPr>
          <w:rFonts w:ascii="宋体" w:eastAsia="宋体" w:hAnsi="宋体" w:cs="Times New Roman"/>
          <w:sz w:val="24"/>
          <w:szCs w:val="24"/>
        </w:rPr>
        <w:t>投资者填写）</w:t>
      </w:r>
      <w:r>
        <w:rPr>
          <w:rFonts w:ascii="宋体" w:eastAsia="宋体" w:hAnsi="宋体" w:cs="Times New Roman" w:hint="eastAsia"/>
          <w:sz w:val="24"/>
          <w:szCs w:val="24"/>
        </w:rPr>
        <w:t>，</w:t>
      </w:r>
      <w:r>
        <w:rPr>
          <w:rFonts w:ascii="宋体" w:eastAsia="宋体" w:hAnsi="宋体" w:cs="Times New Roman"/>
          <w:sz w:val="24"/>
          <w:szCs w:val="24"/>
        </w:rPr>
        <w:t>可购买与本人</w:t>
      </w:r>
      <w:r>
        <w:rPr>
          <w:rFonts w:ascii="宋体" w:eastAsia="宋体" w:hAnsi="宋体" w:cs="Times New Roman" w:hint="eastAsia"/>
          <w:sz w:val="24"/>
          <w:szCs w:val="24"/>
        </w:rPr>
        <w:t>/</w:t>
      </w:r>
      <w:r>
        <w:rPr>
          <w:rFonts w:ascii="宋体" w:eastAsia="宋体" w:hAnsi="宋体" w:cs="Times New Roman" w:hint="eastAsia"/>
          <w:sz w:val="24"/>
          <w:szCs w:val="24"/>
        </w:rPr>
        <w:t>本机构风险级别</w:t>
      </w:r>
      <w:r>
        <w:rPr>
          <w:rFonts w:ascii="宋体" w:eastAsia="宋体" w:hAnsi="宋体" w:cs="Times New Roman"/>
          <w:sz w:val="24"/>
          <w:szCs w:val="24"/>
        </w:rPr>
        <w:t>相匹配的</w:t>
      </w:r>
      <w:r>
        <w:rPr>
          <w:rFonts w:ascii="宋体" w:eastAsia="宋体" w:hAnsi="宋体" w:cs="Times New Roman" w:hint="eastAsia"/>
          <w:sz w:val="24"/>
          <w:szCs w:val="24"/>
        </w:rPr>
        <w:t>理财</w:t>
      </w:r>
      <w:r>
        <w:rPr>
          <w:rFonts w:ascii="宋体" w:eastAsia="宋体" w:hAnsi="宋体" w:cs="Times New Roman"/>
          <w:sz w:val="24"/>
          <w:szCs w:val="24"/>
        </w:rPr>
        <w:t>产品</w:t>
      </w:r>
      <w:r>
        <w:rPr>
          <w:rFonts w:ascii="宋体" w:eastAsia="宋体" w:hAnsi="宋体" w:cs="Times New Roman" w:hint="eastAsia"/>
          <w:sz w:val="24"/>
          <w:szCs w:val="24"/>
        </w:rPr>
        <w:t>，</w:t>
      </w:r>
      <w:r>
        <w:rPr>
          <w:rFonts w:ascii="宋体" w:eastAsia="宋体" w:hAnsi="宋体" w:cs="Times New Roman"/>
          <w:sz w:val="24"/>
          <w:szCs w:val="24"/>
        </w:rPr>
        <w:t>具体</w:t>
      </w:r>
      <w:r>
        <w:rPr>
          <w:rFonts w:ascii="宋体" w:eastAsia="宋体" w:hAnsi="宋体" w:cs="Times New Roman" w:hint="eastAsia"/>
          <w:sz w:val="24"/>
          <w:szCs w:val="24"/>
        </w:rPr>
        <w:t>匹配</w:t>
      </w:r>
      <w:r>
        <w:rPr>
          <w:rFonts w:ascii="宋体" w:eastAsia="宋体" w:hAnsi="宋体" w:cs="Times New Roman"/>
          <w:sz w:val="24"/>
          <w:szCs w:val="24"/>
        </w:rPr>
        <w:t>情况见</w:t>
      </w:r>
      <w:r>
        <w:rPr>
          <w:rFonts w:ascii="宋体" w:eastAsia="宋体" w:hAnsi="宋体" w:cs="Times New Roman" w:hint="eastAsia"/>
          <w:sz w:val="24"/>
          <w:szCs w:val="24"/>
        </w:rPr>
        <w:t>《投资者权益须知</w:t>
      </w:r>
      <w:r>
        <w:rPr>
          <w:rFonts w:ascii="宋体" w:eastAsia="宋体" w:hAnsi="宋体" w:cs="Times New Roman"/>
          <w:sz w:val="24"/>
          <w:szCs w:val="24"/>
        </w:rPr>
        <w:t>》</w:t>
      </w:r>
      <w:r>
        <w:rPr>
          <w:rFonts w:ascii="宋体" w:eastAsia="宋体" w:hAnsi="宋体" w:cs="Times New Roman" w:hint="eastAsia"/>
          <w:sz w:val="24"/>
          <w:szCs w:val="24"/>
        </w:rPr>
        <w:t>。</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sz w:val="24"/>
          <w:szCs w:val="24"/>
        </w:rPr>
        <w:t>）</w:t>
      </w:r>
      <w:r>
        <w:rPr>
          <w:rFonts w:ascii="宋体" w:eastAsia="宋体" w:hAnsi="宋体" w:cs="Times New Roman"/>
          <w:sz w:val="24"/>
          <w:szCs w:val="24"/>
        </w:rPr>
        <w:t>________</w:t>
      </w:r>
      <w:r>
        <w:rPr>
          <w:rFonts w:ascii="宋体" w:eastAsia="宋体" w:hAnsi="宋体" w:cs="Times New Roman"/>
          <w:sz w:val="24"/>
          <w:szCs w:val="24"/>
        </w:rPr>
        <w:t>（通过代理销售机构</w:t>
      </w:r>
      <w:r>
        <w:rPr>
          <w:rFonts w:ascii="宋体" w:eastAsia="宋体" w:hAnsi="宋体" w:cs="Times New Roman" w:hint="eastAsia"/>
          <w:sz w:val="24"/>
          <w:szCs w:val="24"/>
        </w:rPr>
        <w:t>购买</w:t>
      </w:r>
      <w:r>
        <w:rPr>
          <w:rFonts w:ascii="宋体" w:eastAsia="宋体" w:hAnsi="宋体" w:cs="Times New Roman"/>
          <w:sz w:val="24"/>
          <w:szCs w:val="24"/>
        </w:rPr>
        <w:t>的</w:t>
      </w:r>
      <w:r>
        <w:rPr>
          <w:rFonts w:ascii="宋体" w:eastAsia="宋体" w:hAnsi="宋体" w:cs="Times New Roman" w:hint="eastAsia"/>
          <w:sz w:val="24"/>
          <w:szCs w:val="24"/>
        </w:rPr>
        <w:t>普通</w:t>
      </w:r>
      <w:r>
        <w:rPr>
          <w:rFonts w:ascii="宋体" w:eastAsia="宋体" w:hAnsi="宋体" w:cs="Times New Roman"/>
          <w:sz w:val="24"/>
          <w:szCs w:val="24"/>
        </w:rPr>
        <w:t>投资</w:t>
      </w:r>
      <w:r>
        <w:rPr>
          <w:rFonts w:ascii="宋体" w:eastAsia="宋体" w:hAnsi="宋体" w:cs="Times New Roman"/>
          <w:sz w:val="24"/>
          <w:szCs w:val="24"/>
        </w:rPr>
        <w:t>者填写）</w:t>
      </w:r>
      <w:r>
        <w:rPr>
          <w:rFonts w:ascii="宋体" w:eastAsia="宋体" w:hAnsi="宋体" w:cs="Times New Roman" w:hint="eastAsia"/>
          <w:sz w:val="24"/>
          <w:szCs w:val="24"/>
        </w:rPr>
        <w:t>，</w:t>
      </w:r>
      <w:r>
        <w:rPr>
          <w:rFonts w:ascii="宋体" w:eastAsia="宋体" w:hAnsi="宋体" w:cs="Times New Roman"/>
          <w:sz w:val="24"/>
          <w:szCs w:val="24"/>
        </w:rPr>
        <w:t>可购买</w:t>
      </w:r>
      <w:r>
        <w:rPr>
          <w:rFonts w:ascii="宋体" w:eastAsia="宋体" w:hAnsi="宋体" w:cs="Times New Roman" w:hint="eastAsia"/>
          <w:sz w:val="24"/>
          <w:szCs w:val="24"/>
        </w:rPr>
        <w:t>与</w:t>
      </w:r>
      <w:r>
        <w:rPr>
          <w:rFonts w:ascii="宋体" w:eastAsia="宋体" w:hAnsi="宋体" w:cs="Times New Roman"/>
          <w:sz w:val="24"/>
          <w:szCs w:val="24"/>
        </w:rPr>
        <w:t>本人</w:t>
      </w:r>
      <w:r>
        <w:rPr>
          <w:rFonts w:ascii="宋体" w:eastAsia="宋体" w:hAnsi="宋体" w:cs="Times New Roman" w:hint="eastAsia"/>
          <w:sz w:val="24"/>
          <w:szCs w:val="24"/>
        </w:rPr>
        <w:t>/</w:t>
      </w:r>
      <w:r>
        <w:rPr>
          <w:rFonts w:ascii="宋体" w:eastAsia="宋体" w:hAnsi="宋体" w:cs="Times New Roman" w:hint="eastAsia"/>
          <w:sz w:val="24"/>
          <w:szCs w:val="24"/>
        </w:rPr>
        <w:t>本机构</w:t>
      </w:r>
      <w:r>
        <w:rPr>
          <w:rFonts w:ascii="宋体" w:eastAsia="宋体" w:hAnsi="宋体" w:cs="Times New Roman"/>
          <w:sz w:val="24"/>
          <w:szCs w:val="24"/>
        </w:rPr>
        <w:t>风险</w:t>
      </w:r>
      <w:r>
        <w:rPr>
          <w:rFonts w:ascii="宋体" w:eastAsia="宋体" w:hAnsi="宋体" w:cs="Times New Roman" w:hint="eastAsia"/>
          <w:sz w:val="24"/>
          <w:szCs w:val="24"/>
        </w:rPr>
        <w:t>级别</w:t>
      </w:r>
      <w:r>
        <w:rPr>
          <w:rFonts w:ascii="宋体" w:eastAsia="宋体" w:hAnsi="宋体" w:cs="Times New Roman"/>
          <w:sz w:val="24"/>
          <w:szCs w:val="24"/>
        </w:rPr>
        <w:t>相匹配的理财产品，具体</w:t>
      </w:r>
      <w:r>
        <w:rPr>
          <w:rFonts w:ascii="宋体" w:eastAsia="宋体" w:hAnsi="宋体" w:cs="Times New Roman" w:hint="eastAsia"/>
          <w:sz w:val="24"/>
          <w:szCs w:val="24"/>
        </w:rPr>
        <w:t>匹配</w:t>
      </w:r>
      <w:r>
        <w:rPr>
          <w:rFonts w:ascii="宋体" w:eastAsia="宋体" w:hAnsi="宋体" w:cs="Times New Roman"/>
          <w:sz w:val="24"/>
          <w:szCs w:val="24"/>
        </w:rPr>
        <w:t>情况从</w:t>
      </w:r>
      <w:r>
        <w:rPr>
          <w:rFonts w:ascii="宋体" w:eastAsia="宋体" w:hAnsi="宋体" w:cs="Times New Roman" w:hint="eastAsia"/>
          <w:sz w:val="24"/>
          <w:szCs w:val="24"/>
        </w:rPr>
        <w:t>代理销售机构对理财产品风险水平及投资者风险承受能力评估</w:t>
      </w:r>
      <w:r>
        <w:rPr>
          <w:rFonts w:ascii="宋体" w:eastAsia="宋体" w:hAnsi="宋体" w:cs="Times New Roman"/>
          <w:sz w:val="24"/>
          <w:szCs w:val="24"/>
        </w:rPr>
        <w:t>。</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sz w:val="24"/>
          <w:szCs w:val="24"/>
        </w:rPr>
        <w:t>、本人</w:t>
      </w:r>
      <w:r>
        <w:rPr>
          <w:rFonts w:ascii="宋体" w:eastAsia="宋体" w:hAnsi="宋体" w:cs="Times New Roman"/>
          <w:sz w:val="24"/>
          <w:szCs w:val="24"/>
        </w:rPr>
        <w:t>/</w:t>
      </w:r>
      <w:r>
        <w:rPr>
          <w:rFonts w:ascii="宋体" w:eastAsia="宋体" w:hAnsi="宋体" w:cs="Times New Roman"/>
          <w:sz w:val="24"/>
          <w:szCs w:val="24"/>
        </w:rPr>
        <w:t>本机构已经阅读风险揭示书，愿意承担投资风险（在下方横线处抄写本句内容）。</w:t>
      </w:r>
    </w:p>
    <w:p w:rsidR="00CD2B94">
      <w:pPr>
        <w:spacing w:line="312" w:lineRule="auto"/>
        <w:ind w:left="63" w:firstLine="480" w:leftChars="30" w:firstLineChars="200"/>
        <w:rPr>
          <w:rFonts w:ascii="宋体" w:eastAsia="宋体" w:hAnsi="宋体" w:cs="Times New Roman"/>
          <w:sz w:val="24"/>
          <w:szCs w:val="24"/>
        </w:rPr>
      </w:pPr>
      <w:r>
        <w:rPr>
          <w:rFonts w:ascii="宋体" w:eastAsia="宋体" w:hAnsi="宋体" w:cs="Times New Roman"/>
          <w:sz w:val="24"/>
          <w:szCs w:val="24"/>
        </w:rPr>
        <w:t>______</w:t>
      </w:r>
      <w:r>
        <w:rPr>
          <w:rFonts w:ascii="宋体" w:eastAsia="宋体" w:hAnsi="宋体" w:cs="Times New Roman"/>
          <w:sz w:val="24"/>
          <w:szCs w:val="24"/>
          <w:u w:val="single"/>
        </w:rPr>
        <w:t xml:space="preserve">______           </w:t>
      </w:r>
      <w:r>
        <w:rPr>
          <w:rFonts w:ascii="宋体" w:eastAsia="宋体" w:hAnsi="宋体" w:cs="Times New Roman"/>
          <w:sz w:val="24"/>
          <w:szCs w:val="24"/>
        </w:rPr>
        <w:t>________________________________________</w:t>
      </w:r>
    </w:p>
    <w:p w:rsidR="00CD2B94">
      <w:pPr>
        <w:spacing w:line="312" w:lineRule="auto"/>
        <w:ind w:left="63" w:leftChars="30"/>
        <w:rPr>
          <w:rFonts w:ascii="宋体" w:eastAsia="宋体" w:hAnsi="宋体" w:cs="宋体"/>
          <w:b/>
          <w:bCs/>
          <w:kern w:val="0"/>
          <w:sz w:val="24"/>
          <w:szCs w:val="24"/>
        </w:rPr>
      </w:pPr>
    </w:p>
    <w:p w:rsidR="00CD2B94">
      <w:pPr>
        <w:spacing w:line="312" w:lineRule="auto"/>
        <w:ind w:left="63" w:leftChars="30"/>
        <w:jc w:val="left"/>
        <w:rPr>
          <w:rFonts w:ascii="宋体" w:eastAsia="宋体" w:hAnsi="宋体" w:cs="宋体"/>
          <w:b/>
          <w:bCs/>
          <w:kern w:val="0"/>
          <w:sz w:val="24"/>
          <w:szCs w:val="24"/>
        </w:rPr>
      </w:pPr>
      <w:r>
        <w:rPr>
          <w:rFonts w:ascii="宋体" w:eastAsia="宋体" w:hAnsi="宋体" w:cs="宋体" w:hint="eastAsia"/>
          <w:b/>
          <w:bCs/>
          <w:kern w:val="0"/>
          <w:sz w:val="24"/>
          <w:szCs w:val="24"/>
        </w:rPr>
        <w:t>（自然人签署适用）</w:t>
      </w:r>
    </w:p>
    <w:p w:rsidR="00CD2B94">
      <w:pPr>
        <w:spacing w:line="312" w:lineRule="auto"/>
        <w:ind w:left="63" w:leftChars="30"/>
        <w:jc w:val="left"/>
        <w:rPr>
          <w:rFonts w:ascii="宋体" w:eastAsia="宋体" w:hAnsi="宋体" w:cs="宋体"/>
          <w:b/>
          <w:bCs/>
          <w:kern w:val="0"/>
          <w:sz w:val="24"/>
          <w:szCs w:val="24"/>
        </w:rPr>
      </w:pPr>
      <w:r>
        <w:rPr>
          <w:rFonts w:ascii="宋体" w:eastAsia="宋体" w:hAnsi="宋体" w:cs="宋体" w:hint="eastAsia"/>
          <w:b/>
          <w:bCs/>
          <w:kern w:val="0"/>
          <w:sz w:val="24"/>
          <w:szCs w:val="24"/>
        </w:rPr>
        <w:t>投资者签字</w:t>
      </w:r>
      <w:r>
        <w:rPr>
          <w:rFonts w:ascii="宋体" w:eastAsia="宋体" w:hAnsi="宋体" w:cs="宋体"/>
          <w:b/>
          <w:bCs/>
          <w:kern w:val="0"/>
          <w:sz w:val="24"/>
          <w:szCs w:val="24"/>
        </w:rPr>
        <w:t xml:space="preserve">   ____________</w:t>
      </w:r>
    </w:p>
    <w:p w:rsidR="00CD2B94">
      <w:pPr>
        <w:spacing w:line="312" w:lineRule="auto"/>
        <w:ind w:left="63" w:leftChars="30"/>
        <w:jc w:val="left"/>
        <w:rPr>
          <w:rFonts w:ascii="宋体" w:eastAsia="宋体" w:hAnsi="宋体" w:cs="宋体"/>
          <w:b/>
          <w:bCs/>
          <w:kern w:val="0"/>
          <w:sz w:val="24"/>
          <w:szCs w:val="24"/>
        </w:rPr>
      </w:pPr>
    </w:p>
    <w:p w:rsidR="00CD2B94">
      <w:pPr>
        <w:spacing w:line="312" w:lineRule="auto"/>
        <w:ind w:left="63" w:leftChars="30"/>
        <w:jc w:val="left"/>
        <w:rPr>
          <w:rFonts w:ascii="宋体" w:eastAsia="宋体" w:hAnsi="宋体" w:cs="宋体"/>
          <w:b/>
          <w:bCs/>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机构投资者</w:t>
      </w:r>
      <w:r>
        <w:rPr>
          <w:rFonts w:ascii="宋体" w:eastAsia="宋体" w:hAnsi="宋体" w:cs="宋体" w:hint="eastAsia"/>
          <w:b/>
          <w:bCs/>
          <w:kern w:val="0"/>
          <w:sz w:val="24"/>
          <w:szCs w:val="24"/>
        </w:rPr>
        <w:t>签署适用</w:t>
      </w:r>
      <w:r>
        <w:rPr>
          <w:rFonts w:ascii="宋体" w:eastAsia="宋体" w:hAnsi="宋体" w:cs="宋体"/>
          <w:b/>
          <w:bCs/>
          <w:kern w:val="0"/>
          <w:sz w:val="24"/>
          <w:szCs w:val="24"/>
        </w:rPr>
        <w:t>）</w:t>
      </w:r>
    </w:p>
    <w:p w:rsidR="00CD2B94">
      <w:pPr>
        <w:spacing w:line="312" w:lineRule="auto"/>
        <w:ind w:left="63" w:leftChars="30"/>
        <w:jc w:val="left"/>
        <w:rPr>
          <w:rFonts w:ascii="宋体" w:eastAsia="宋体" w:hAnsi="宋体" w:cs="宋体"/>
          <w:b/>
          <w:bCs/>
          <w:kern w:val="0"/>
          <w:sz w:val="24"/>
          <w:szCs w:val="24"/>
        </w:rPr>
      </w:pPr>
      <w:r>
        <w:rPr>
          <w:rFonts w:ascii="宋体" w:eastAsia="宋体" w:hAnsi="宋体" w:cs="宋体" w:hint="eastAsia"/>
          <w:b/>
          <w:bCs/>
          <w:kern w:val="0"/>
          <w:sz w:val="24"/>
          <w:szCs w:val="24"/>
        </w:rPr>
        <w:t>公章（或经公章授权的其他有效印鉴）：</w:t>
      </w:r>
    </w:p>
    <w:p w:rsidR="00CD2B94">
      <w:pPr>
        <w:spacing w:line="312" w:lineRule="auto"/>
        <w:ind w:left="63" w:leftChars="30"/>
        <w:jc w:val="left"/>
        <w:rPr>
          <w:rFonts w:ascii="宋体" w:eastAsia="宋体" w:hAnsi="宋体" w:cs="宋体"/>
          <w:b/>
          <w:bCs/>
          <w:kern w:val="0"/>
          <w:sz w:val="24"/>
          <w:szCs w:val="24"/>
        </w:rPr>
      </w:pPr>
      <w:r>
        <w:rPr>
          <w:rFonts w:ascii="宋体" w:eastAsia="宋体" w:hAnsi="宋体" w:cs="宋体" w:hint="eastAsia"/>
          <w:b/>
          <w:bCs/>
          <w:kern w:val="0"/>
          <w:sz w:val="24"/>
          <w:szCs w:val="24"/>
        </w:rPr>
        <w:t>法定代表人（负责人）或授权代理人签字</w:t>
      </w:r>
      <w:r>
        <w:rPr>
          <w:rFonts w:ascii="宋体" w:eastAsia="宋体" w:hAnsi="宋体" w:cs="宋体" w:hint="eastAsia"/>
          <w:b/>
          <w:bCs/>
          <w:kern w:val="0"/>
          <w:sz w:val="24"/>
          <w:szCs w:val="24"/>
        </w:rPr>
        <w:t>/</w:t>
      </w:r>
      <w:r>
        <w:rPr>
          <w:rFonts w:ascii="宋体" w:eastAsia="宋体" w:hAnsi="宋体" w:cs="宋体" w:hint="eastAsia"/>
          <w:b/>
          <w:bCs/>
          <w:kern w:val="0"/>
          <w:sz w:val="24"/>
          <w:szCs w:val="24"/>
        </w:rPr>
        <w:t>签章：</w:t>
      </w:r>
    </w:p>
    <w:p w:rsidR="00CD2B94">
      <w:pPr>
        <w:spacing w:line="312" w:lineRule="auto"/>
        <w:ind w:left="63" w:leftChars="30"/>
        <w:jc w:val="left"/>
        <w:rPr>
          <w:rFonts w:ascii="宋体" w:eastAsia="宋体" w:hAnsi="宋体" w:cs="宋体"/>
          <w:b/>
          <w:bCs/>
          <w:kern w:val="0"/>
          <w:sz w:val="24"/>
          <w:szCs w:val="24"/>
        </w:rPr>
      </w:pPr>
    </w:p>
    <w:p w:rsidR="00CD2B94">
      <w:pPr>
        <w:spacing w:line="312" w:lineRule="auto"/>
        <w:ind w:left="63" w:leftChars="30"/>
        <w:jc w:val="left"/>
        <w:rPr>
          <w:rFonts w:ascii="宋体" w:eastAsia="宋体" w:hAnsi="宋体" w:cs="宋体"/>
          <w:b/>
          <w:bCs/>
          <w:kern w:val="0"/>
          <w:sz w:val="24"/>
          <w:szCs w:val="24"/>
        </w:rPr>
      </w:pPr>
    </w:p>
    <w:p w:rsidR="00CD2B94">
      <w:pPr>
        <w:spacing w:line="312" w:lineRule="auto"/>
        <w:ind w:left="63" w:leftChars="30"/>
        <w:jc w:val="left"/>
        <w:rPr>
          <w:rFonts w:ascii="宋体" w:eastAsia="宋体" w:hAnsi="宋体" w:cs="Times New Roman"/>
          <w:sz w:val="24"/>
          <w:szCs w:val="24"/>
        </w:rPr>
        <w:sectPr>
          <w:footerReference w:type="default" r:id="rId6"/>
          <w:pgSz w:w="11906" w:h="16838"/>
          <w:pgMar w:top="1440" w:right="1800" w:bottom="1440" w:left="1800" w:header="851" w:footer="992" w:gutter="0"/>
          <w:cols w:space="425"/>
          <w:docGrid w:type="lines" w:linePitch="312"/>
        </w:sectPr>
      </w:pPr>
      <w:r>
        <w:rPr>
          <w:rFonts w:ascii="宋体" w:eastAsia="宋体" w:hAnsi="宋体" w:cs="宋体" w:hint="eastAsia"/>
          <w:b/>
          <w:bCs/>
          <w:kern w:val="0"/>
          <w:sz w:val="24"/>
          <w:szCs w:val="24"/>
        </w:rPr>
        <w:t>日期</w:t>
      </w:r>
      <w:r>
        <w:rPr>
          <w:rFonts w:ascii="宋体" w:eastAsia="宋体" w:hAnsi="宋体" w:cs="宋体"/>
          <w:b/>
          <w:bCs/>
          <w:kern w:val="0"/>
          <w:sz w:val="24"/>
          <w:szCs w:val="24"/>
        </w:rPr>
        <w:t xml:space="preserve">         ____________</w:t>
      </w:r>
    </w:p>
    <w:p w:rsidR="00D41301" w14:paraId="77E82F14" w14:textId="77777777">
      <w:pPr>
        <w:spacing w:line="400" w:lineRule="exact"/>
        <w:jc w:val="center"/>
        <w:rPr>
          <w:rFonts w:ascii="黑体" w:eastAsia="黑体" w:hAnsi="黑体" w:cs="Times New Roman"/>
          <w:b/>
          <w:color w:val="000000"/>
          <w:sz w:val="36"/>
          <w:szCs w:val="36"/>
        </w:rPr>
      </w:pPr>
      <w:r>
        <w:rPr>
          <w:rFonts w:ascii="黑体" w:eastAsia="黑体" w:hAnsi="黑体" w:cs="Times New Roman" w:hint="eastAsia"/>
          <w:b/>
          <w:color w:val="000000"/>
          <w:sz w:val="36"/>
          <w:szCs w:val="36"/>
        </w:rPr>
        <w:t>宁银理财有限责任公司产品投资者权益须知</w:t>
      </w:r>
    </w:p>
    <w:p w:rsidR="00D41301" w14:paraId="2162FAB8" w14:textId="3E360390">
      <w:pPr>
        <w:spacing w:line="400" w:lineRule="exact"/>
        <w:jc w:val="center"/>
        <w:rPr>
          <w:rFonts w:ascii="宋体" w:eastAsia="宋体" w:hAnsi="宋体" w:cs="Times New Roman"/>
          <w:color w:val="000000"/>
          <w:sz w:val="28"/>
          <w:szCs w:val="28"/>
        </w:rPr>
      </w:pPr>
      <w:r>
        <w:rPr>
          <w:rFonts w:ascii="宋体" w:eastAsia="宋体" w:hAnsi="宋体" w:cs="Times New Roman" w:hint="eastAsia"/>
          <w:b/>
          <w:sz w:val="24"/>
          <w:szCs w:val="24"/>
        </w:rPr>
        <w:t>（</w:t>
      </w:r>
      <w:r w:rsidR="00F978AA">
        <w:rPr>
          <w:rFonts w:ascii="宋体" w:eastAsia="宋体" w:hAnsi="宋体" w:cs="Times New Roman"/>
          <w:b/>
          <w:sz w:val="24"/>
          <w:szCs w:val="24"/>
        </w:rPr>
        <w:t>202601</w:t>
      </w:r>
      <w:r>
        <w:rPr>
          <w:rFonts w:ascii="宋体" w:eastAsia="宋体" w:hAnsi="宋体" w:cs="Times New Roman" w:hint="eastAsia"/>
          <w:b/>
          <w:sz w:val="24"/>
          <w:szCs w:val="24"/>
        </w:rPr>
        <w:t>版）</w:t>
      </w:r>
    </w:p>
    <w:p w:rsidR="00D41301" w14:paraId="6D392069" w14:textId="77777777">
      <w:pPr>
        <w:spacing w:line="312" w:lineRule="auto"/>
        <w:rPr>
          <w:rFonts w:ascii="宋体" w:eastAsia="宋体" w:hAnsi="宋体" w:cs="Times New Roman"/>
          <w:color w:val="000000"/>
          <w:sz w:val="24"/>
          <w:szCs w:val="24"/>
        </w:rPr>
      </w:pPr>
    </w:p>
    <w:p w:rsidR="00D41301" w14:paraId="439D457E" w14:textId="77777777">
      <w:pPr>
        <w:spacing w:line="312" w:lineRule="auto"/>
        <w:rPr>
          <w:rFonts w:ascii="宋体" w:eastAsia="宋体" w:hAnsi="宋体" w:cs="Times New Roman"/>
          <w:color w:val="000000"/>
          <w:sz w:val="24"/>
          <w:szCs w:val="24"/>
        </w:rPr>
      </w:pPr>
      <w:r>
        <w:rPr>
          <w:rFonts w:ascii="宋体" w:eastAsia="宋体" w:hAnsi="宋体" w:cs="Times New Roman" w:hint="eastAsia"/>
          <w:color w:val="000000"/>
          <w:sz w:val="24"/>
          <w:szCs w:val="24"/>
        </w:rPr>
        <w:t>尊敬的投资者：</w:t>
      </w:r>
    </w:p>
    <w:p w:rsidR="00D41301" w14:paraId="037FDB9A" w14:textId="77777777">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购买宁银理财有限</w:t>
      </w:r>
      <w:r>
        <w:rPr>
          <w:rFonts w:ascii="宋体" w:eastAsia="宋体" w:hAnsi="宋体" w:cs="Times New Roman"/>
          <w:color w:val="000000"/>
          <w:sz w:val="24"/>
          <w:szCs w:val="24"/>
        </w:rPr>
        <w:t>责任公司（</w:t>
      </w:r>
      <w:r>
        <w:rPr>
          <w:rFonts w:ascii="宋体" w:eastAsia="宋体" w:hAnsi="宋体" w:cs="Times New Roman" w:hint="eastAsia"/>
          <w:color w:val="000000"/>
          <w:sz w:val="24"/>
          <w:szCs w:val="24"/>
        </w:rPr>
        <w:t>下称“宁银理财”或“本公司”</w:t>
      </w:r>
      <w:r>
        <w:rPr>
          <w:rFonts w:ascii="宋体" w:eastAsia="宋体" w:hAnsi="宋体" w:cs="Times New Roman"/>
          <w:color w:val="000000"/>
          <w:sz w:val="24"/>
          <w:szCs w:val="24"/>
        </w:rPr>
        <w:t>）</w:t>
      </w:r>
      <w:r>
        <w:rPr>
          <w:rFonts w:ascii="宋体" w:eastAsia="宋体" w:hAnsi="宋体" w:cs="Times New Roman" w:hint="eastAsia"/>
          <w:color w:val="000000"/>
          <w:sz w:val="24"/>
          <w:szCs w:val="24"/>
        </w:rPr>
        <w:t>发行的</w:t>
      </w:r>
      <w:r>
        <w:rPr>
          <w:rFonts w:ascii="宋体" w:eastAsia="宋体" w:hAnsi="宋体" w:cs="Times New Roman"/>
          <w:color w:val="000000"/>
          <w:sz w:val="24"/>
          <w:szCs w:val="24"/>
        </w:rPr>
        <w:t>理财</w:t>
      </w:r>
      <w:r>
        <w:rPr>
          <w:rFonts w:ascii="宋体" w:eastAsia="宋体" w:hAnsi="宋体" w:cs="Times New Roman" w:hint="eastAsia"/>
          <w:color w:val="000000"/>
          <w:sz w:val="24"/>
          <w:szCs w:val="24"/>
        </w:rPr>
        <w:t>产品，有机会获取投资收益，同时也存在一定投资风险，为了保护您的合法权益，请在购买之前认真阅读以下内容：</w:t>
      </w:r>
    </w:p>
    <w:p w:rsidR="00D41301" w14:paraId="5B185AD7" w14:textId="77777777">
      <w:pPr>
        <w:spacing w:line="312" w:lineRule="auto"/>
        <w:ind w:firstLine="480" w:firstLineChars="20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一、理财产品办理流程</w:t>
      </w:r>
    </w:p>
    <w:p w:rsidR="00D41301" w14:paraId="5061D746" w14:textId="77777777">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投资者可通过宁银理财或代理销售机构的营业网点</w:t>
      </w:r>
      <w:r>
        <w:rPr>
          <w:rFonts w:ascii="宋体" w:eastAsia="宋体" w:hAnsi="宋体" w:cs="Times New Roman"/>
          <w:color w:val="000000"/>
          <w:sz w:val="24"/>
          <w:szCs w:val="24"/>
        </w:rPr>
        <w:t>、</w:t>
      </w:r>
      <w:r>
        <w:rPr>
          <w:rFonts w:ascii="宋体" w:eastAsia="宋体" w:hAnsi="宋体" w:cs="Times New Roman" w:hint="eastAsia"/>
          <w:color w:val="000000"/>
          <w:sz w:val="24"/>
          <w:szCs w:val="24"/>
        </w:rPr>
        <w:t>客服</w:t>
      </w:r>
      <w:r>
        <w:rPr>
          <w:rFonts w:ascii="宋体" w:eastAsia="宋体" w:hAnsi="宋体" w:cs="Times New Roman"/>
          <w:color w:val="000000"/>
          <w:sz w:val="24"/>
          <w:szCs w:val="24"/>
        </w:rPr>
        <w:t>电话</w:t>
      </w:r>
      <w:r>
        <w:rPr>
          <w:rFonts w:ascii="宋体" w:eastAsia="宋体" w:hAnsi="宋体" w:cs="Times New Roman" w:hint="eastAsia"/>
          <w:color w:val="000000"/>
          <w:sz w:val="24"/>
          <w:szCs w:val="24"/>
        </w:rPr>
        <w:t>、电子渠道</w:t>
      </w:r>
      <w:r>
        <w:rPr>
          <w:rFonts w:ascii="宋体" w:eastAsia="宋体" w:hAnsi="宋体" w:cs="Times New Roman"/>
          <w:color w:val="000000"/>
          <w:sz w:val="24"/>
          <w:szCs w:val="24"/>
        </w:rPr>
        <w:t>等</w:t>
      </w:r>
      <w:r>
        <w:rPr>
          <w:rFonts w:ascii="宋体" w:eastAsia="宋体" w:hAnsi="宋体" w:cs="Times New Roman" w:hint="eastAsia"/>
          <w:color w:val="000000"/>
          <w:sz w:val="24"/>
          <w:szCs w:val="24"/>
        </w:rPr>
        <w:t>途径</w:t>
      </w:r>
      <w:r>
        <w:rPr>
          <w:rFonts w:ascii="宋体" w:eastAsia="宋体" w:hAnsi="宋体" w:cs="Times New Roman"/>
          <w:color w:val="000000"/>
          <w:sz w:val="24"/>
          <w:szCs w:val="24"/>
        </w:rPr>
        <w:t>了解</w:t>
      </w:r>
      <w:r>
        <w:rPr>
          <w:rFonts w:ascii="宋体" w:eastAsia="宋体" w:hAnsi="宋体" w:cs="Times New Roman" w:hint="eastAsia"/>
          <w:color w:val="000000"/>
          <w:sz w:val="24"/>
          <w:szCs w:val="24"/>
        </w:rPr>
        <w:t>本公司理财产品购买方式、收费标准及方式等，通过《理财产品说明书》</w:t>
      </w:r>
      <w:r>
        <w:rPr>
          <w:rFonts w:ascii="宋体" w:eastAsia="宋体" w:hAnsi="宋体" w:cs="Times New Roman"/>
          <w:color w:val="000000"/>
          <w:sz w:val="24"/>
          <w:szCs w:val="24"/>
        </w:rPr>
        <w:t>了解产品要素</w:t>
      </w:r>
      <w:r>
        <w:rPr>
          <w:rFonts w:ascii="宋体" w:eastAsia="宋体" w:hAnsi="宋体" w:cs="Times New Roman" w:hint="eastAsia"/>
          <w:color w:val="000000"/>
          <w:sz w:val="24"/>
          <w:szCs w:val="24"/>
        </w:rPr>
        <w:t>。</w:t>
      </w:r>
    </w:p>
    <w:p w:rsidR="00D41301" w14:paraId="548C8B38" w14:textId="04241DAF">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普通</w:t>
      </w:r>
      <w:r w:rsidR="00856D00">
        <w:rPr>
          <w:rFonts w:ascii="宋体" w:eastAsia="宋体" w:hAnsi="宋体" w:cs="Times New Roman" w:hint="eastAsia"/>
          <w:color w:val="000000"/>
          <w:sz w:val="24"/>
          <w:szCs w:val="24"/>
        </w:rPr>
        <w:t>投资者在宁银理财直销渠道购买理财产品时，需填写《宁银理财投资者风险承受能力评估书》，了解自身风险承受能力评估情况。</w:t>
      </w:r>
      <w:r>
        <w:rPr>
          <w:rFonts w:ascii="宋体" w:eastAsia="宋体" w:hAnsi="宋体" w:cs="Times New Roman" w:hint="eastAsia"/>
          <w:color w:val="000000"/>
          <w:sz w:val="24"/>
          <w:szCs w:val="24"/>
        </w:rPr>
        <w:t>普通</w:t>
      </w:r>
      <w:r w:rsidR="00856D00">
        <w:rPr>
          <w:rFonts w:ascii="宋体" w:eastAsia="宋体" w:hAnsi="宋体" w:cs="Times New Roman" w:hint="eastAsia"/>
          <w:color w:val="000000"/>
          <w:sz w:val="24"/>
          <w:szCs w:val="24"/>
        </w:rPr>
        <w:t>投资者在代理销售机构购买理财产品时，风险承受能力评估由代理销售机构负责，应按照代理销售机构的要求进行投资者风险承受能力评估。</w:t>
      </w:r>
    </w:p>
    <w:p w:rsidR="00D41301" w14:paraId="2EC5C7AD" w14:textId="77777777">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在</w:t>
      </w:r>
      <w:r>
        <w:rPr>
          <w:rFonts w:ascii="宋体" w:eastAsia="宋体" w:hAnsi="宋体" w:cs="Times New Roman"/>
          <w:color w:val="000000"/>
          <w:sz w:val="24"/>
          <w:szCs w:val="24"/>
        </w:rPr>
        <w:t>决定购买前，</w:t>
      </w:r>
      <w:r>
        <w:rPr>
          <w:rFonts w:ascii="宋体" w:eastAsia="宋体" w:hAnsi="宋体" w:cs="Times New Roman" w:hint="eastAsia"/>
          <w:color w:val="000000"/>
          <w:sz w:val="24"/>
          <w:szCs w:val="24"/>
        </w:rPr>
        <w:t>投资者</w:t>
      </w:r>
      <w:r>
        <w:rPr>
          <w:rFonts w:ascii="宋体" w:eastAsia="宋体" w:hAnsi="宋体" w:cs="Times New Roman"/>
          <w:color w:val="000000"/>
          <w:sz w:val="24"/>
          <w:szCs w:val="24"/>
        </w:rPr>
        <w:t>还需</w:t>
      </w:r>
      <w:r>
        <w:rPr>
          <w:rFonts w:ascii="宋体" w:eastAsia="宋体" w:hAnsi="宋体" w:cs="Times New Roman" w:hint="eastAsia"/>
          <w:color w:val="000000"/>
          <w:sz w:val="24"/>
          <w:szCs w:val="24"/>
        </w:rPr>
        <w:t>阅读并签署具体理财产品销售文件，包括但不限于《理财产品说明书》、《风险揭示书》、《销售（代理销售）协议书》（通过代理销售机构销售的，文件具体名称以代理销售机构为准，下同）、《投资协议书》、《投资者权益须知》，并抄录风险确认语句。</w:t>
      </w:r>
    </w:p>
    <w:p w:rsidR="00D41301" w14:paraId="7489F3A3" w14:textId="7BDF7F13">
      <w:pPr>
        <w:spacing w:line="312" w:lineRule="auto"/>
        <w:ind w:firstLine="480" w:firstLineChars="20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二、</w:t>
      </w:r>
      <w:r w:rsidR="00813255">
        <w:rPr>
          <w:rFonts w:ascii="宋体" w:eastAsia="宋体" w:hAnsi="宋体" w:cs="Times New Roman" w:hint="eastAsia"/>
          <w:b/>
          <w:bCs/>
          <w:color w:val="000000"/>
          <w:sz w:val="24"/>
          <w:szCs w:val="24"/>
        </w:rPr>
        <w:t>普通</w:t>
      </w:r>
      <w:r>
        <w:rPr>
          <w:rFonts w:ascii="宋体" w:eastAsia="宋体" w:hAnsi="宋体" w:cs="Times New Roman" w:hint="eastAsia"/>
          <w:b/>
          <w:bCs/>
          <w:color w:val="000000"/>
          <w:sz w:val="24"/>
          <w:szCs w:val="24"/>
        </w:rPr>
        <w:t>投资者风险承受能力评估</w:t>
      </w:r>
    </w:p>
    <w:p w:rsidR="00D41301" w14:paraId="6B54B277" w14:textId="7418ED8E">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普通</w:t>
      </w:r>
      <w:r w:rsidR="00856D00">
        <w:rPr>
          <w:rFonts w:ascii="宋体" w:eastAsia="宋体" w:hAnsi="宋体" w:cs="Times New Roman" w:hint="eastAsia"/>
          <w:color w:val="000000"/>
          <w:sz w:val="24"/>
          <w:szCs w:val="24"/>
        </w:rPr>
        <w:t>投资者在宁银理财或代理销售机构首次购买理财产品前，需进行风险承受能力评估。超过</w:t>
      </w:r>
      <w:r w:rsidR="00856D00">
        <w:rPr>
          <w:rFonts w:ascii="宋体" w:eastAsia="宋体" w:hAnsi="宋体" w:cs="Times New Roman"/>
          <w:color w:val="000000"/>
          <w:sz w:val="24"/>
          <w:szCs w:val="24"/>
        </w:rPr>
        <w:t>一年未进行风险承受能力</w:t>
      </w:r>
      <w:r w:rsidR="00856D00">
        <w:rPr>
          <w:rFonts w:ascii="宋体" w:eastAsia="宋体" w:hAnsi="宋体" w:cs="Times New Roman" w:hint="eastAsia"/>
          <w:color w:val="000000"/>
          <w:sz w:val="24"/>
          <w:szCs w:val="24"/>
        </w:rPr>
        <w:t>评估或</w:t>
      </w:r>
      <w:r w:rsidR="00856D00">
        <w:rPr>
          <w:rFonts w:ascii="宋体" w:eastAsia="宋体" w:hAnsi="宋体" w:cs="Times New Roman"/>
          <w:color w:val="000000"/>
          <w:sz w:val="24"/>
          <w:szCs w:val="24"/>
        </w:rPr>
        <w:t>发生可能影响自身风险承</w:t>
      </w:r>
      <w:r w:rsidR="00856D00">
        <w:rPr>
          <w:rFonts w:ascii="宋体" w:eastAsia="宋体" w:hAnsi="宋体" w:cs="Times New Roman"/>
          <w:color w:val="000000"/>
          <w:sz w:val="24"/>
          <w:szCs w:val="24"/>
        </w:rPr>
        <w:t>受能力情况的投资者，再次购买理财产品前，应当</w:t>
      </w:r>
      <w:r w:rsidR="00856D00">
        <w:rPr>
          <w:rFonts w:ascii="宋体" w:eastAsia="宋体" w:hAnsi="宋体" w:cs="Times New Roman" w:hint="eastAsia"/>
          <w:color w:val="000000"/>
          <w:sz w:val="24"/>
          <w:szCs w:val="24"/>
        </w:rPr>
        <w:t>在宁银理财或代理销售机构重新完成</w:t>
      </w:r>
      <w:r w:rsidR="00856D00">
        <w:rPr>
          <w:rFonts w:ascii="宋体" w:eastAsia="宋体" w:hAnsi="宋体" w:cs="Times New Roman"/>
          <w:color w:val="000000"/>
          <w:sz w:val="24"/>
          <w:szCs w:val="24"/>
        </w:rPr>
        <w:t>风险承受能力评估。</w:t>
      </w:r>
    </w:p>
    <w:p w:rsidR="00D41301" w14:paraId="2B4F81FB" w14:textId="6699931D">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对于</w:t>
      </w:r>
      <w:r>
        <w:rPr>
          <w:rFonts w:ascii="宋体" w:eastAsia="宋体" w:hAnsi="宋体" w:cs="Times New Roman"/>
          <w:color w:val="000000"/>
          <w:sz w:val="24"/>
          <w:szCs w:val="24"/>
        </w:rPr>
        <w:t>通过</w:t>
      </w:r>
      <w:r>
        <w:rPr>
          <w:rFonts w:ascii="宋体" w:eastAsia="宋体" w:hAnsi="宋体" w:cs="Times New Roman" w:hint="eastAsia"/>
          <w:color w:val="000000"/>
          <w:sz w:val="24"/>
          <w:szCs w:val="24"/>
        </w:rPr>
        <w:t>《宁银理财投资者风险承受能力评估书》进行</w:t>
      </w:r>
      <w:r>
        <w:rPr>
          <w:rFonts w:ascii="宋体" w:eastAsia="宋体" w:hAnsi="宋体" w:cs="Times New Roman"/>
          <w:color w:val="000000"/>
          <w:sz w:val="24"/>
          <w:szCs w:val="24"/>
        </w:rPr>
        <w:t>风险</w:t>
      </w:r>
      <w:r>
        <w:rPr>
          <w:rFonts w:ascii="宋体" w:eastAsia="宋体" w:hAnsi="宋体" w:cs="Times New Roman" w:hint="eastAsia"/>
          <w:color w:val="000000"/>
          <w:sz w:val="24"/>
          <w:szCs w:val="24"/>
        </w:rPr>
        <w:t>承受</w:t>
      </w:r>
      <w:r>
        <w:rPr>
          <w:rFonts w:ascii="宋体" w:eastAsia="宋体" w:hAnsi="宋体" w:cs="Times New Roman"/>
          <w:color w:val="000000"/>
          <w:sz w:val="24"/>
          <w:szCs w:val="24"/>
        </w:rPr>
        <w:t>能力评估的投资者，</w:t>
      </w:r>
      <w:r>
        <w:rPr>
          <w:rFonts w:ascii="宋体" w:eastAsia="宋体" w:hAnsi="宋体" w:cs="Times New Roman" w:hint="eastAsia"/>
          <w:color w:val="000000"/>
          <w:sz w:val="24"/>
          <w:szCs w:val="24"/>
        </w:rPr>
        <w:t>风险承受能力可分为5级，由低至高分别为保守型（可以承担低风险而作风谨慎类型的投资者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、稳健型（可以承担低至中低风险类型的投资者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、平衡型（可以承担中等风险类型的投资者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、成长型（可以承担中等至中高风险类型的投资者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、进取型（可以承受高风险类型的投资者</w:t>
      </w:r>
      <w:r>
        <w:rPr>
          <w:rFonts w:ascii="宋体" w:eastAsia="宋体" w:hAnsi="宋体" w:cs="Times New Roman"/>
          <w:color w:val="000000"/>
          <w:sz w:val="24"/>
          <w:szCs w:val="24"/>
        </w:rPr>
        <w:t>）</w:t>
      </w:r>
      <w:r>
        <w:rPr>
          <w:rFonts w:ascii="宋体" w:eastAsia="宋体" w:hAnsi="宋体" w:cs="Times New Roman" w:hint="eastAsia"/>
          <w:color w:val="000000"/>
          <w:sz w:val="24"/>
          <w:szCs w:val="24"/>
        </w:rPr>
        <w:t>。投资者应购买与风险级别相匹配的理财产品，匹配</w:t>
      </w:r>
      <w:r>
        <w:rPr>
          <w:rFonts w:ascii="宋体" w:eastAsia="宋体" w:hAnsi="宋体" w:cs="Times New Roman"/>
          <w:color w:val="000000"/>
          <w:sz w:val="24"/>
          <w:szCs w:val="24"/>
        </w:rPr>
        <w:t>情况见下表：</w:t>
      </w:r>
    </w:p>
    <w:tbl>
      <w:tblPr>
        <w:tblStyle w:val="TableGrid0"/>
        <w:tblW w:w="8648" w:type="dxa"/>
        <w:tblInd w:w="-431" w:type="dxa"/>
        <w:tblLook w:val="04A0"/>
      </w:tblPr>
      <w:tblGrid>
        <w:gridCol w:w="1844"/>
        <w:gridCol w:w="4252"/>
        <w:gridCol w:w="2552"/>
      </w:tblGrid>
      <w:tr w14:paraId="6A89EC24" w14:textId="77777777">
        <w:tblPrEx>
          <w:tblW w:w="8648" w:type="dxa"/>
          <w:tblInd w:w="-431" w:type="dxa"/>
          <w:tblLook w:val="04A0"/>
        </w:tblPrEx>
        <w:tc>
          <w:tcPr>
            <w:tcW w:w="1844" w:type="dxa"/>
          </w:tcPr>
          <w:p w:rsidR="00D41301" w14:paraId="243A52AD"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产品风险等级</w:t>
            </w:r>
          </w:p>
        </w:tc>
        <w:tc>
          <w:tcPr>
            <w:tcW w:w="4252" w:type="dxa"/>
          </w:tcPr>
          <w:p w:rsidR="00D41301" w14:paraId="6C827E2D"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产品</w:t>
            </w:r>
            <w:r>
              <w:rPr>
                <w:rFonts w:ascii="宋体" w:eastAsia="宋体" w:hAnsi="宋体" w:cs="Times New Roman"/>
                <w:color w:val="000000"/>
                <w:szCs w:val="21"/>
              </w:rPr>
              <w:t>风险</w:t>
            </w:r>
            <w:r>
              <w:rPr>
                <w:rFonts w:ascii="宋体" w:eastAsia="宋体" w:hAnsi="宋体" w:cs="Times New Roman" w:hint="eastAsia"/>
                <w:color w:val="000000"/>
                <w:szCs w:val="21"/>
              </w:rPr>
              <w:t>评级说明</w:t>
            </w:r>
          </w:p>
        </w:tc>
        <w:tc>
          <w:tcPr>
            <w:tcW w:w="2552" w:type="dxa"/>
          </w:tcPr>
          <w:p w:rsidR="00D41301" w14:paraId="652F818D"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目标投资者</w:t>
            </w:r>
          </w:p>
        </w:tc>
      </w:tr>
      <w:tr w14:paraId="6F92C6BE" w14:textId="77777777">
        <w:tblPrEx>
          <w:tblW w:w="8648" w:type="dxa"/>
          <w:tblInd w:w="-431" w:type="dxa"/>
          <w:tblLook w:val="04A0"/>
        </w:tblPrEx>
        <w:tc>
          <w:tcPr>
            <w:tcW w:w="1844" w:type="dxa"/>
          </w:tcPr>
          <w:p w:rsidR="00D41301" w14:paraId="48350CD3"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低风险产品</w:t>
            </w:r>
          </w:p>
          <w:p w:rsidR="00D41301" w14:paraId="3639DC23"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PR1</w:t>
            </w:r>
            <w:r>
              <w:rPr>
                <w:rFonts w:ascii="宋体" w:eastAsia="宋体" w:hAnsi="宋体" w:cs="Times New Roman" w:hint="eastAsia"/>
                <w:color w:val="000000"/>
                <w:szCs w:val="21"/>
              </w:rPr>
              <w:t>）</w:t>
            </w:r>
          </w:p>
        </w:tc>
        <w:tc>
          <w:tcPr>
            <w:tcW w:w="4252" w:type="dxa"/>
          </w:tcPr>
          <w:p w:rsidR="00D41301" w14:paraId="64BEEA41"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理财产品的总体风险程度很低，宁银理财不承诺本金的完全保障，净值波动很小。宁银理财对于产品本金的正常兑付有较为充分的把握。</w:t>
            </w:r>
          </w:p>
        </w:tc>
        <w:tc>
          <w:tcPr>
            <w:tcW w:w="2552" w:type="dxa"/>
          </w:tcPr>
          <w:p w:rsidR="00D41301" w14:paraId="0B2D9AA8" w14:textId="2CADB21A">
            <w:pPr>
              <w:spacing w:line="312" w:lineRule="auto"/>
              <w:rPr>
                <w:rFonts w:ascii="宋体" w:eastAsia="仿宋_GB2312" w:hAnsi="宋体" w:cs="仿宋_GB2312"/>
                <w:color w:val="000000"/>
                <w:kern w:val="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投资者风险承受能力评估为保守型、稳健型、平衡型、成长型、进取型的投资者</w:t>
            </w:r>
          </w:p>
        </w:tc>
      </w:tr>
      <w:tr w14:paraId="68C9ADA8" w14:textId="77777777">
        <w:tblPrEx>
          <w:tblW w:w="8648" w:type="dxa"/>
          <w:tblInd w:w="-431" w:type="dxa"/>
          <w:tblLook w:val="04A0"/>
        </w:tblPrEx>
        <w:tc>
          <w:tcPr>
            <w:tcW w:w="1844" w:type="dxa"/>
          </w:tcPr>
          <w:p w:rsidR="00D41301" w14:paraId="6CDF4B33"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中低风险产品（</w:t>
            </w:r>
            <w:r>
              <w:rPr>
                <w:rFonts w:ascii="宋体" w:eastAsia="宋体" w:hAnsi="宋体" w:cs="Times New Roman"/>
                <w:color w:val="000000"/>
                <w:szCs w:val="21"/>
              </w:rPr>
              <w:t>PR2</w:t>
            </w:r>
            <w:r>
              <w:rPr>
                <w:rFonts w:ascii="宋体" w:eastAsia="宋体" w:hAnsi="宋体" w:cs="Times New Roman" w:hint="eastAsia"/>
                <w:color w:val="000000"/>
                <w:szCs w:val="21"/>
              </w:rPr>
              <w:t>）</w:t>
            </w:r>
          </w:p>
        </w:tc>
        <w:tc>
          <w:tcPr>
            <w:tcW w:w="4252" w:type="dxa"/>
          </w:tcPr>
          <w:p w:rsidR="00D41301" w14:paraId="4D54DE2F"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理财产品的总体风险程度较低，宁银理财不承诺本金保障，净值波动较小。虽然存在一些可能对产品本金安全产生不利影响的因素，但产品本金出现损失的可能性较小。</w:t>
            </w:r>
            <w:r>
              <w:rPr>
                <w:rFonts w:ascii="宋体" w:eastAsia="宋体" w:hAnsi="宋体" w:cs="Times New Roman"/>
                <w:color w:val="000000"/>
                <w:szCs w:val="21"/>
              </w:rPr>
              <w:t xml:space="preserve"> </w:t>
            </w:r>
          </w:p>
        </w:tc>
        <w:tc>
          <w:tcPr>
            <w:tcW w:w="2552" w:type="dxa"/>
          </w:tcPr>
          <w:p w:rsidR="00D41301" w14:paraId="4BDC9840" w14:textId="1E965EDF">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投资者风险承受能力评估为为稳健型、平衡型、成长型、进取型的投资者</w:t>
            </w:r>
          </w:p>
        </w:tc>
      </w:tr>
      <w:tr w14:paraId="7D3A5496" w14:textId="77777777">
        <w:tblPrEx>
          <w:tblW w:w="8648" w:type="dxa"/>
          <w:tblInd w:w="-431" w:type="dxa"/>
          <w:tblLook w:val="04A0"/>
        </w:tblPrEx>
        <w:tc>
          <w:tcPr>
            <w:tcW w:w="1844" w:type="dxa"/>
          </w:tcPr>
          <w:p w:rsidR="00D41301" w14:paraId="1C180124"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中风险产品</w:t>
            </w:r>
          </w:p>
          <w:p w:rsidR="00D41301" w14:paraId="5FF08643"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PR3</w:t>
            </w:r>
            <w:r>
              <w:rPr>
                <w:rFonts w:ascii="宋体" w:eastAsia="宋体" w:hAnsi="宋体" w:cs="Times New Roman" w:hint="eastAsia"/>
                <w:color w:val="000000"/>
                <w:szCs w:val="21"/>
              </w:rPr>
              <w:t>）</w:t>
            </w:r>
          </w:p>
        </w:tc>
        <w:tc>
          <w:tcPr>
            <w:tcW w:w="4252" w:type="dxa"/>
          </w:tcPr>
          <w:p w:rsidR="00D41301" w14:paraId="295B9D6B"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理财产品的总体风险程度适中，宁银理财不承诺本金保障，净值随投资的市场表现波动较明显，产品本金出现损失的可能性不容忽视。</w:t>
            </w:r>
            <w:r>
              <w:rPr>
                <w:rFonts w:ascii="宋体" w:eastAsia="宋体" w:hAnsi="宋体" w:cs="Times New Roman"/>
                <w:color w:val="000000"/>
                <w:szCs w:val="21"/>
              </w:rPr>
              <w:t xml:space="preserve"> </w:t>
            </w:r>
          </w:p>
        </w:tc>
        <w:tc>
          <w:tcPr>
            <w:tcW w:w="2552" w:type="dxa"/>
          </w:tcPr>
          <w:p w:rsidR="00D41301" w14:paraId="3AB2ECFC" w14:textId="5E0DC35C">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投资者风险承受能力评估为平衡型、成长型、进取型的投资者</w:t>
            </w:r>
          </w:p>
        </w:tc>
      </w:tr>
      <w:tr w14:paraId="312519B0" w14:textId="77777777">
        <w:tblPrEx>
          <w:tblW w:w="8648" w:type="dxa"/>
          <w:tblInd w:w="-431" w:type="dxa"/>
          <w:tblLook w:val="04A0"/>
        </w:tblPrEx>
        <w:tc>
          <w:tcPr>
            <w:tcW w:w="1844" w:type="dxa"/>
          </w:tcPr>
          <w:p w:rsidR="00D41301" w14:paraId="41CC04EA"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中</w:t>
            </w:r>
            <w:r>
              <w:rPr>
                <w:rFonts w:ascii="宋体" w:eastAsia="宋体" w:hAnsi="宋体" w:cs="Times New Roman"/>
                <w:color w:val="000000"/>
                <w:szCs w:val="21"/>
              </w:rPr>
              <w:t>高</w:t>
            </w:r>
            <w:r>
              <w:rPr>
                <w:rFonts w:ascii="宋体" w:eastAsia="宋体" w:hAnsi="宋体" w:cs="Times New Roman" w:hint="eastAsia"/>
                <w:color w:val="000000"/>
                <w:szCs w:val="21"/>
              </w:rPr>
              <w:t>风险产品（</w:t>
            </w:r>
            <w:r>
              <w:rPr>
                <w:rFonts w:ascii="宋体" w:eastAsia="宋体" w:hAnsi="宋体" w:cs="Times New Roman"/>
                <w:color w:val="000000"/>
                <w:szCs w:val="21"/>
              </w:rPr>
              <w:t>PR4</w:t>
            </w:r>
            <w:r>
              <w:rPr>
                <w:rFonts w:ascii="宋体" w:eastAsia="宋体" w:hAnsi="宋体" w:cs="Times New Roman" w:hint="eastAsia"/>
                <w:color w:val="000000"/>
                <w:szCs w:val="21"/>
              </w:rPr>
              <w:t>）</w:t>
            </w:r>
          </w:p>
        </w:tc>
        <w:tc>
          <w:tcPr>
            <w:tcW w:w="4252" w:type="dxa"/>
          </w:tcPr>
          <w:p w:rsidR="00D41301" w14:paraId="4AE559C0"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理财产品的总体风险程度较高，宁银理财不承诺本金保障，净值随投资的市场表现波动明显，产品本金出现损失的可能性较高。</w:t>
            </w:r>
            <w:r>
              <w:rPr>
                <w:rFonts w:ascii="宋体" w:eastAsia="宋体" w:hAnsi="宋体" w:cs="Times New Roman"/>
                <w:color w:val="000000"/>
                <w:szCs w:val="21"/>
              </w:rPr>
              <w:t xml:space="preserve"> </w:t>
            </w:r>
          </w:p>
        </w:tc>
        <w:tc>
          <w:tcPr>
            <w:tcW w:w="2552" w:type="dxa"/>
          </w:tcPr>
          <w:p w:rsidR="00D41301" w14:paraId="5BB1054C" w14:textId="7674BE41">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投资者风险承受能力评估为成长型、进取型的投资者</w:t>
            </w:r>
          </w:p>
        </w:tc>
      </w:tr>
      <w:tr w14:paraId="72A54745" w14:textId="77777777">
        <w:tblPrEx>
          <w:tblW w:w="8648" w:type="dxa"/>
          <w:tblInd w:w="-431" w:type="dxa"/>
          <w:tblLook w:val="04A0"/>
        </w:tblPrEx>
        <w:tc>
          <w:tcPr>
            <w:tcW w:w="1844" w:type="dxa"/>
          </w:tcPr>
          <w:p w:rsidR="00D41301" w14:paraId="7757500C"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高风险产品</w:t>
            </w:r>
          </w:p>
          <w:p w:rsidR="00D41301" w14:paraId="6BA6D7C4"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w:t>
            </w:r>
            <w:r>
              <w:rPr>
                <w:rFonts w:ascii="宋体" w:eastAsia="宋体" w:hAnsi="宋体" w:cs="Times New Roman"/>
                <w:color w:val="000000"/>
                <w:szCs w:val="21"/>
              </w:rPr>
              <w:t>PR5</w:t>
            </w:r>
            <w:r>
              <w:rPr>
                <w:rFonts w:ascii="宋体" w:eastAsia="宋体" w:hAnsi="宋体" w:cs="Times New Roman" w:hint="eastAsia"/>
                <w:color w:val="000000"/>
                <w:szCs w:val="21"/>
              </w:rPr>
              <w:t>）</w:t>
            </w:r>
          </w:p>
        </w:tc>
        <w:tc>
          <w:tcPr>
            <w:tcW w:w="4252" w:type="dxa"/>
          </w:tcPr>
          <w:p w:rsidR="00D41301" w14:paraId="7AB05A55" w14:textId="77777777">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理财产品的总体风险程度高，宁银理财不承诺本金保障，净值随投资的市场表现波动明显，产品本金出现损失的可能性很高，产品本金蒙受全部损失的可能性不容忽视。</w:t>
            </w:r>
            <w:r>
              <w:rPr>
                <w:rFonts w:ascii="宋体" w:eastAsia="宋体" w:hAnsi="宋体" w:cs="Times New Roman"/>
                <w:color w:val="000000"/>
                <w:szCs w:val="21"/>
              </w:rPr>
              <w:t xml:space="preserve"> </w:t>
            </w:r>
          </w:p>
        </w:tc>
        <w:tc>
          <w:tcPr>
            <w:tcW w:w="2552" w:type="dxa"/>
          </w:tcPr>
          <w:p w:rsidR="00D41301" w14:paraId="5A8670E1" w14:textId="66D6FE0B">
            <w:pPr>
              <w:spacing w:line="312" w:lineRule="auto"/>
              <w:rPr>
                <w:rFonts w:ascii="宋体" w:eastAsia="宋体" w:hAnsi="宋体" w:cs="Times New Roman"/>
                <w:color w:val="000000"/>
                <w:szCs w:val="21"/>
              </w:rPr>
            </w:pPr>
            <w:r>
              <w:rPr>
                <w:rFonts w:ascii="宋体" w:eastAsia="宋体" w:hAnsi="宋体" w:cs="Times New Roman" w:hint="eastAsia"/>
                <w:color w:val="000000"/>
                <w:szCs w:val="21"/>
              </w:rPr>
              <w:t>经宁银理财</w:t>
            </w:r>
            <w:r w:rsidR="00813255">
              <w:rPr>
                <w:rFonts w:ascii="宋体" w:eastAsia="宋体" w:hAnsi="宋体" w:cs="Times New Roman" w:hint="eastAsia"/>
                <w:color w:val="000000"/>
                <w:szCs w:val="21"/>
              </w:rPr>
              <w:t>普通</w:t>
            </w:r>
            <w:r>
              <w:rPr>
                <w:rFonts w:ascii="宋体" w:eastAsia="宋体" w:hAnsi="宋体" w:cs="Times New Roman" w:hint="eastAsia"/>
                <w:color w:val="000000"/>
                <w:szCs w:val="21"/>
              </w:rPr>
              <w:t>投资者风险承受能力评估为进取型的投资者</w:t>
            </w:r>
          </w:p>
        </w:tc>
      </w:tr>
    </w:tbl>
    <w:p w:rsidR="00D41301" w14:paraId="49AC129C" w14:textId="77777777">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对于</w:t>
      </w:r>
      <w:r>
        <w:rPr>
          <w:rFonts w:ascii="宋体" w:eastAsia="宋体" w:hAnsi="宋体" w:cs="Times New Roman"/>
          <w:color w:val="000000"/>
          <w:sz w:val="24"/>
          <w:szCs w:val="24"/>
        </w:rPr>
        <w:t>通过</w:t>
      </w:r>
      <w:r>
        <w:rPr>
          <w:rFonts w:ascii="宋体" w:eastAsia="宋体" w:hAnsi="宋体" w:cs="Times New Roman" w:hint="eastAsia"/>
          <w:sz w:val="24"/>
          <w:szCs w:val="24"/>
        </w:rPr>
        <w:t>代理销售</w:t>
      </w:r>
      <w:r>
        <w:rPr>
          <w:rFonts w:ascii="宋体" w:eastAsia="宋体" w:hAnsi="宋体" w:cs="Times New Roman" w:hint="eastAsia"/>
          <w:color w:val="000000"/>
          <w:sz w:val="24"/>
          <w:szCs w:val="24"/>
        </w:rPr>
        <w:t>机构进行</w:t>
      </w:r>
      <w:r>
        <w:rPr>
          <w:rFonts w:ascii="宋体" w:eastAsia="宋体" w:hAnsi="宋体" w:cs="Times New Roman"/>
          <w:color w:val="000000"/>
          <w:sz w:val="24"/>
          <w:szCs w:val="24"/>
        </w:rPr>
        <w:t>风险</w:t>
      </w:r>
      <w:r>
        <w:rPr>
          <w:rFonts w:ascii="宋体" w:eastAsia="宋体" w:hAnsi="宋体" w:cs="Times New Roman" w:hint="eastAsia"/>
          <w:color w:val="000000"/>
          <w:sz w:val="24"/>
          <w:szCs w:val="24"/>
        </w:rPr>
        <w:t>承受能力</w:t>
      </w:r>
      <w:r>
        <w:rPr>
          <w:rFonts w:ascii="宋体" w:eastAsia="宋体" w:hAnsi="宋体" w:cs="Times New Roman"/>
          <w:color w:val="000000"/>
          <w:sz w:val="24"/>
          <w:szCs w:val="24"/>
        </w:rPr>
        <w:t>评估的投资者，</w:t>
      </w:r>
      <w:r>
        <w:rPr>
          <w:rFonts w:ascii="宋体" w:eastAsia="宋体" w:hAnsi="宋体" w:cs="Times New Roman" w:hint="eastAsia"/>
          <w:sz w:val="24"/>
          <w:szCs w:val="24"/>
        </w:rPr>
        <w:t>风险承受能力等级以代理销售机构的评估结果为准</w:t>
      </w:r>
      <w:r>
        <w:rPr>
          <w:rFonts w:ascii="宋体" w:eastAsia="宋体" w:hAnsi="宋体" w:cs="Times New Roman"/>
          <w:color w:val="000000"/>
          <w:sz w:val="24"/>
          <w:szCs w:val="24"/>
        </w:rPr>
        <w:t>。</w:t>
      </w:r>
    </w:p>
    <w:p w:rsidR="00D41301" w14:paraId="6952BDEA" w14:textId="77777777">
      <w:pPr>
        <w:spacing w:line="312" w:lineRule="auto"/>
        <w:ind w:firstLine="480" w:firstLineChars="20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三、信息披露</w:t>
      </w:r>
    </w:p>
    <w:p w:rsidR="00D41301" w14:paraId="264CB2A5" w14:textId="23EFF892">
      <w:pPr>
        <w:spacing w:line="312" w:lineRule="auto"/>
        <w:ind w:firstLine="480" w:firstLineChars="200"/>
        <w:rPr>
          <w:rFonts w:ascii="宋体" w:eastAsia="宋体" w:hAnsi="宋体" w:cs="Times New Roman"/>
          <w:color w:val="000000"/>
          <w:sz w:val="24"/>
          <w:szCs w:val="24"/>
        </w:rPr>
      </w:pPr>
      <w:r>
        <w:rPr>
          <w:rFonts w:ascii="宋体" w:eastAsia="宋体" w:hAnsi="宋体" w:cs="Times New Roman" w:hint="eastAsia"/>
          <w:color w:val="000000"/>
          <w:sz w:val="24"/>
          <w:szCs w:val="24"/>
        </w:rPr>
        <w:t>宁银理财将于理财产品募集期间、存续期间和终止时，通过本公司网站</w:t>
      </w:r>
      <w:r>
        <w:rPr>
          <w:rFonts w:ascii="宋体" w:eastAsia="宋体" w:hAnsi="宋体" w:cs="Times New Roman" w:hint="eastAsia"/>
          <w:color w:val="000000"/>
          <w:sz w:val="24"/>
          <w:szCs w:val="24"/>
        </w:rPr>
        <w:t>（</w:t>
      </w:r>
      <w:r w:rsidRPr="005F4715" w:rsidR="00E72B45">
        <w:rPr>
          <w:rFonts w:ascii="宋体" w:eastAsia="宋体" w:hAnsi="宋体" w:cs="Times New Roman"/>
          <w:color w:val="000000"/>
          <w:sz w:val="24"/>
          <w:szCs w:val="24"/>
        </w:rPr>
        <w:t>www.wmbnb.com</w:t>
      </w:r>
      <w:r>
        <w:rPr>
          <w:rFonts w:ascii="宋体" w:eastAsia="宋体" w:hAnsi="宋体" w:cs="Times New Roman" w:hint="eastAsia"/>
          <w:color w:val="000000"/>
          <w:sz w:val="24"/>
          <w:szCs w:val="24"/>
        </w:rPr>
        <w:t>）、相关产品代理销售机构官方渠道或其他适当的方式进行信息披露（具体产品</w:t>
      </w:r>
      <w:r>
        <w:rPr>
          <w:rFonts w:ascii="宋体" w:eastAsia="宋体" w:hAnsi="宋体" w:cs="Times New Roman"/>
          <w:color w:val="000000"/>
          <w:sz w:val="24"/>
          <w:szCs w:val="24"/>
        </w:rPr>
        <w:t>的</w:t>
      </w:r>
      <w:r>
        <w:rPr>
          <w:rFonts w:ascii="宋体" w:eastAsia="宋体" w:hAnsi="宋体" w:cs="Times New Roman" w:hint="eastAsia"/>
          <w:color w:val="000000"/>
          <w:sz w:val="24"/>
          <w:szCs w:val="24"/>
        </w:rPr>
        <w:t>信息披露方式、频率等规则见</w:t>
      </w:r>
      <w:r>
        <w:rPr>
          <w:rFonts w:ascii="宋体" w:eastAsia="宋体" w:hAnsi="宋体" w:cs="Times New Roman" w:hint="eastAsia"/>
          <w:sz w:val="24"/>
          <w:szCs w:val="24"/>
        </w:rPr>
        <w:t>《理财产品说明书》</w:t>
      </w:r>
      <w:r>
        <w:rPr>
          <w:rFonts w:ascii="宋体" w:eastAsia="宋体" w:hAnsi="宋体" w:cs="Times New Roman" w:hint="eastAsia"/>
          <w:color w:val="000000"/>
          <w:sz w:val="24"/>
          <w:szCs w:val="24"/>
        </w:rPr>
        <w:t>）。</w:t>
      </w:r>
      <w:r>
        <w:rPr>
          <w:rFonts w:ascii="宋体" w:eastAsia="宋体" w:hAnsi="宋体" w:cs="Times New Roman" w:hint="eastAsia"/>
          <w:b/>
          <w:bCs/>
          <w:color w:val="000000"/>
          <w:sz w:val="24"/>
          <w:szCs w:val="24"/>
        </w:rPr>
        <w:t>宁银理财或代理销售机构通过理财产品销售文件约定方式披露信息后，视为宁银理财已向投资者完全履行信息披露义务，投资者应依据理财产品销售文件的约定，及时通过宁银理财网站、客服热线或相关产品代理销售机构官方渠道进行查询。</w:t>
      </w:r>
    </w:p>
    <w:p w:rsidR="00D41301" w14:paraId="676E2859" w14:textId="77777777">
      <w:pPr>
        <w:spacing w:line="312" w:lineRule="auto"/>
        <w:ind w:firstLine="480" w:firstLineChars="20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四、投资者信息管理</w:t>
      </w:r>
    </w:p>
    <w:p w:rsidR="00D41301" w14:paraId="080ED852" w14:textId="1BBA2E93">
      <w:pPr>
        <w:spacing w:line="360" w:lineRule="auto"/>
        <w:ind w:firstLine="480" w:firstLineChars="200"/>
        <w:rPr>
          <w:rFonts w:ascii="宋体" w:eastAsia="宋体" w:hAnsi="宋体" w:cs="Times New Roman"/>
          <w:sz w:val="24"/>
          <w:szCs w:val="24"/>
        </w:rPr>
      </w:pPr>
      <w:r>
        <w:rPr>
          <w:rFonts w:ascii="宋体" w:eastAsia="宋体" w:hAnsi="宋体" w:cs="Times New Roman"/>
          <w:b/>
          <w:sz w:val="24"/>
          <w:szCs w:val="24"/>
        </w:rPr>
        <w:t>基于</w:t>
      </w:r>
      <w:r>
        <w:rPr>
          <w:rFonts w:ascii="宋体" w:eastAsia="宋体" w:hAnsi="宋体" w:cs="Times New Roman" w:hint="eastAsia"/>
          <w:b/>
          <w:color w:val="000000"/>
          <w:sz w:val="24"/>
          <w:szCs w:val="24"/>
        </w:rPr>
        <w:t>宁银理财</w:t>
      </w:r>
      <w:r>
        <w:rPr>
          <w:rFonts w:ascii="宋体" w:eastAsia="宋体" w:hAnsi="宋体" w:cs="Times New Roman"/>
          <w:b/>
          <w:sz w:val="24"/>
          <w:szCs w:val="24"/>
        </w:rPr>
        <w:t>履行</w:t>
      </w:r>
      <w:r>
        <w:rPr>
          <w:rFonts w:ascii="宋体" w:eastAsia="宋体" w:hAnsi="宋体" w:cs="Times New Roman" w:hint="eastAsia"/>
          <w:b/>
          <w:sz w:val="24"/>
          <w:szCs w:val="24"/>
        </w:rPr>
        <w:t>理财产品销售文件所载明的各项义务</w:t>
      </w:r>
      <w:r>
        <w:rPr>
          <w:rFonts w:ascii="宋体" w:eastAsia="宋体" w:hAnsi="宋体" w:cs="Times New Roman"/>
          <w:b/>
          <w:sz w:val="24"/>
          <w:szCs w:val="24"/>
        </w:rPr>
        <w:t>、进行服务管理和风险管理、报送监管信息</w:t>
      </w:r>
      <w:r>
        <w:rPr>
          <w:rFonts w:ascii="宋体" w:eastAsia="宋体" w:hAnsi="宋体" w:cs="Times New Roman" w:hint="eastAsia"/>
          <w:b/>
          <w:sz w:val="24"/>
          <w:szCs w:val="24"/>
        </w:rPr>
        <w:t>、</w:t>
      </w:r>
      <w:r>
        <w:rPr>
          <w:rFonts w:ascii="宋体" w:eastAsia="宋体" w:hAnsi="宋体" w:cs="Times New Roman"/>
          <w:b/>
          <w:sz w:val="24"/>
          <w:szCs w:val="24"/>
        </w:rPr>
        <w:t>履行反洗钱、</w:t>
      </w:r>
      <w:r>
        <w:rPr>
          <w:rFonts w:ascii="宋体" w:eastAsia="宋体" w:hAnsi="宋体" w:cs="Times New Roman" w:hint="eastAsia"/>
          <w:b/>
          <w:sz w:val="24"/>
          <w:szCs w:val="24"/>
        </w:rPr>
        <w:t>反恐怖融资、非居民金融账户涉税信息尽职调查、</w:t>
      </w:r>
      <w:r>
        <w:rPr>
          <w:rFonts w:ascii="宋体" w:eastAsia="宋体" w:hAnsi="宋体" w:cs="Times New Roman"/>
          <w:b/>
          <w:sz w:val="24"/>
          <w:szCs w:val="24"/>
        </w:rPr>
        <w:t>投资者资质审核和销售适当性等法律法规和监管要求的义务</w:t>
      </w:r>
      <w:r>
        <w:rPr>
          <w:rFonts w:ascii="宋体" w:eastAsia="宋体" w:hAnsi="宋体" w:cs="Times New Roman" w:hint="eastAsia"/>
          <w:b/>
          <w:sz w:val="24"/>
          <w:szCs w:val="24"/>
        </w:rPr>
        <w:t>的</w:t>
      </w:r>
      <w:r>
        <w:rPr>
          <w:rFonts w:ascii="宋体" w:eastAsia="宋体" w:hAnsi="宋体" w:cs="Times New Roman"/>
          <w:b/>
          <w:sz w:val="24"/>
          <w:szCs w:val="24"/>
        </w:rPr>
        <w:t>需要，</w:t>
      </w:r>
      <w:r>
        <w:rPr>
          <w:rFonts w:ascii="宋体" w:eastAsia="宋体" w:hAnsi="宋体" w:cs="Times New Roman" w:hint="eastAsia"/>
          <w:b/>
          <w:sz w:val="24"/>
          <w:szCs w:val="24"/>
        </w:rPr>
        <w:t>您授权</w:t>
      </w:r>
      <w:r>
        <w:rPr>
          <w:rFonts w:ascii="宋体" w:eastAsia="宋体" w:hAnsi="宋体" w:cs="Times New Roman" w:hint="eastAsia"/>
          <w:b/>
          <w:color w:val="000000"/>
          <w:sz w:val="24"/>
          <w:szCs w:val="24"/>
        </w:rPr>
        <w:t>宁银理财</w:t>
      </w:r>
      <w:r>
        <w:rPr>
          <w:rFonts w:ascii="宋体" w:eastAsia="宋体" w:hAnsi="宋体" w:cs="Times New Roman"/>
          <w:b/>
          <w:sz w:val="24"/>
          <w:szCs w:val="24"/>
        </w:rPr>
        <w:t>在业务办理或履行过程中</w:t>
      </w:r>
      <w:r>
        <w:rPr>
          <w:rFonts w:ascii="宋体" w:eastAsia="宋体" w:hAnsi="宋体" w:cs="Times New Roman" w:hint="eastAsia"/>
          <w:b/>
          <w:sz w:val="24"/>
          <w:szCs w:val="24"/>
        </w:rPr>
        <w:t>直接或通过代理销售机构间接获取并报送、处理投资者</w:t>
      </w:r>
      <w:r w:rsidR="00152C4E">
        <w:rPr>
          <w:rFonts w:ascii="宋体" w:eastAsia="宋体" w:hAnsi="宋体" w:cs="Times New Roman" w:hint="eastAsia"/>
          <w:b/>
          <w:sz w:val="24"/>
          <w:szCs w:val="24"/>
        </w:rPr>
        <w:t>或投资者相关人员的</w:t>
      </w:r>
      <w:r>
        <w:rPr>
          <w:rFonts w:ascii="宋体" w:eastAsia="宋体" w:hAnsi="宋体" w:cs="Times New Roman" w:hint="eastAsia"/>
          <w:b/>
          <w:sz w:val="24"/>
          <w:szCs w:val="24"/>
        </w:rPr>
        <w:t>个人信息，</w:t>
      </w:r>
      <w:r>
        <w:rPr>
          <w:rFonts w:ascii="宋体" w:eastAsia="宋体" w:hAnsi="宋体" w:cs="Times New Roman" w:hint="eastAsia"/>
          <w:b/>
          <w:bCs/>
          <w:color w:val="000000" w:themeColor="text1"/>
          <w:sz w:val="24"/>
          <w:szCs w:val="24"/>
        </w:rPr>
        <w:t>处理方式为收集、存储、使用、加工、传输、提供等，个人信息包括姓名、性别、国籍或地区、职业、联系方式、地址、身份证件信息等</w:t>
      </w:r>
      <w:r>
        <w:rPr>
          <w:rFonts w:ascii="宋体" w:eastAsia="宋体" w:hAnsi="宋体" w:cs="Times New Roman" w:hint="eastAsia"/>
          <w:b/>
          <w:sz w:val="24"/>
          <w:szCs w:val="24"/>
        </w:rPr>
        <w:t>身份信息，</w:t>
      </w:r>
      <w:r>
        <w:rPr>
          <w:rFonts w:ascii="宋体" w:eastAsia="宋体" w:hAnsi="宋体" w:cs="Times New Roman" w:hint="eastAsia"/>
          <w:b/>
          <w:bCs/>
          <w:color w:val="000000" w:themeColor="text1"/>
          <w:sz w:val="24"/>
          <w:szCs w:val="24"/>
        </w:rPr>
        <w:t>理财账户、银行账户等</w:t>
      </w:r>
      <w:r>
        <w:rPr>
          <w:rFonts w:ascii="宋体" w:eastAsia="宋体" w:hAnsi="宋体" w:cs="Times New Roman" w:hint="eastAsia"/>
          <w:b/>
          <w:sz w:val="24"/>
          <w:szCs w:val="24"/>
        </w:rPr>
        <w:t>账户信息，</w:t>
      </w:r>
      <w:r>
        <w:rPr>
          <w:rFonts w:ascii="宋体" w:eastAsia="宋体" w:hAnsi="宋体" w:cs="Times New Roman" w:hint="eastAsia"/>
          <w:b/>
          <w:bCs/>
          <w:color w:val="000000" w:themeColor="text1"/>
          <w:sz w:val="24"/>
          <w:szCs w:val="24"/>
        </w:rPr>
        <w:t>风险承受能力等级、理财产品交易时间等金融交易信息，</w:t>
      </w:r>
      <w:r>
        <w:rPr>
          <w:rFonts w:ascii="宋体" w:eastAsia="宋体" w:hAnsi="宋体" w:cs="Times New Roman" w:hint="eastAsia"/>
          <w:b/>
          <w:sz w:val="24"/>
          <w:szCs w:val="24"/>
        </w:rPr>
        <w:t>持有理财产品信息等财产信息</w:t>
      </w:r>
      <w:r>
        <w:rPr>
          <w:rFonts w:ascii="宋体" w:eastAsia="宋体" w:hAnsi="宋体" w:cs="Times New Roman" w:hint="eastAsia"/>
          <w:b/>
          <w:bCs/>
          <w:color w:val="000000" w:themeColor="text1"/>
          <w:sz w:val="24"/>
          <w:szCs w:val="24"/>
        </w:rPr>
        <w:t>，及法律法规、监管要求或行业自律准则规定的其他信息</w:t>
      </w:r>
      <w:r>
        <w:rPr>
          <w:rFonts w:ascii="宋体" w:eastAsia="宋体" w:hAnsi="宋体" w:cs="Times New Roman" w:hint="eastAsia"/>
          <w:b/>
          <w:sz w:val="24"/>
          <w:szCs w:val="24"/>
        </w:rPr>
        <w:t>；在宁银理财履行相关法律法规、监管规定的义务及有权机关要求的情况下，授权宁银理财向银行业理财登记托管中心、监管机构及其他有权机关报送或提供上述信息；</w:t>
      </w:r>
      <w:r>
        <w:rPr>
          <w:rFonts w:ascii="宋体" w:eastAsia="宋体" w:hAnsi="宋体" w:cs="Times New Roman"/>
          <w:b/>
          <w:sz w:val="24"/>
          <w:szCs w:val="24"/>
        </w:rPr>
        <w:t>在</w:t>
      </w:r>
      <w:r>
        <w:rPr>
          <w:rFonts w:ascii="宋体" w:eastAsia="宋体" w:hAnsi="宋体" w:cs="Times New Roman" w:hint="eastAsia"/>
          <w:b/>
          <w:color w:val="000000"/>
          <w:sz w:val="24"/>
          <w:szCs w:val="24"/>
        </w:rPr>
        <w:t>宁银理财</w:t>
      </w:r>
      <w:r>
        <w:rPr>
          <w:rFonts w:ascii="宋体" w:eastAsia="宋体" w:hAnsi="宋体" w:cs="Times New Roman"/>
          <w:b/>
          <w:sz w:val="24"/>
          <w:szCs w:val="24"/>
        </w:rPr>
        <w:t>办理本协议项下相关事项所必需的情形下，</w:t>
      </w:r>
      <w:r>
        <w:rPr>
          <w:rFonts w:ascii="宋体" w:eastAsia="宋体" w:hAnsi="宋体" w:cs="Times New Roman" w:hint="eastAsia"/>
          <w:b/>
          <w:sz w:val="24"/>
          <w:szCs w:val="24"/>
        </w:rPr>
        <w:t>授权宁银理财</w:t>
      </w:r>
      <w:r>
        <w:rPr>
          <w:rFonts w:ascii="宋体" w:eastAsia="宋体" w:hAnsi="宋体" w:cs="Times New Roman"/>
          <w:b/>
          <w:sz w:val="24"/>
          <w:szCs w:val="24"/>
        </w:rPr>
        <w:t>向</w:t>
      </w:r>
      <w:r>
        <w:rPr>
          <w:rFonts w:ascii="宋体" w:eastAsia="宋体" w:hAnsi="宋体" w:cs="Times New Roman" w:hint="eastAsia"/>
          <w:b/>
          <w:color w:val="000000"/>
          <w:sz w:val="24"/>
          <w:szCs w:val="24"/>
        </w:rPr>
        <w:t>宁银理财</w:t>
      </w:r>
      <w:r>
        <w:rPr>
          <w:rFonts w:ascii="宋体" w:eastAsia="宋体" w:hAnsi="宋体" w:cs="Times New Roman"/>
          <w:b/>
          <w:sz w:val="24"/>
          <w:szCs w:val="24"/>
        </w:rPr>
        <w:t>集团成员、服务机构及其他</w:t>
      </w:r>
      <w:r>
        <w:rPr>
          <w:rFonts w:ascii="宋体" w:eastAsia="宋体" w:hAnsi="宋体" w:cs="Times New Roman" w:hint="eastAsia"/>
          <w:b/>
          <w:color w:val="000000"/>
          <w:sz w:val="24"/>
          <w:szCs w:val="24"/>
        </w:rPr>
        <w:t>宁银理财</w:t>
      </w:r>
      <w:r>
        <w:rPr>
          <w:rFonts w:ascii="宋体" w:eastAsia="宋体" w:hAnsi="宋体" w:cs="Times New Roman"/>
          <w:b/>
          <w:sz w:val="24"/>
          <w:szCs w:val="24"/>
        </w:rPr>
        <w:t>认为必要的业务合作机构（包括但不限于代理销售机构</w:t>
      </w:r>
      <w:r w:rsidR="004A3A2F">
        <w:rPr>
          <w:rFonts w:ascii="宋体" w:eastAsia="宋体" w:hAnsi="宋体" w:cs="Times New Roman" w:hint="eastAsia"/>
          <w:b/>
          <w:sz w:val="24"/>
          <w:szCs w:val="24"/>
        </w:rPr>
        <w:t>、清算服务机构</w:t>
      </w:r>
      <w:r>
        <w:rPr>
          <w:rFonts w:ascii="宋体" w:eastAsia="宋体" w:hAnsi="宋体" w:cs="Times New Roman" w:hint="eastAsia"/>
          <w:b/>
          <w:bCs/>
          <w:color w:val="000000" w:themeColor="text1"/>
          <w:sz w:val="24"/>
          <w:szCs w:val="24"/>
        </w:rPr>
        <w:t>等</w:t>
      </w:r>
      <w:r>
        <w:rPr>
          <w:rFonts w:ascii="宋体" w:eastAsia="宋体" w:hAnsi="宋体" w:cs="Times New Roman"/>
          <w:b/>
          <w:sz w:val="24"/>
          <w:szCs w:val="24"/>
        </w:rPr>
        <w:t>）提供</w:t>
      </w:r>
      <w:r>
        <w:rPr>
          <w:rFonts w:ascii="宋体" w:eastAsia="宋体" w:hAnsi="宋体" w:cs="Times New Roman" w:hint="eastAsia"/>
          <w:b/>
          <w:color w:val="000000"/>
          <w:sz w:val="24"/>
          <w:szCs w:val="24"/>
        </w:rPr>
        <w:t>宁银理财</w:t>
      </w:r>
      <w:r>
        <w:rPr>
          <w:rFonts w:ascii="宋体" w:eastAsia="宋体" w:hAnsi="宋体" w:cs="Times New Roman"/>
          <w:b/>
          <w:sz w:val="24"/>
          <w:szCs w:val="24"/>
        </w:rPr>
        <w:t>获取的</w:t>
      </w:r>
      <w:r>
        <w:rPr>
          <w:rFonts w:ascii="宋体" w:eastAsia="宋体" w:hAnsi="宋体" w:cs="Times New Roman" w:hint="eastAsia"/>
          <w:b/>
          <w:sz w:val="24"/>
          <w:szCs w:val="24"/>
        </w:rPr>
        <w:t>上述投资者</w:t>
      </w:r>
      <w:r>
        <w:rPr>
          <w:rFonts w:ascii="宋体" w:eastAsia="宋体" w:hAnsi="宋体" w:cs="Times New Roman"/>
          <w:b/>
          <w:sz w:val="24"/>
          <w:szCs w:val="24"/>
        </w:rPr>
        <w:t>信息，</w:t>
      </w:r>
      <w:r>
        <w:rPr>
          <w:rFonts w:ascii="宋体" w:eastAsia="宋体" w:hAnsi="宋体" w:cs="Times New Roman" w:hint="eastAsia"/>
          <w:b/>
          <w:sz w:val="24"/>
          <w:szCs w:val="24"/>
        </w:rPr>
        <w:t>授权使用时限与提供前述服务及履行相关法律法规和监管要求义务的必要时限一致。</w:t>
      </w:r>
      <w:r>
        <w:rPr>
          <w:rFonts w:ascii="宋体" w:eastAsia="宋体" w:hAnsi="宋体" w:cs="Times New Roman"/>
          <w:b/>
          <w:sz w:val="24"/>
          <w:szCs w:val="24"/>
        </w:rPr>
        <w:t>接</w:t>
      </w:r>
      <w:r>
        <w:rPr>
          <w:rFonts w:ascii="宋体" w:eastAsia="宋体" w:hAnsi="宋体" w:cs="Times New Roman"/>
          <w:b/>
          <w:sz w:val="24"/>
          <w:szCs w:val="24"/>
        </w:rPr>
        <w:t>收信息的上述第三方将为处理本协议项下事务之目的接触并按照</w:t>
      </w:r>
      <w:r>
        <w:rPr>
          <w:rFonts w:ascii="宋体" w:eastAsia="宋体" w:hAnsi="宋体" w:cs="Times New Roman" w:hint="eastAsia"/>
          <w:b/>
          <w:color w:val="000000"/>
          <w:sz w:val="24"/>
          <w:szCs w:val="24"/>
        </w:rPr>
        <w:t>宁银理财</w:t>
      </w:r>
      <w:r>
        <w:rPr>
          <w:rFonts w:ascii="宋体" w:eastAsia="宋体" w:hAnsi="宋体" w:cs="Times New Roman"/>
          <w:b/>
          <w:sz w:val="24"/>
          <w:szCs w:val="24"/>
        </w:rPr>
        <w:t>的业务需要</w:t>
      </w:r>
      <w:r>
        <w:rPr>
          <w:rFonts w:ascii="宋体" w:eastAsia="宋体" w:hAnsi="宋体" w:cs="Times New Roman" w:hint="eastAsia"/>
          <w:b/>
          <w:sz w:val="24"/>
          <w:szCs w:val="24"/>
        </w:rPr>
        <w:t>处理投资者</w:t>
      </w:r>
      <w:r>
        <w:rPr>
          <w:rFonts w:ascii="宋体" w:eastAsia="宋体" w:hAnsi="宋体" w:cs="Times New Roman"/>
          <w:b/>
          <w:sz w:val="24"/>
          <w:szCs w:val="24"/>
        </w:rPr>
        <w:t>信息</w:t>
      </w:r>
      <w:r>
        <w:rPr>
          <w:rFonts w:ascii="宋体" w:eastAsia="宋体" w:hAnsi="宋体" w:cs="Times New Roman" w:hint="eastAsia"/>
          <w:b/>
          <w:sz w:val="24"/>
          <w:szCs w:val="24"/>
        </w:rPr>
        <w:t>，处理方式</w:t>
      </w:r>
      <w:r>
        <w:rPr>
          <w:rFonts w:ascii="宋体" w:eastAsia="宋体" w:hAnsi="宋体" w:cs="Times New Roman" w:hint="eastAsia"/>
          <w:b/>
          <w:bCs/>
          <w:color w:val="000000" w:themeColor="text1"/>
          <w:sz w:val="24"/>
          <w:szCs w:val="24"/>
        </w:rPr>
        <w:t>包括但不限于存储、使用、加工、传输、提供等</w:t>
      </w:r>
      <w:r>
        <w:rPr>
          <w:rFonts w:ascii="宋体" w:eastAsia="宋体" w:hAnsi="宋体" w:cs="Times New Roman"/>
          <w:b/>
          <w:sz w:val="24"/>
          <w:szCs w:val="24"/>
        </w:rPr>
        <w:t>。</w:t>
      </w:r>
      <w:r w:rsidR="00DA6336">
        <w:rPr>
          <w:rFonts w:ascii="宋体" w:eastAsia="宋体" w:hAnsi="宋体" w:cs="Times New Roman" w:hint="eastAsia"/>
          <w:b/>
          <w:sz w:val="24"/>
          <w:szCs w:val="24"/>
        </w:rPr>
        <w:t>上述约定的</w:t>
      </w:r>
      <w:r w:rsidR="00DA6336">
        <w:rPr>
          <w:rFonts w:ascii="宋体" w:eastAsia="宋体" w:hAnsi="宋体" w:cs="Times New Roman" w:hint="eastAsia"/>
          <w:b/>
          <w:bCs/>
          <w:color w:val="000000" w:themeColor="text1"/>
          <w:sz w:val="24"/>
          <w:szCs w:val="24"/>
        </w:rPr>
        <w:t>个人信息包括</w:t>
      </w:r>
      <w:r w:rsidR="00152C4E">
        <w:rPr>
          <w:rFonts w:ascii="宋体" w:eastAsia="宋体" w:hAnsi="宋体" w:cs="Times New Roman" w:hint="eastAsia"/>
          <w:b/>
          <w:bCs/>
          <w:color w:val="000000" w:themeColor="text1"/>
          <w:sz w:val="24"/>
          <w:szCs w:val="24"/>
        </w:rPr>
        <w:t>投资者或投资者相关人员的</w:t>
      </w:r>
      <w:r w:rsidR="00DA6336">
        <w:rPr>
          <w:rFonts w:ascii="宋体" w:eastAsia="宋体" w:hAnsi="宋体" w:cs="Times New Roman" w:hint="eastAsia"/>
          <w:b/>
          <w:bCs/>
          <w:color w:val="000000" w:themeColor="text1"/>
          <w:sz w:val="24"/>
          <w:szCs w:val="24"/>
        </w:rPr>
        <w:t>敏感个人信息，敏感个人信息一旦泄露或非法使用，容易导致</w:t>
      </w:r>
      <w:r w:rsidR="00152C4E">
        <w:rPr>
          <w:rFonts w:ascii="宋体" w:eastAsia="宋体" w:hAnsi="宋体" w:cs="Times New Roman" w:hint="eastAsia"/>
          <w:b/>
          <w:bCs/>
          <w:color w:val="000000" w:themeColor="text1"/>
          <w:sz w:val="24"/>
          <w:szCs w:val="24"/>
        </w:rPr>
        <w:t>投资者或投资者相关人员</w:t>
      </w:r>
      <w:r w:rsidR="00DA6336">
        <w:rPr>
          <w:rFonts w:ascii="宋体" w:eastAsia="宋体" w:hAnsi="宋体" w:cs="Times New Roman" w:hint="eastAsia"/>
          <w:b/>
          <w:bCs/>
          <w:color w:val="000000" w:themeColor="text1"/>
          <w:sz w:val="24"/>
          <w:szCs w:val="24"/>
        </w:rPr>
        <w:t>的人格尊严受到侵害或者人身、财产安全受到危害。</w:t>
      </w:r>
      <w:r>
        <w:rPr>
          <w:rFonts w:ascii="宋体" w:eastAsia="宋体" w:hAnsi="宋体" w:cs="Times New Roman" w:hint="eastAsia"/>
          <w:b/>
          <w:color w:val="000000"/>
          <w:sz w:val="24"/>
          <w:szCs w:val="24"/>
        </w:rPr>
        <w:t>宁银理财</w:t>
      </w:r>
      <w:r>
        <w:rPr>
          <w:rFonts w:ascii="宋体" w:eastAsia="宋体" w:hAnsi="宋体" w:cs="Times New Roman" w:hint="eastAsia"/>
          <w:b/>
          <w:sz w:val="24"/>
          <w:szCs w:val="24"/>
        </w:rPr>
        <w:t>承诺</w:t>
      </w:r>
      <w:r w:rsidR="00DA6336">
        <w:rPr>
          <w:rFonts w:ascii="宋体" w:eastAsia="宋体" w:hAnsi="宋体" w:cs="Times New Roman" w:hint="eastAsia"/>
          <w:b/>
          <w:sz w:val="24"/>
          <w:szCs w:val="24"/>
        </w:rPr>
        <w:t>，宁银理财</w:t>
      </w:r>
      <w:r w:rsidR="00DA6336">
        <w:rPr>
          <w:rFonts w:ascii="宋体" w:eastAsia="宋体" w:hAnsi="宋体" w:cs="Times New Roman"/>
          <w:b/>
          <w:bCs/>
          <w:color w:val="000000" w:themeColor="text1"/>
          <w:sz w:val="24"/>
          <w:szCs w:val="24"/>
        </w:rPr>
        <w:t>及</w:t>
      </w:r>
      <w:r w:rsidR="00DA6336">
        <w:rPr>
          <w:rFonts w:ascii="宋体" w:eastAsia="宋体" w:hAnsi="宋体" w:cs="Times New Roman" w:hint="eastAsia"/>
          <w:b/>
          <w:bCs/>
          <w:color w:val="000000" w:themeColor="text1"/>
          <w:sz w:val="24"/>
          <w:szCs w:val="24"/>
        </w:rPr>
        <w:t>第三方</w:t>
      </w:r>
      <w:r w:rsidR="00DA6336">
        <w:rPr>
          <w:rFonts w:ascii="宋体" w:eastAsia="宋体" w:hAnsi="宋体" w:cs="Times New Roman"/>
          <w:b/>
          <w:bCs/>
          <w:color w:val="000000" w:themeColor="text1"/>
          <w:sz w:val="24"/>
          <w:szCs w:val="24"/>
        </w:rPr>
        <w:t>业务合作机构</w:t>
      </w:r>
      <w:r w:rsidR="00DA6336">
        <w:rPr>
          <w:rFonts w:ascii="宋体" w:eastAsia="宋体" w:hAnsi="宋体" w:cs="Times New Roman" w:hint="eastAsia"/>
          <w:b/>
          <w:bCs/>
          <w:color w:val="000000" w:themeColor="text1"/>
          <w:sz w:val="24"/>
          <w:szCs w:val="24"/>
        </w:rPr>
        <w:t>基于上述目的处理个人信息（包括</w:t>
      </w:r>
      <w:r w:rsidR="00DA6336">
        <w:rPr>
          <w:rFonts w:ascii="宋体" w:eastAsia="宋体" w:hAnsi="宋体" w:cs="Times New Roman"/>
          <w:b/>
          <w:bCs/>
          <w:color w:val="000000" w:themeColor="text1"/>
          <w:sz w:val="24"/>
          <w:szCs w:val="24"/>
        </w:rPr>
        <w:t>敏感个人信息）</w:t>
      </w:r>
      <w:r w:rsidR="00DA6336">
        <w:rPr>
          <w:rFonts w:ascii="宋体" w:eastAsia="宋体" w:hAnsi="宋体" w:cs="Times New Roman" w:hint="eastAsia"/>
          <w:b/>
          <w:bCs/>
          <w:color w:val="000000" w:themeColor="text1"/>
          <w:sz w:val="24"/>
          <w:szCs w:val="24"/>
        </w:rPr>
        <w:t>为提供服务或满足合规要求所必须，宁银理财</w:t>
      </w:r>
      <w:r>
        <w:rPr>
          <w:rFonts w:ascii="宋体" w:eastAsia="宋体" w:hAnsi="宋体" w:cs="Times New Roman" w:hint="eastAsia"/>
          <w:b/>
          <w:sz w:val="24"/>
          <w:szCs w:val="24"/>
        </w:rPr>
        <w:t>将向有关第三方明确其保护投资者信息的职责并要求第三方承担相应保密义务</w:t>
      </w:r>
      <w:r w:rsidR="00DA6336">
        <w:rPr>
          <w:rFonts w:ascii="宋体" w:eastAsia="宋体" w:hAnsi="宋体" w:cs="Times New Roman" w:hint="eastAsia"/>
          <w:b/>
          <w:sz w:val="24"/>
          <w:szCs w:val="24"/>
        </w:rPr>
        <w:t>，严格按照</w:t>
      </w:r>
      <w:r w:rsidR="00DA6336">
        <w:rPr>
          <w:rFonts w:ascii="宋体" w:eastAsia="宋体" w:hAnsi="宋体" w:cs="Times New Roman" w:hint="eastAsia"/>
          <w:b/>
          <w:bCs/>
          <w:color w:val="000000" w:themeColor="text1"/>
          <w:sz w:val="24"/>
          <w:szCs w:val="24"/>
        </w:rPr>
        <w:t>相关法律法规及上述约定开展信息处理行为并采取安全保护措施</w:t>
      </w:r>
      <w:r>
        <w:rPr>
          <w:rFonts w:ascii="宋体" w:eastAsia="宋体" w:hAnsi="宋体" w:cs="Times New Roman" w:hint="eastAsia"/>
          <w:b/>
          <w:sz w:val="24"/>
          <w:szCs w:val="24"/>
        </w:rPr>
        <w:t>。宁银理财将妥善保管投资者理财产品销售相关资料，保管年限不低于《中华人民共和国反洗钱法》、《理财公司理财产品销售管理暂行办法》等法律法规及监管规定的年限；超出必要保管期限后，宁银理财、销售机构及其他第三方合作机构（如有）将及时删除投资者的档案（包括以电子化形式以及纸质文本形式保管的投资者个人信息）。</w:t>
      </w:r>
      <w:r>
        <w:rPr>
          <w:rFonts w:ascii="宋体" w:eastAsia="宋体" w:hAnsi="宋体" w:cs="Times New Roman" w:hint="eastAsia"/>
          <w:b/>
          <w:bCs/>
          <w:color w:val="000000" w:themeColor="text1"/>
          <w:sz w:val="24"/>
          <w:szCs w:val="24"/>
        </w:rPr>
        <w:t>如您对第三方机构处理您的个人信息活动有疑问或要求，您可以通过《理财产品说明书》、第三方机构的官方网站（如有）、第三方机构的官方公众号（如有）等渠道获取相应的联系方式以行使您的个人信息权利，或者直接联系我们。</w:t>
      </w:r>
    </w:p>
    <w:p w:rsidR="00D41301" w14:paraId="3C8D6A2D" w14:textId="77777777">
      <w:pPr>
        <w:spacing w:line="312" w:lineRule="auto"/>
        <w:ind w:firstLine="480" w:firstLineChars="200"/>
        <w:outlineLvl w:val="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五、投诉及建议</w:t>
      </w:r>
    </w:p>
    <w:p w:rsidR="00D41301" w14:paraId="182F1685" w14:textId="77777777">
      <w:pPr>
        <w:spacing w:line="312" w:lineRule="auto"/>
        <w:ind w:firstLine="480" w:firstLineChars="200"/>
        <w:rPr>
          <w:rFonts w:ascii="宋体" w:eastAsia="宋体" w:hAnsi="宋体" w:cs="Times New Roman"/>
          <w:b/>
          <w:color w:val="000000"/>
          <w:sz w:val="24"/>
          <w:szCs w:val="24"/>
        </w:rPr>
      </w:pPr>
      <w:r>
        <w:rPr>
          <w:rFonts w:ascii="宋体" w:eastAsia="宋体" w:hAnsi="宋体" w:cs="Times New Roman" w:hint="eastAsia"/>
          <w:b/>
          <w:color w:val="000000"/>
          <w:sz w:val="24"/>
          <w:szCs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rsidR="00D41301" w14:paraId="617F9B72" w14:textId="77777777">
      <w:pPr>
        <w:spacing w:line="312" w:lineRule="auto"/>
        <w:ind w:firstLine="480" w:firstLineChars="200"/>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六</w:t>
      </w:r>
      <w:r>
        <w:rPr>
          <w:rFonts w:ascii="宋体" w:eastAsia="宋体" w:hAnsi="宋体" w:cs="Times New Roman"/>
          <w:b/>
          <w:bCs/>
          <w:color w:val="000000"/>
          <w:sz w:val="24"/>
          <w:szCs w:val="24"/>
        </w:rPr>
        <w:t>、</w:t>
      </w:r>
      <w:r>
        <w:rPr>
          <w:rFonts w:ascii="宋体" w:eastAsia="宋体" w:hAnsi="宋体" w:cs="Times New Roman" w:hint="eastAsia"/>
          <w:b/>
          <w:bCs/>
          <w:color w:val="000000"/>
          <w:sz w:val="24"/>
          <w:szCs w:val="24"/>
        </w:rPr>
        <w:t>宁银理财</w:t>
      </w:r>
      <w:r>
        <w:rPr>
          <w:rFonts w:ascii="宋体" w:eastAsia="宋体" w:hAnsi="宋体" w:cs="Times New Roman"/>
          <w:b/>
          <w:bCs/>
          <w:color w:val="000000"/>
          <w:sz w:val="24"/>
          <w:szCs w:val="24"/>
        </w:rPr>
        <w:t>联络方式</w:t>
      </w:r>
    </w:p>
    <w:p w:rsidR="00D41301" w14:paraId="777B47EA" w14:textId="6B899D3A">
      <w:pPr>
        <w:spacing w:line="312" w:lineRule="auto"/>
        <w:ind w:firstLine="1200" w:firstLineChars="500"/>
        <w:rPr>
          <w:rFonts w:ascii="宋体" w:eastAsia="宋体" w:hAnsi="宋体" w:cs="Times New Roman"/>
          <w:color w:val="000000"/>
          <w:sz w:val="24"/>
          <w:szCs w:val="24"/>
        </w:rPr>
      </w:pPr>
      <w:r>
        <w:rPr>
          <w:rFonts w:ascii="宋体" w:eastAsia="宋体" w:hAnsi="宋体" w:cs="Times New Roman" w:hint="eastAsia"/>
          <w:color w:val="000000"/>
          <w:sz w:val="24"/>
          <w:szCs w:val="24"/>
        </w:rPr>
        <w:t>客服</w:t>
      </w:r>
      <w:r>
        <w:rPr>
          <w:rFonts w:ascii="宋体" w:eastAsia="宋体" w:hAnsi="宋体" w:cs="Times New Roman"/>
          <w:color w:val="000000"/>
          <w:sz w:val="24"/>
          <w:szCs w:val="24"/>
        </w:rPr>
        <w:t>热线</w:t>
      </w:r>
      <w:r>
        <w:rPr>
          <w:rFonts w:ascii="宋体" w:eastAsia="宋体" w:hAnsi="宋体" w:cs="Times New Roman" w:hint="eastAsia"/>
          <w:color w:val="000000"/>
          <w:sz w:val="24"/>
          <w:szCs w:val="24"/>
        </w:rPr>
        <w:t>：</w:t>
      </w:r>
      <w:r w:rsidRPr="005F4715" w:rsidR="00E72B45">
        <w:rPr>
          <w:rFonts w:ascii="宋体" w:eastAsia="宋体" w:hAnsi="宋体" w:cs="Times New Roman"/>
          <w:color w:val="000000"/>
          <w:sz w:val="24"/>
          <w:szCs w:val="24"/>
        </w:rPr>
        <w:t>400-099-5574</w:t>
      </w:r>
    </w:p>
    <w:p w:rsidR="00D41301" w14:paraId="4F82E49A" w14:textId="6D79E06B">
      <w:pPr>
        <w:spacing w:line="312" w:lineRule="auto"/>
        <w:ind w:firstLine="1200" w:firstLineChars="500"/>
        <w:rPr>
          <w:rFonts w:ascii="宋体" w:eastAsia="宋体" w:hAnsi="宋体" w:cs="Times New Roman"/>
          <w:color w:val="000000"/>
          <w:sz w:val="24"/>
          <w:szCs w:val="24"/>
        </w:rPr>
      </w:pPr>
      <w:r>
        <w:rPr>
          <w:rFonts w:ascii="宋体" w:eastAsia="宋体" w:hAnsi="宋体" w:cs="Times New Roman" w:hint="eastAsia"/>
          <w:color w:val="000000"/>
          <w:sz w:val="24"/>
          <w:szCs w:val="24"/>
        </w:rPr>
        <w:t>官方网站</w:t>
      </w:r>
      <w:r>
        <w:rPr>
          <w:rFonts w:ascii="宋体" w:eastAsia="宋体" w:hAnsi="宋体" w:cs="Times New Roman"/>
          <w:color w:val="000000"/>
          <w:sz w:val="24"/>
          <w:szCs w:val="24"/>
        </w:rPr>
        <w:t>：</w:t>
      </w:r>
      <w:r w:rsidRPr="005F4715" w:rsidR="00E72B45">
        <w:rPr>
          <w:rFonts w:ascii="宋体" w:eastAsia="宋体" w:hAnsi="宋体" w:cs="Times New Roman"/>
          <w:color w:val="000000"/>
          <w:sz w:val="24"/>
          <w:szCs w:val="24"/>
        </w:rPr>
        <w:t>www.wmbnb.com</w:t>
      </w:r>
    </w:p>
    <w:p w:rsidR="00D41301" w14:paraId="6B88C6E1" w14:textId="77777777">
      <w:pPr>
        <w:spacing w:line="312" w:lineRule="auto"/>
        <w:ind w:firstLine="48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七、代理销售机构联络方式</w:t>
      </w:r>
    </w:p>
    <w:p w:rsidR="00D41301" w14:paraId="794284E5" w14:textId="77777777">
      <w:pPr>
        <w:autoSpaceDE w:val="0"/>
        <w:autoSpaceDN w:val="0"/>
        <w:adjustRightInd w:val="0"/>
        <w:ind w:left="361" w:firstLine="250" w:leftChars="172" w:firstLineChars="104"/>
        <w:jc w:val="left"/>
        <w:rPr>
          <w:rFonts w:ascii="宋体" w:eastAsia="宋体" w:hAnsi="宋体" w:cs="Times New Roman"/>
          <w:color w:val="000000"/>
          <w:sz w:val="24"/>
          <w:szCs w:val="24"/>
          <w:u w:val="single"/>
        </w:rPr>
        <w:sectPr>
          <w:footerReference w:type="default" r:id="rId7"/>
          <w:pgSz w:w="11906" w:h="16838"/>
          <w:pgMar w:top="1440" w:right="1800" w:bottom="1440" w:left="1800" w:header="851" w:footer="992" w:gutter="0"/>
          <w:pgNumType w:fmt="numberInDash"/>
          <w:cols w:space="425"/>
          <w:docGrid w:type="lines" w:linePitch="312"/>
        </w:sectPr>
      </w:pPr>
      <w:r>
        <w:rPr>
          <w:rFonts w:ascii="宋体" w:eastAsia="宋体" w:hAnsi="宋体" w:cs="Times New Roman" w:hint="eastAsia"/>
          <w:color w:val="000000"/>
          <w:sz w:val="24"/>
          <w:szCs w:val="24"/>
        </w:rPr>
        <w:t>代理销售机构联系方式详见《理财产品说明书》</w:t>
      </w:r>
    </w:p>
    <w:p w:rsidR="0077147C" w14:paraId="360029BC" w14:textId="77777777">
      <w:pPr>
        <w:adjustRightInd w:val="0"/>
        <w:snapToGrid w:val="0"/>
        <w:spacing w:line="312" w:lineRule="auto"/>
        <w:jc w:val="center"/>
        <w:rPr>
          <w:rFonts w:ascii="黑体" w:eastAsia="黑体" w:hAnsi="宋体" w:cs="Times New Roman" w:hint="eastAsia"/>
          <w:b/>
          <w:sz w:val="44"/>
          <w:szCs w:val="44"/>
        </w:rPr>
      </w:pPr>
      <w:r>
        <w:rPr>
          <w:rFonts w:ascii="黑体" w:eastAsia="黑体" w:hAnsi="宋体" w:cs="Times New Roman" w:hint="eastAsia"/>
          <w:b/>
          <w:sz w:val="44"/>
          <w:szCs w:val="44"/>
        </w:rPr>
        <w:t>宁银理财</w:t>
      </w:r>
      <w:r>
        <w:rPr>
          <w:rFonts w:ascii="黑体" w:eastAsia="黑体" w:hAnsi="宋体" w:cs="Times New Roman" w:hint="eastAsia"/>
          <w:b/>
          <w:sz w:val="44"/>
          <w:szCs w:val="44"/>
        </w:rPr>
        <w:t>有限责任公司产品代理销售协议书</w:t>
      </w:r>
    </w:p>
    <w:p w:rsidR="0077147C" w14:paraId="3F4DDD33" w14:textId="71963B14">
      <w:pPr>
        <w:adjustRightInd w:val="0"/>
        <w:snapToGrid w:val="0"/>
        <w:spacing w:line="312" w:lineRule="auto"/>
        <w:jc w:val="center"/>
        <w:rPr>
          <w:rFonts w:ascii="宋体" w:eastAsia="宋体" w:hAnsi="宋体" w:cs="Times New Roman" w:hint="eastAsia"/>
          <w:b/>
          <w:sz w:val="24"/>
          <w:szCs w:val="24"/>
        </w:rPr>
      </w:pPr>
      <w:r>
        <w:rPr>
          <w:rFonts w:ascii="宋体" w:eastAsia="宋体" w:hAnsi="宋体" w:cs="Times New Roman" w:hint="eastAsia"/>
          <w:b/>
          <w:sz w:val="24"/>
          <w:szCs w:val="24"/>
        </w:rPr>
        <w:t>（</w:t>
      </w:r>
      <w:r w:rsidR="00494FE7">
        <w:rPr>
          <w:rFonts w:ascii="宋体" w:eastAsia="宋体" w:hAnsi="宋体" w:cs="Times New Roman"/>
          <w:b/>
          <w:sz w:val="24"/>
          <w:szCs w:val="24"/>
        </w:rPr>
        <w:t>202601</w:t>
      </w:r>
      <w:r>
        <w:rPr>
          <w:rFonts w:ascii="宋体" w:eastAsia="宋体" w:hAnsi="宋体" w:cs="Times New Roman" w:hint="eastAsia"/>
          <w:b/>
          <w:sz w:val="24"/>
          <w:szCs w:val="24"/>
        </w:rPr>
        <w:t>版）</w:t>
      </w:r>
    </w:p>
    <w:p w:rsidR="0077147C" w14:paraId="292BC771" w14:textId="3F6E0F43">
      <w:pPr>
        <w:adjustRightInd w:val="0"/>
        <w:snapToGrid w:val="0"/>
        <w:spacing w:line="312" w:lineRule="auto"/>
        <w:rPr>
          <w:rFonts w:ascii="宋体" w:eastAsia="宋体" w:hAnsi="宋体" w:cs="Times New Roman" w:hint="eastAsia"/>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Pr="00322831" w:rsidR="00322831">
        <w:rPr>
          <w:rFonts w:ascii="宋体" w:eastAsia="宋体" w:hAnsi="宋体" w:cs="Times New Roman" w:hint="eastAsia"/>
          <w:sz w:val="24"/>
          <w:szCs w:val="24"/>
        </w:rPr>
        <w:t>沧州银行股份有限公司</w:t>
      </w:r>
      <w:r>
        <w:rPr>
          <w:rFonts w:ascii="宋体" w:eastAsia="宋体" w:hAnsi="宋体" w:cs="Times New Roman" w:hint="eastAsia"/>
          <w:sz w:val="24"/>
          <w:szCs w:val="24"/>
        </w:rPr>
        <w:t>（以下简称“乙方”）与其代理销售的理财产品的购买方（以下简称“甲方”）经平等友好协商，本着自愿、诚实信用的原则，就乙方向甲方销售理财产品及提供理财服务相关</w:t>
      </w:r>
      <w:r>
        <w:rPr>
          <w:rFonts w:ascii="宋体" w:eastAsia="宋体" w:hAnsi="宋体" w:cs="Times New Roman"/>
          <w:sz w:val="24"/>
          <w:szCs w:val="24"/>
        </w:rPr>
        <w:t>事宜</w:t>
      </w:r>
      <w:r>
        <w:rPr>
          <w:rFonts w:ascii="宋体" w:eastAsia="宋体" w:hAnsi="宋体" w:cs="Times New Roman" w:hint="eastAsia"/>
          <w:sz w:val="24"/>
          <w:szCs w:val="24"/>
        </w:rPr>
        <w:t>，达成如下协议（以下</w:t>
      </w:r>
      <w:r>
        <w:rPr>
          <w:rFonts w:ascii="宋体" w:eastAsia="宋体" w:hAnsi="宋体" w:cs="Times New Roman"/>
          <w:sz w:val="24"/>
          <w:szCs w:val="24"/>
        </w:rPr>
        <w:t>简称“</w:t>
      </w:r>
      <w:r>
        <w:rPr>
          <w:rFonts w:ascii="宋体" w:eastAsia="宋体" w:hAnsi="宋体" w:cs="Times New Roman" w:hint="eastAsia"/>
          <w:sz w:val="24"/>
          <w:szCs w:val="24"/>
        </w:rPr>
        <w:t>本协议</w:t>
      </w:r>
      <w:r>
        <w:rPr>
          <w:rFonts w:ascii="宋体" w:eastAsia="宋体" w:hAnsi="宋体" w:cs="Times New Roman"/>
          <w:sz w:val="24"/>
          <w:szCs w:val="24"/>
        </w:rPr>
        <w:t>”）</w:t>
      </w:r>
      <w:r>
        <w:rPr>
          <w:rFonts w:ascii="宋体" w:eastAsia="宋体" w:hAnsi="宋体" w:cs="Times New Roman" w:hint="eastAsia"/>
          <w:sz w:val="24"/>
          <w:szCs w:val="24"/>
        </w:rPr>
        <w:t>：</w:t>
      </w:r>
    </w:p>
    <w:p w:rsidR="0077147C" w14:paraId="7E2648D8" w14:textId="500CAF78">
      <w:pPr>
        <w:adjustRightInd w:val="0"/>
        <w:snapToGrid w:val="0"/>
        <w:spacing w:line="312" w:lineRule="auto"/>
        <w:ind w:firstLine="470" w:firstLineChars="196"/>
        <w:rPr>
          <w:rFonts w:ascii="黑体" w:eastAsia="宋体" w:hAnsi="黑体" w:cs="Times New Roman" w:hint="eastAsia"/>
          <w:b/>
          <w:sz w:val="24"/>
          <w:szCs w:val="24"/>
        </w:rPr>
      </w:pPr>
      <w:r>
        <w:rPr>
          <w:rFonts w:ascii="黑体" w:eastAsia="宋体" w:hAnsi="黑体" w:cs="Times New Roman"/>
          <w:b/>
          <w:sz w:val="24"/>
          <w:szCs w:val="24"/>
        </w:rPr>
        <w:t>第</w:t>
      </w:r>
      <w:r>
        <w:rPr>
          <w:rFonts w:ascii="黑体" w:eastAsia="宋体" w:hAnsi="黑体" w:cs="Times New Roman" w:hint="eastAsia"/>
          <w:b/>
          <w:sz w:val="24"/>
          <w:szCs w:val="24"/>
        </w:rPr>
        <w:t>一</w:t>
      </w:r>
      <w:r>
        <w:rPr>
          <w:rFonts w:ascii="黑体" w:eastAsia="宋体" w:hAnsi="黑体" w:cs="Times New Roman"/>
          <w:b/>
          <w:sz w:val="24"/>
          <w:szCs w:val="24"/>
        </w:rPr>
        <w:t>条</w:t>
      </w:r>
      <w:r>
        <w:rPr>
          <w:rFonts w:ascii="黑体" w:eastAsia="宋体" w:hAnsi="黑体" w:cs="Times New Roman"/>
          <w:b/>
          <w:sz w:val="24"/>
          <w:szCs w:val="24"/>
        </w:rPr>
        <w:t xml:space="preserve"> </w:t>
      </w:r>
      <w:r>
        <w:rPr>
          <w:rFonts w:ascii="黑体" w:eastAsia="宋体" w:hAnsi="黑体" w:cs="Times New Roman" w:hint="eastAsia"/>
          <w:b/>
          <w:sz w:val="24"/>
          <w:szCs w:val="24"/>
        </w:rPr>
        <w:t>本理财产品非乙方所发行的理财产品，</w:t>
      </w:r>
      <w:r>
        <w:rPr>
          <w:rFonts w:ascii="黑体" w:eastAsia="宋体" w:hAnsi="黑体" w:cs="Times New Roman" w:hint="eastAsia"/>
          <w:b/>
          <w:sz w:val="24"/>
          <w:szCs w:val="24"/>
        </w:rPr>
        <w:t>乙方仅</w:t>
      </w:r>
      <w:r>
        <w:rPr>
          <w:rFonts w:ascii="黑体" w:eastAsia="宋体" w:hAnsi="黑体" w:cs="Times New Roman" w:hint="eastAsia"/>
          <w:b/>
          <w:sz w:val="24"/>
          <w:szCs w:val="24"/>
        </w:rPr>
        <w:t>作为本产品的代理销售机构，本产品</w:t>
      </w:r>
      <w:r>
        <w:rPr>
          <w:rFonts w:ascii="黑体" w:eastAsia="宋体" w:hAnsi="黑体" w:cs="Times New Roman" w:hint="eastAsia"/>
          <w:b/>
          <w:sz w:val="24"/>
          <w:szCs w:val="24"/>
        </w:rPr>
        <w:t>由宁银理财</w:t>
      </w:r>
      <w:r>
        <w:rPr>
          <w:rFonts w:ascii="黑体" w:eastAsia="宋体" w:hAnsi="黑体" w:cs="Times New Roman" w:hint="eastAsia"/>
          <w:b/>
          <w:sz w:val="24"/>
          <w:szCs w:val="24"/>
        </w:rPr>
        <w:t>有限责任公司发行与管理，</w:t>
      </w:r>
      <w:r w:rsidRPr="00322831" w:rsidR="00322831">
        <w:rPr>
          <w:rFonts w:ascii="宋体" w:eastAsia="宋体" w:hAnsi="宋体" w:cs="Times New Roman" w:hint="eastAsia"/>
          <w:b/>
          <w:sz w:val="24"/>
          <w:szCs w:val="24"/>
        </w:rPr>
        <w:t>沧州银行股份有限公司</w:t>
      </w:r>
      <w:r>
        <w:rPr>
          <w:rFonts w:ascii="黑体" w:eastAsia="宋体" w:hAnsi="黑体" w:cs="Times New Roman" w:hint="eastAsia"/>
          <w:b/>
          <w:sz w:val="24"/>
          <w:szCs w:val="24"/>
        </w:rPr>
        <w:t>作为代销机构不承担产品的投资和兑付责任。乙方受理的代理销售理财产品业务申请，以产品管理人的最终确认结果为准。</w:t>
      </w:r>
    </w:p>
    <w:p w:rsidR="0077147C" w14:paraId="0F8F12B2" w14:textId="77777777">
      <w:pPr>
        <w:adjustRightInd w:val="0"/>
        <w:snapToGrid w:val="0"/>
        <w:spacing w:line="312" w:lineRule="auto"/>
        <w:ind w:firstLine="470" w:firstLineChars="196"/>
        <w:rPr>
          <w:rFonts w:ascii="宋体" w:eastAsia="宋体" w:hAnsi="宋体" w:cs="Times New Roman" w:hint="eastAsia"/>
          <w:b/>
          <w:sz w:val="24"/>
          <w:szCs w:val="24"/>
        </w:rPr>
      </w:pPr>
      <w:r>
        <w:rPr>
          <w:rFonts w:ascii="宋体" w:eastAsia="宋体" w:hAnsi="宋体" w:cs="Times New Roman" w:hint="eastAsia"/>
          <w:b/>
          <w:bCs/>
          <w:sz w:val="24"/>
          <w:szCs w:val="24"/>
        </w:rPr>
        <w:t>第二</w:t>
      </w:r>
      <w:r>
        <w:rPr>
          <w:rFonts w:ascii="宋体" w:eastAsia="宋体" w:hAnsi="宋体" w:cs="Times New Roman" w:hint="eastAsia"/>
          <w:b/>
          <w:sz w:val="24"/>
          <w:szCs w:val="24"/>
        </w:rPr>
        <w:t>条 释义</w:t>
      </w:r>
    </w:p>
    <w:p w:rsidR="0077147C" w14:paraId="7ECCE591" w14:textId="77777777">
      <w:pPr>
        <w:adjustRightInd w:val="0"/>
        <w:snapToGrid w:val="0"/>
        <w:spacing w:line="312" w:lineRule="auto"/>
        <w:ind w:firstLine="540" w:firstLineChars="225"/>
        <w:jc w:val="left"/>
        <w:rPr>
          <w:rFonts w:ascii="宋体" w:eastAsia="宋体" w:hAnsi="宋体" w:cs="Times New Roman" w:hint="eastAsia"/>
          <w:bCs/>
          <w:sz w:val="24"/>
          <w:szCs w:val="24"/>
        </w:rPr>
      </w:pPr>
      <w:r>
        <w:rPr>
          <w:rFonts w:ascii="宋体" w:eastAsia="宋体" w:hAnsi="宋体" w:cs="Times New Roman" w:hint="eastAsia"/>
          <w:bCs/>
          <w:sz w:val="24"/>
          <w:szCs w:val="24"/>
        </w:rPr>
        <w:t>甲方与乙方约定，本协议及本理财产品的《理财产品说明书》、《风险揭示书》、《投资协议书》、《投资者权益须知》等理财产品销售文件中所涉以下名词均具有以下含义：</w:t>
      </w:r>
    </w:p>
    <w:p w:rsidR="0077147C" w14:paraId="3FA20DD7" w14:textId="77777777">
      <w:pPr>
        <w:numPr>
          <w:ilvl w:val="0"/>
          <w:numId w:val="3"/>
        </w:numPr>
        <w:adjustRightInd w:val="0"/>
        <w:snapToGrid w:val="0"/>
        <w:spacing w:line="312" w:lineRule="auto"/>
        <w:ind w:left="1200" w:hanging="720" w:firstLineChars="0"/>
        <w:jc w:val="left"/>
        <w:rPr>
          <w:rFonts w:ascii="黑体" w:eastAsia="宋体" w:hAnsi="黑体" w:cs="Times New Roman" w:hint="eastAsia"/>
          <w:b/>
          <w:sz w:val="24"/>
          <w:szCs w:val="24"/>
        </w:rPr>
      </w:pPr>
      <w:r>
        <w:rPr>
          <w:rFonts w:ascii="黑体" w:eastAsia="宋体" w:hAnsi="黑体" w:cs="Times New Roman" w:hint="eastAsia"/>
          <w:b/>
          <w:sz w:val="24"/>
          <w:szCs w:val="24"/>
        </w:rPr>
        <w:t>理财计划</w:t>
      </w:r>
      <w:r>
        <w:rPr>
          <w:rFonts w:ascii="黑体" w:eastAsia="宋体" w:hAnsi="黑体" w:cs="Times New Roman"/>
          <w:b/>
          <w:sz w:val="24"/>
          <w:szCs w:val="24"/>
        </w:rPr>
        <w:t>/</w:t>
      </w:r>
      <w:r>
        <w:rPr>
          <w:rFonts w:ascii="黑体" w:eastAsia="宋体" w:hAnsi="黑体" w:cs="Times New Roman" w:hint="eastAsia"/>
          <w:b/>
          <w:sz w:val="24"/>
          <w:szCs w:val="24"/>
        </w:rPr>
        <w:t>理财产品</w:t>
      </w:r>
      <w:r>
        <w:rPr>
          <w:rFonts w:ascii="黑体" w:eastAsia="宋体" w:hAnsi="黑体" w:cs="Times New Roman"/>
          <w:b/>
          <w:sz w:val="24"/>
          <w:szCs w:val="24"/>
        </w:rPr>
        <w:t>/</w:t>
      </w:r>
      <w:r>
        <w:rPr>
          <w:rFonts w:ascii="黑体" w:eastAsia="宋体" w:hAnsi="黑体" w:cs="Times New Roman" w:hint="eastAsia"/>
          <w:b/>
          <w:sz w:val="24"/>
          <w:szCs w:val="24"/>
        </w:rPr>
        <w:t>产品：指乙方代理销售的宁银理财有限责任公司</w:t>
      </w:r>
      <w:r>
        <w:rPr>
          <w:rFonts w:ascii="宋体" w:eastAsia="宋体" w:hAnsi="宋体" w:cs="Times New Roman" w:hint="eastAsia"/>
          <w:b/>
          <w:bCs/>
          <w:sz w:val="24"/>
          <w:szCs w:val="24"/>
        </w:rPr>
        <w:t>担任产品管理人的理财</w:t>
      </w:r>
      <w:r>
        <w:rPr>
          <w:rFonts w:ascii="黑体" w:eastAsia="宋体" w:hAnsi="黑体" w:cs="Times New Roman" w:hint="eastAsia"/>
          <w:b/>
          <w:sz w:val="24"/>
          <w:szCs w:val="24"/>
        </w:rPr>
        <w:t>产品，具体产品信息详见《理财产品说明书》。</w:t>
      </w:r>
    </w:p>
    <w:p w:rsidR="0077147C" w14:paraId="4BA9BBE2" w14:textId="77777777">
      <w:pPr>
        <w:numPr>
          <w:ilvl w:val="0"/>
          <w:numId w:val="3"/>
        </w:numPr>
        <w:adjustRightInd w:val="0"/>
        <w:snapToGrid w:val="0"/>
        <w:spacing w:line="312" w:lineRule="auto"/>
        <w:ind w:left="1200" w:hanging="720" w:firstLineChars="0"/>
        <w:jc w:val="left"/>
        <w:rPr>
          <w:rFonts w:ascii="宋体" w:eastAsia="宋体" w:hAnsi="宋体" w:cs="Times New Roman" w:hint="eastAsia"/>
          <w:bCs/>
          <w:sz w:val="24"/>
          <w:szCs w:val="24"/>
        </w:rPr>
      </w:pPr>
      <w:r>
        <w:rPr>
          <w:rFonts w:ascii="宋体" w:eastAsia="宋体" w:hAnsi="宋体" w:cs="Times New Roman" w:hint="eastAsia"/>
          <w:bCs/>
          <w:sz w:val="24"/>
          <w:szCs w:val="24"/>
        </w:rPr>
        <w:t>管理机构/产品管理人：指宁银理财有限责任公司。</w:t>
      </w:r>
    </w:p>
    <w:p w:rsidR="0077147C" w14:paraId="4999B1C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（三）投资者指定账户</w:t>
      </w:r>
      <w:r>
        <w:rPr>
          <w:rFonts w:ascii="宋体" w:eastAsia="宋体" w:hAnsi="宋体" w:cs="Times New Roman"/>
          <w:sz w:val="24"/>
          <w:szCs w:val="24"/>
        </w:rPr>
        <w:t>/</w:t>
      </w:r>
      <w:r>
        <w:rPr>
          <w:rFonts w:ascii="宋体" w:eastAsia="宋体" w:hAnsi="宋体" w:cs="Times New Roman" w:hint="eastAsia"/>
          <w:sz w:val="24"/>
          <w:szCs w:val="24"/>
        </w:rPr>
        <w:t>甲方指定账户：指甲方开立的用于本产品资金划转的银行账户，资金划转行为包括但不限于认（申）购时的本金扣划，赎回</w:t>
      </w:r>
      <w:r>
        <w:rPr>
          <w:rFonts w:ascii="宋体" w:eastAsia="宋体" w:hAnsi="宋体" w:cs="Times New Roman"/>
          <w:sz w:val="24"/>
          <w:szCs w:val="24"/>
        </w:rPr>
        <w:t>/</w:t>
      </w:r>
      <w:r>
        <w:rPr>
          <w:rFonts w:ascii="宋体" w:eastAsia="宋体" w:hAnsi="宋体" w:cs="Times New Roman" w:hint="eastAsia"/>
          <w:sz w:val="24"/>
          <w:szCs w:val="24"/>
        </w:rPr>
        <w:t>到期时的本金（如有）及收益（如有）划付</w:t>
      </w:r>
      <w:r>
        <w:rPr>
          <w:rFonts w:ascii="Times New Roman" w:eastAsia="宋体" w:hAnsi="Times New Roman" w:cs="Times New Roman" w:hint="eastAsia"/>
          <w:sz w:val="24"/>
          <w:szCs w:val="24"/>
        </w:rPr>
        <w:t>等</w:t>
      </w:r>
      <w:r>
        <w:rPr>
          <w:rFonts w:ascii="宋体" w:eastAsia="宋体" w:hAnsi="宋体" w:cs="Times New Roman" w:hint="eastAsia"/>
          <w:sz w:val="24"/>
          <w:szCs w:val="24"/>
        </w:rPr>
        <w:t>。</w:t>
      </w:r>
    </w:p>
    <w:p w:rsidR="0077147C" w14:paraId="28470A79"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（四）募集期：是指</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确定的可接受投资者对于理财产品认购申请的时间区间。</w:t>
      </w:r>
    </w:p>
    <w:p w:rsidR="0077147C" w14:paraId="4869873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（五）工作日：详见《理财产品说明书》。</w:t>
      </w:r>
    </w:p>
    <w:p w:rsidR="0077147C" w14:paraId="137633B6" w14:textId="77777777">
      <w:pPr>
        <w:adjustRightInd w:val="0"/>
        <w:snapToGrid w:val="0"/>
        <w:spacing w:line="312" w:lineRule="auto"/>
        <w:ind w:firstLine="480" w:firstLineChars="20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（六）产品成立日：指理财产品的投资运作</w:t>
      </w:r>
      <w:r>
        <w:rPr>
          <w:rFonts w:ascii="宋体" w:eastAsia="宋体" w:hAnsi="宋体" w:cs="Times New Roman"/>
          <w:color w:val="000000"/>
          <w:sz w:val="24"/>
          <w:szCs w:val="24"/>
        </w:rPr>
        <w:t>起始日</w:t>
      </w:r>
      <w:r>
        <w:rPr>
          <w:rFonts w:ascii="宋体" w:eastAsia="宋体" w:hAnsi="宋体" w:cs="Times New Roman" w:hint="eastAsia"/>
          <w:color w:val="000000"/>
          <w:sz w:val="24"/>
          <w:szCs w:val="24"/>
        </w:rPr>
        <w:t>。</w:t>
      </w:r>
    </w:p>
    <w:p w:rsidR="0077147C" w14:paraId="38AA8CF5"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（七）开放日：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w:t>
      </w:r>
      <w:r>
        <w:rPr>
          <w:rFonts w:ascii="宋体" w:eastAsia="宋体" w:hAnsi="宋体" w:cs="Times New Roman"/>
          <w:sz w:val="24"/>
          <w:szCs w:val="24"/>
        </w:rPr>
        <w:t>、赎回</w:t>
      </w:r>
      <w:r>
        <w:rPr>
          <w:rFonts w:ascii="宋体" w:eastAsia="宋体" w:hAnsi="宋体" w:cs="Times New Roman" w:hint="eastAsia"/>
          <w:sz w:val="24"/>
          <w:szCs w:val="24"/>
        </w:rPr>
        <w:t>等交易的日期。</w:t>
      </w:r>
    </w:p>
    <w:p w:rsidR="0077147C" w14:paraId="01EE638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八</w:t>
      </w:r>
      <w:r>
        <w:rPr>
          <w:rFonts w:ascii="宋体" w:eastAsia="宋体" w:hAnsi="宋体" w:cs="Times New Roman" w:hint="eastAsia"/>
          <w:sz w:val="24"/>
          <w:szCs w:val="24"/>
        </w:rPr>
        <w:t>）申购开放日：</w:t>
      </w:r>
      <w:r>
        <w:rPr>
          <w:rFonts w:ascii="宋体" w:eastAsia="宋体" w:hAnsi="宋体" w:cs="Times New Roman" w:hint="eastAsia"/>
          <w:color w:val="000000"/>
          <w:sz w:val="24"/>
          <w:szCs w:val="24"/>
        </w:rPr>
        <w:t>产品管理人</w:t>
      </w:r>
      <w:r>
        <w:rPr>
          <w:rFonts w:ascii="宋体" w:eastAsia="宋体" w:hAnsi="宋体" w:cs="Times New Roman" w:hint="eastAsia"/>
          <w:sz w:val="24"/>
          <w:szCs w:val="24"/>
        </w:rPr>
        <w:t>发行的开放式理财产品成立后，可供投资者进行申购交易的日期。</w:t>
      </w:r>
    </w:p>
    <w:p w:rsidR="0077147C" w14:paraId="316DFC2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w:t>
      </w:r>
      <w:r>
        <w:rPr>
          <w:rFonts w:ascii="宋体" w:eastAsia="宋体" w:hAnsi="宋体" w:cs="Times New Roman" w:hint="eastAsia"/>
          <w:color w:val="000000"/>
          <w:sz w:val="24"/>
          <w:szCs w:val="24"/>
        </w:rPr>
        <w:t>九</w:t>
      </w:r>
      <w:r>
        <w:rPr>
          <w:rFonts w:ascii="宋体" w:eastAsia="宋体" w:hAnsi="宋体" w:cs="Times New Roman" w:hint="eastAsia"/>
          <w:sz w:val="24"/>
          <w:szCs w:val="24"/>
        </w:rPr>
        <w:t>）认购：甲方在</w:t>
      </w:r>
      <w:r>
        <w:rPr>
          <w:rFonts w:ascii="宋体" w:eastAsia="宋体" w:hAnsi="宋体" w:cs="Times New Roman"/>
          <w:sz w:val="24"/>
          <w:szCs w:val="24"/>
        </w:rPr>
        <w:t>募集</w:t>
      </w:r>
      <w:r>
        <w:rPr>
          <w:rFonts w:ascii="宋体" w:eastAsia="宋体" w:hAnsi="宋体" w:cs="Times New Roman"/>
          <w:sz w:val="24"/>
          <w:szCs w:val="24"/>
        </w:rPr>
        <w:t>期</w:t>
      </w:r>
      <w:r>
        <w:rPr>
          <w:rFonts w:ascii="宋体" w:eastAsia="宋体" w:hAnsi="宋体" w:cs="Times New Roman" w:hint="eastAsia"/>
          <w:sz w:val="24"/>
          <w:szCs w:val="24"/>
        </w:rPr>
        <w:t>申请</w:t>
      </w:r>
      <w:r>
        <w:rPr>
          <w:rFonts w:ascii="宋体" w:eastAsia="宋体" w:hAnsi="宋体" w:cs="Times New Roman" w:hint="eastAsia"/>
          <w:sz w:val="24"/>
          <w:szCs w:val="24"/>
        </w:rPr>
        <w:t>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77147C" w14:paraId="63703007"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（十）申购</w:t>
      </w:r>
      <w:r>
        <w:rPr>
          <w:rFonts w:ascii="宋体" w:eastAsia="宋体" w:hAnsi="宋体" w:cs="Times New Roman"/>
          <w:color w:val="000000"/>
          <w:sz w:val="24"/>
          <w:szCs w:val="24"/>
        </w:rPr>
        <w:t>：</w:t>
      </w:r>
      <w:r>
        <w:rPr>
          <w:rFonts w:ascii="宋体" w:eastAsia="宋体" w:hAnsi="宋体" w:cs="Times New Roman" w:hint="eastAsia"/>
          <w:sz w:val="24"/>
          <w:szCs w:val="24"/>
        </w:rPr>
        <w:t>甲方在开放</w:t>
      </w:r>
      <w:r>
        <w:rPr>
          <w:rFonts w:ascii="宋体" w:eastAsia="宋体" w:hAnsi="宋体" w:cs="Times New Roman" w:hint="eastAsia"/>
          <w:sz w:val="24"/>
          <w:szCs w:val="24"/>
        </w:rPr>
        <w:t>期申请</w:t>
      </w:r>
      <w:r>
        <w:rPr>
          <w:rFonts w:ascii="宋体" w:eastAsia="宋体" w:hAnsi="宋体" w:cs="Times New Roman" w:hint="eastAsia"/>
          <w:sz w:val="24"/>
          <w:szCs w:val="24"/>
        </w:rPr>
        <w:t>购买理财产品份额的</w:t>
      </w:r>
      <w:r>
        <w:rPr>
          <w:rFonts w:ascii="宋体" w:eastAsia="宋体" w:hAnsi="宋体" w:cs="Times New Roman"/>
          <w:sz w:val="24"/>
          <w:szCs w:val="24"/>
        </w:rPr>
        <w:t>行为</w:t>
      </w:r>
      <w:r>
        <w:rPr>
          <w:rFonts w:ascii="宋体" w:eastAsia="宋体" w:hAnsi="宋体" w:cs="Times New Roman" w:hint="eastAsia"/>
          <w:sz w:val="24"/>
          <w:szCs w:val="24"/>
        </w:rPr>
        <w:t>。</w:t>
      </w:r>
    </w:p>
    <w:p w:rsidR="0077147C" w14:paraId="61EF59AD" w14:textId="77777777">
      <w:pPr>
        <w:widowControl/>
        <w:spacing w:line="360" w:lineRule="auto"/>
        <w:ind w:firstLine="480" w:firstLineChars="200"/>
        <w:jc w:val="left"/>
        <w:rPr>
          <w:rFonts w:ascii="宋体" w:eastAsia="宋体" w:hAnsi="宋体" w:cs="宋体" w:hint="eastAsia"/>
          <w:kern w:val="0"/>
          <w:sz w:val="24"/>
          <w:szCs w:val="24"/>
        </w:rPr>
      </w:pPr>
      <w:r>
        <w:rPr>
          <w:rFonts w:ascii="宋体" w:eastAsia="宋体" w:hAnsi="宋体" w:cs="Times New Roman" w:hint="eastAsia"/>
          <w:color w:val="000000"/>
          <w:sz w:val="24"/>
          <w:szCs w:val="24"/>
        </w:rPr>
        <w:t>（十一）赎回：</w:t>
      </w:r>
      <w:r>
        <w:rPr>
          <w:rFonts w:ascii="宋体" w:eastAsia="宋体" w:hAnsi="宋体" w:cs="Times New Roman" w:hint="eastAsia"/>
          <w:sz w:val="24"/>
          <w:szCs w:val="24"/>
        </w:rPr>
        <w:t>甲方在开放</w:t>
      </w:r>
      <w:r>
        <w:rPr>
          <w:rFonts w:ascii="宋体" w:eastAsia="宋体" w:hAnsi="宋体" w:cs="Times New Roman" w:hint="eastAsia"/>
          <w:sz w:val="24"/>
          <w:szCs w:val="24"/>
        </w:rPr>
        <w:t>期申请</w:t>
      </w:r>
      <w:r>
        <w:rPr>
          <w:rFonts w:ascii="宋体" w:eastAsia="宋体" w:hAnsi="宋体" w:cs="Times New Roman" w:hint="eastAsia"/>
          <w:sz w:val="24"/>
          <w:szCs w:val="24"/>
        </w:rPr>
        <w:t>赎回理财产品份额的行为。</w:t>
      </w:r>
    </w:p>
    <w:p w:rsidR="0077147C" w14:paraId="36503995" w14:textId="77777777">
      <w:pPr>
        <w:adjustRightInd w:val="0"/>
        <w:snapToGrid w:val="0"/>
        <w:spacing w:line="360"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（十二）到期日：指理财</w:t>
      </w:r>
      <w:r>
        <w:rPr>
          <w:rFonts w:ascii="宋体" w:eastAsia="宋体" w:hAnsi="宋体" w:cs="Times New Roman"/>
          <w:color w:val="000000"/>
          <w:sz w:val="24"/>
          <w:szCs w:val="24"/>
        </w:rPr>
        <w:t>产品的投资运作终止日</w:t>
      </w:r>
      <w:r>
        <w:rPr>
          <w:rFonts w:ascii="宋体" w:eastAsia="宋体" w:hAnsi="宋体" w:cs="Times New Roman" w:hint="eastAsia"/>
          <w:color w:val="000000"/>
          <w:sz w:val="24"/>
          <w:szCs w:val="24"/>
        </w:rPr>
        <w:t>。</w:t>
      </w:r>
    </w:p>
    <w:p w:rsidR="0077147C" w14:paraId="3EBDED02"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（十三</w:t>
      </w:r>
      <w:r>
        <w:rPr>
          <w:rFonts w:ascii="宋体" w:eastAsia="宋体" w:hAnsi="宋体" w:cs="Times New Roman"/>
          <w:color w:val="000000"/>
          <w:sz w:val="24"/>
          <w:szCs w:val="24"/>
        </w:rPr>
        <w:t>）</w:t>
      </w:r>
      <w:r>
        <w:rPr>
          <w:rFonts w:ascii="宋体" w:eastAsia="宋体" w:hAnsi="宋体" w:cs="Times New Roman" w:hint="eastAsia"/>
          <w:color w:val="000000"/>
          <w:sz w:val="24"/>
          <w:szCs w:val="24"/>
        </w:rPr>
        <w:t>资金清算日：理财产品的本金（</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和收益（</w:t>
      </w:r>
      <w:r>
        <w:rPr>
          <w:rFonts w:ascii="宋体" w:eastAsia="宋体" w:hAnsi="宋体" w:cs="Times New Roman"/>
          <w:color w:val="000000"/>
          <w:sz w:val="24"/>
          <w:szCs w:val="24"/>
        </w:rPr>
        <w:t>若有）</w:t>
      </w:r>
      <w:r>
        <w:rPr>
          <w:rFonts w:ascii="宋体" w:eastAsia="宋体" w:hAnsi="宋体" w:cs="Times New Roman" w:hint="eastAsia"/>
          <w:color w:val="000000"/>
          <w:sz w:val="24"/>
          <w:szCs w:val="24"/>
        </w:rPr>
        <w:t>划向甲方指定账户的日期。</w:t>
      </w:r>
    </w:p>
    <w:p w:rsidR="0077147C" w14:paraId="173A4470" w14:textId="77777777">
      <w:pPr>
        <w:adjustRightInd w:val="0"/>
        <w:snapToGrid w:val="0"/>
        <w:spacing w:line="312" w:lineRule="auto"/>
        <w:ind w:firstLine="480" w:firstLineChars="200"/>
        <w:jc w:val="left"/>
        <w:rPr>
          <w:rFonts w:ascii="宋体" w:eastAsia="宋体" w:hAnsi="宋体" w:cs="宋体" w:hint="eastAsia"/>
          <w:kern w:val="0"/>
          <w:sz w:val="24"/>
          <w:szCs w:val="24"/>
        </w:rPr>
      </w:pPr>
      <w:r>
        <w:rPr>
          <w:rFonts w:ascii="宋体" w:eastAsia="宋体" w:hAnsi="宋体" w:cs="Times New Roman" w:hint="eastAsia"/>
          <w:color w:val="000000"/>
          <w:sz w:val="24"/>
          <w:szCs w:val="24"/>
        </w:rPr>
        <w:t>（十四）单位净值：指理财产品份额的单位净值，即每一份理财计划份额以人民币或其他币种计价的价格。</w:t>
      </w:r>
    </w:p>
    <w:p w:rsidR="0077147C" w14:paraId="316046F1" w14:textId="77777777">
      <w:pPr>
        <w:adjustRightInd w:val="0"/>
        <w:snapToGrid w:val="0"/>
        <w:spacing w:line="312" w:lineRule="auto"/>
        <w:ind w:firstLine="480" w:firstLineChars="200"/>
        <w:jc w:val="left"/>
        <w:rPr>
          <w:rFonts w:ascii="宋体" w:eastAsia="宋体" w:hAnsi="宋体" w:cs="宋体" w:hint="eastAsia"/>
          <w:color w:val="000000"/>
          <w:kern w:val="0"/>
          <w:sz w:val="22"/>
          <w:szCs w:val="24"/>
        </w:rPr>
      </w:pPr>
      <w:r>
        <w:rPr>
          <w:rFonts w:ascii="宋体" w:eastAsia="宋体" w:hAnsi="宋体" w:cs="Times New Roman" w:hint="eastAsia"/>
          <w:color w:val="000000"/>
          <w:sz w:val="24"/>
          <w:szCs w:val="24"/>
        </w:rPr>
        <w:t>（十五）累计净值：指理财产品份额的单位净值与产品成立后历次累计单位收益分配的总和。</w:t>
      </w:r>
    </w:p>
    <w:p w:rsidR="0077147C" w14:paraId="558E659D"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（十六）提前</w:t>
      </w:r>
      <w:r>
        <w:rPr>
          <w:rFonts w:ascii="宋体" w:eastAsia="宋体" w:hAnsi="宋体" w:cs="Times New Roman"/>
          <w:color w:val="000000"/>
          <w:sz w:val="24"/>
          <w:szCs w:val="24"/>
        </w:rPr>
        <w:t>赎回权：</w:t>
      </w:r>
      <w:r>
        <w:rPr>
          <w:rFonts w:ascii="宋体" w:eastAsia="宋体" w:hAnsi="宋体" w:cs="Times New Roman" w:hint="eastAsia"/>
          <w:color w:val="000000"/>
          <w:sz w:val="24"/>
          <w:szCs w:val="24"/>
        </w:rPr>
        <w:t>在理财产品存续期内甲方按照理财产品销售文件约定提前赎回理财产品的</w:t>
      </w:r>
      <w:r>
        <w:rPr>
          <w:rFonts w:ascii="宋体" w:eastAsia="宋体" w:hAnsi="宋体" w:cs="Times New Roman"/>
          <w:color w:val="000000"/>
          <w:sz w:val="24"/>
          <w:szCs w:val="24"/>
        </w:rPr>
        <w:t>权利，</w:t>
      </w:r>
      <w:r>
        <w:rPr>
          <w:rFonts w:ascii="宋体" w:eastAsia="宋体" w:hAnsi="宋体" w:cs="Times New Roman" w:hint="eastAsia"/>
          <w:color w:val="000000"/>
          <w:sz w:val="24"/>
          <w:szCs w:val="24"/>
        </w:rPr>
        <w:t>甲方具体是否享有</w:t>
      </w:r>
      <w:r>
        <w:rPr>
          <w:rFonts w:ascii="宋体" w:eastAsia="宋体" w:hAnsi="宋体" w:cs="Times New Roman"/>
          <w:color w:val="000000"/>
          <w:sz w:val="24"/>
          <w:szCs w:val="24"/>
        </w:rPr>
        <w:t>理财产品的提前赎回权</w:t>
      </w:r>
      <w:r>
        <w:rPr>
          <w:rFonts w:ascii="宋体" w:eastAsia="宋体" w:hAnsi="宋体" w:cs="Times New Roman" w:hint="eastAsia"/>
          <w:color w:val="000000"/>
          <w:sz w:val="24"/>
          <w:szCs w:val="24"/>
        </w:rPr>
        <w:t>及</w:t>
      </w:r>
      <w:r>
        <w:rPr>
          <w:rFonts w:ascii="宋体" w:eastAsia="宋体" w:hAnsi="宋体" w:cs="Times New Roman"/>
          <w:color w:val="000000"/>
          <w:sz w:val="24"/>
          <w:szCs w:val="24"/>
        </w:rPr>
        <w:t>行使</w:t>
      </w:r>
      <w:r>
        <w:rPr>
          <w:rFonts w:ascii="宋体" w:eastAsia="宋体" w:hAnsi="宋体" w:cs="Times New Roman" w:hint="eastAsia"/>
          <w:color w:val="000000"/>
          <w:sz w:val="24"/>
          <w:szCs w:val="24"/>
        </w:rPr>
        <w:t>权利</w:t>
      </w:r>
      <w:r>
        <w:rPr>
          <w:rFonts w:ascii="宋体" w:eastAsia="宋体" w:hAnsi="宋体" w:cs="Times New Roman"/>
          <w:color w:val="000000"/>
          <w:sz w:val="24"/>
          <w:szCs w:val="24"/>
        </w:rPr>
        <w:t>的条件和内容</w:t>
      </w:r>
      <w:r>
        <w:rPr>
          <w:rFonts w:ascii="宋体" w:eastAsia="宋体" w:hAnsi="宋体" w:cs="Times New Roman" w:hint="eastAsia"/>
          <w:color w:val="000000"/>
          <w:sz w:val="24"/>
          <w:szCs w:val="24"/>
        </w:rPr>
        <w:t>，依据《理财产品说明书》的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77147C" w14:paraId="52DD1E9C"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（十七）提前终止权：在理财产品存续期内产品管理人按照理财产品销售文件约定提前终止理财产品的权利，产品管理人</w:t>
      </w:r>
      <w:r>
        <w:rPr>
          <w:rFonts w:ascii="宋体" w:eastAsia="宋体" w:hAnsi="宋体" w:cs="Times New Roman"/>
          <w:color w:val="000000"/>
          <w:sz w:val="24"/>
          <w:szCs w:val="24"/>
        </w:rPr>
        <w:t>具体是否</w:t>
      </w:r>
      <w:r>
        <w:rPr>
          <w:rFonts w:ascii="宋体" w:eastAsia="宋体" w:hAnsi="宋体" w:cs="Times New Roman" w:hint="eastAsia"/>
          <w:color w:val="000000"/>
          <w:sz w:val="24"/>
          <w:szCs w:val="24"/>
        </w:rPr>
        <w:t>享有</w:t>
      </w:r>
      <w:r>
        <w:rPr>
          <w:rFonts w:ascii="宋体" w:eastAsia="宋体" w:hAnsi="宋体" w:cs="Times New Roman"/>
          <w:color w:val="000000"/>
          <w:sz w:val="24"/>
          <w:szCs w:val="24"/>
        </w:rPr>
        <w:t>理财产品的提前终止权</w:t>
      </w:r>
      <w:r>
        <w:rPr>
          <w:rFonts w:ascii="宋体" w:eastAsia="宋体" w:hAnsi="宋体" w:cs="Times New Roman" w:hint="eastAsia"/>
          <w:color w:val="000000"/>
          <w:sz w:val="24"/>
          <w:szCs w:val="24"/>
        </w:rPr>
        <w:t>及行使权利的条件和内容，依据《理财产品说明书》的</w:t>
      </w:r>
      <w:r>
        <w:rPr>
          <w:rFonts w:ascii="宋体" w:eastAsia="宋体" w:hAnsi="宋体" w:cs="Times New Roman"/>
          <w:color w:val="000000"/>
          <w:sz w:val="24"/>
          <w:szCs w:val="24"/>
        </w:rPr>
        <w:t>约定</w:t>
      </w:r>
      <w:r>
        <w:rPr>
          <w:rFonts w:ascii="宋体" w:eastAsia="宋体" w:hAnsi="宋体" w:cs="Times New Roman" w:hint="eastAsia"/>
          <w:color w:val="000000"/>
          <w:sz w:val="24"/>
          <w:szCs w:val="24"/>
        </w:rPr>
        <w:t>。</w:t>
      </w:r>
    </w:p>
    <w:p w:rsidR="0077147C" w14:paraId="07EC3A11"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（十八）代理销售机构：指根据产品管理人委托，代理销售理财产品的机构。</w:t>
      </w:r>
    </w:p>
    <w:p w:rsidR="0077147C" w14:paraId="0C7C472A" w14:textId="77777777">
      <w:pPr>
        <w:adjustRightInd w:val="0"/>
        <w:snapToGrid w:val="0"/>
        <w:spacing w:line="312" w:lineRule="auto"/>
        <w:ind w:firstLine="480" w:firstLineChars="20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w:t>
      </w:r>
      <w:r>
        <w:rPr>
          <w:rFonts w:ascii="宋体" w:eastAsia="宋体" w:hAnsi="宋体" w:cs="Times New Roman" w:hint="eastAsia"/>
          <w:sz w:val="24"/>
          <w:szCs w:val="24"/>
        </w:rPr>
        <w:t>十九</w:t>
      </w:r>
      <w:r>
        <w:rPr>
          <w:rFonts w:ascii="宋体" w:eastAsia="宋体" w:hAnsi="宋体" w:cs="Times New Roman" w:hint="eastAsia"/>
          <w:color w:val="000000"/>
          <w:sz w:val="24"/>
          <w:szCs w:val="24"/>
        </w:rPr>
        <w:t>）销售机构：指根据产品管理人委托，可以销售本理财产品的机构，包括产品管理人和代理销售机构。</w:t>
      </w:r>
    </w:p>
    <w:p w:rsidR="0077147C" w14:paraId="16C2D773" w14:textId="77777777">
      <w:pPr>
        <w:adjustRightInd w:val="0"/>
        <w:snapToGrid w:val="0"/>
        <w:spacing w:line="312" w:lineRule="auto"/>
        <w:ind w:firstLine="480" w:firstLineChars="200"/>
        <w:jc w:val="left"/>
        <w:rPr>
          <w:rFonts w:ascii="宋体" w:eastAsia="宋体" w:hAnsi="宋体" w:cs="Times New Roman" w:hint="eastAsia"/>
          <w:sz w:val="24"/>
          <w:szCs w:val="24"/>
        </w:rPr>
      </w:pPr>
      <w:r>
        <w:rPr>
          <w:rFonts w:ascii="宋体" w:eastAsia="宋体" w:hAnsi="宋体" w:cs="Times New Roman" w:hint="eastAsia"/>
          <w:sz w:val="24"/>
          <w:szCs w:val="24"/>
        </w:rPr>
        <w:t>（二十）线下渠道：包括但</w:t>
      </w:r>
      <w:r>
        <w:rPr>
          <w:rFonts w:ascii="宋体" w:eastAsia="宋体" w:hAnsi="宋体" w:cs="Times New Roman"/>
          <w:sz w:val="24"/>
          <w:szCs w:val="24"/>
        </w:rPr>
        <w:t>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营业网点</w:t>
      </w:r>
      <w:r>
        <w:rPr>
          <w:rFonts w:ascii="宋体" w:eastAsia="宋体" w:hAnsi="宋体" w:cs="Times New Roman"/>
          <w:sz w:val="24"/>
          <w:szCs w:val="24"/>
        </w:rPr>
        <w:t>等具有实体营销场所的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77147C" w14:paraId="4BD00B4D" w14:textId="77777777">
      <w:pPr>
        <w:adjustRightInd w:val="0"/>
        <w:snapToGrid w:val="0"/>
        <w:spacing w:line="312" w:lineRule="auto"/>
        <w:ind w:firstLine="480" w:firstLineChars="200"/>
        <w:jc w:val="left"/>
        <w:rPr>
          <w:rFonts w:ascii="宋体" w:eastAsia="宋体" w:hAnsi="宋体" w:cs="Times New Roman" w:hint="eastAsia"/>
          <w:sz w:val="24"/>
          <w:szCs w:val="24"/>
        </w:rPr>
      </w:pPr>
      <w:r>
        <w:rPr>
          <w:rFonts w:ascii="宋体" w:eastAsia="宋体" w:hAnsi="宋体" w:cs="Times New Roman" w:hint="eastAsia"/>
          <w:sz w:val="24"/>
          <w:szCs w:val="24"/>
        </w:rPr>
        <w:t>（二十一</w:t>
      </w:r>
      <w:r>
        <w:rPr>
          <w:rFonts w:ascii="宋体" w:eastAsia="宋体" w:hAnsi="宋体" w:cs="Times New Roman"/>
          <w:sz w:val="24"/>
          <w:szCs w:val="24"/>
        </w:rPr>
        <w:t>）</w:t>
      </w:r>
      <w:r>
        <w:rPr>
          <w:rFonts w:ascii="宋体" w:eastAsia="宋体" w:hAnsi="宋体" w:cs="Times New Roman" w:hint="eastAsia"/>
          <w:sz w:val="24"/>
          <w:szCs w:val="24"/>
        </w:rPr>
        <w:t>线上渠道</w:t>
      </w:r>
      <w:r>
        <w:rPr>
          <w:rFonts w:ascii="宋体" w:eastAsia="宋体" w:hAnsi="宋体" w:cs="Times New Roman"/>
          <w:sz w:val="24"/>
          <w:szCs w:val="24"/>
        </w:rPr>
        <w:t>：</w:t>
      </w:r>
      <w:r>
        <w:rPr>
          <w:rFonts w:ascii="宋体" w:eastAsia="宋体" w:hAnsi="宋体" w:cs="Times New Roman" w:hint="eastAsia"/>
          <w:sz w:val="24"/>
          <w:szCs w:val="24"/>
        </w:rPr>
        <w:t>包括</w:t>
      </w:r>
      <w:r>
        <w:rPr>
          <w:rFonts w:ascii="宋体" w:eastAsia="宋体" w:hAnsi="宋体" w:cs="Times New Roman"/>
          <w:sz w:val="24"/>
          <w:szCs w:val="24"/>
        </w:rPr>
        <w:t>但不限于</w:t>
      </w:r>
      <w:r>
        <w:rPr>
          <w:rFonts w:ascii="宋体" w:eastAsia="宋体" w:hAnsi="宋体" w:cs="Times New Roman" w:hint="eastAsia"/>
          <w:color w:val="000000"/>
          <w:sz w:val="24"/>
          <w:szCs w:val="24"/>
        </w:rPr>
        <w:t>销售机构</w:t>
      </w:r>
      <w:r>
        <w:rPr>
          <w:rFonts w:ascii="宋体" w:eastAsia="宋体" w:hAnsi="宋体" w:cs="Times New Roman"/>
          <w:sz w:val="24"/>
          <w:szCs w:val="24"/>
        </w:rPr>
        <w:t>的</w:t>
      </w:r>
      <w:r>
        <w:rPr>
          <w:rFonts w:ascii="宋体" w:eastAsia="宋体" w:hAnsi="宋体" w:cs="Times New Roman" w:hint="eastAsia"/>
          <w:sz w:val="24"/>
          <w:szCs w:val="24"/>
        </w:rPr>
        <w:t>网上销售</w:t>
      </w:r>
      <w:r>
        <w:rPr>
          <w:rFonts w:ascii="宋体" w:eastAsia="宋体" w:hAnsi="宋体" w:cs="Times New Roman"/>
          <w:sz w:val="24"/>
          <w:szCs w:val="24"/>
        </w:rPr>
        <w:t>平台、手机</w:t>
      </w:r>
      <w:r>
        <w:rPr>
          <w:rFonts w:ascii="宋体" w:eastAsia="宋体" w:hAnsi="宋体" w:cs="Times New Roman" w:hint="eastAsia"/>
          <w:sz w:val="24"/>
          <w:szCs w:val="24"/>
        </w:rPr>
        <w:t>销售</w:t>
      </w:r>
      <w:r>
        <w:rPr>
          <w:rFonts w:ascii="宋体" w:eastAsia="宋体" w:hAnsi="宋体" w:cs="Times New Roman"/>
          <w:sz w:val="24"/>
          <w:szCs w:val="24"/>
        </w:rPr>
        <w:t>平台</w:t>
      </w:r>
      <w:r>
        <w:rPr>
          <w:rFonts w:ascii="宋体" w:eastAsia="宋体" w:hAnsi="宋体" w:cs="Times New Roman" w:hint="eastAsia"/>
          <w:sz w:val="24"/>
          <w:szCs w:val="24"/>
        </w:rPr>
        <w:t>等不</w:t>
      </w:r>
      <w:r>
        <w:rPr>
          <w:rFonts w:ascii="宋体" w:eastAsia="宋体" w:hAnsi="宋体" w:cs="Times New Roman"/>
          <w:sz w:val="24"/>
          <w:szCs w:val="24"/>
        </w:rPr>
        <w:t>具有实体营销场所的</w:t>
      </w:r>
      <w:r>
        <w:rPr>
          <w:rFonts w:ascii="宋体" w:eastAsia="宋体" w:hAnsi="宋体" w:cs="Times New Roman" w:hint="eastAsia"/>
          <w:sz w:val="24"/>
          <w:szCs w:val="24"/>
        </w:rPr>
        <w:t>销售</w:t>
      </w:r>
      <w:r>
        <w:rPr>
          <w:rFonts w:ascii="宋体" w:eastAsia="宋体" w:hAnsi="宋体" w:cs="Times New Roman"/>
          <w:sz w:val="24"/>
          <w:szCs w:val="24"/>
        </w:rPr>
        <w:t>渠道。</w:t>
      </w:r>
    </w:p>
    <w:p w:rsidR="0077147C" w14:paraId="074E6F7A" w14:textId="77777777">
      <w:pPr>
        <w:adjustRightInd w:val="0"/>
        <w:snapToGrid w:val="0"/>
        <w:spacing w:line="312" w:lineRule="auto"/>
        <w:ind w:firstLine="480" w:firstLineChars="200"/>
        <w:jc w:val="left"/>
        <w:rPr>
          <w:rFonts w:ascii="宋体" w:eastAsia="宋体" w:hAnsi="宋体" w:cs="Times New Roman" w:hint="eastAsia"/>
          <w:sz w:val="24"/>
          <w:szCs w:val="24"/>
        </w:rPr>
      </w:pPr>
      <w:r>
        <w:rPr>
          <w:rFonts w:ascii="宋体" w:eastAsia="宋体" w:hAnsi="宋体" w:cs="Times New Roman" w:hint="eastAsia"/>
          <w:sz w:val="24"/>
          <w:szCs w:val="24"/>
        </w:rPr>
        <w:t>（二十二</w:t>
      </w:r>
      <w:r>
        <w:rPr>
          <w:rFonts w:ascii="宋体" w:eastAsia="宋体" w:hAnsi="宋体" w:cs="Times New Roman"/>
          <w:sz w:val="24"/>
          <w:szCs w:val="24"/>
        </w:rPr>
        <w:t>）</w:t>
      </w:r>
      <w:r>
        <w:rPr>
          <w:rFonts w:ascii="宋体" w:eastAsia="宋体" w:hAnsi="宋体" w:cs="Times New Roman" w:hint="eastAsia"/>
          <w:sz w:val="24"/>
          <w:szCs w:val="24"/>
        </w:rPr>
        <w:t>理财产品销售</w:t>
      </w:r>
      <w:r>
        <w:rPr>
          <w:rFonts w:ascii="宋体" w:eastAsia="宋体" w:hAnsi="宋体" w:cs="Times New Roman"/>
          <w:sz w:val="24"/>
          <w:szCs w:val="24"/>
        </w:rPr>
        <w:t>文件：</w:t>
      </w:r>
      <w:r>
        <w:rPr>
          <w:rFonts w:ascii="宋体" w:eastAsia="宋体" w:hAnsi="宋体" w:cs="Times New Roman" w:hint="eastAsia"/>
          <w:sz w:val="24"/>
          <w:szCs w:val="24"/>
        </w:rPr>
        <w:t>包括《理财产品说明书》、《风险揭示书》、《销售（代理销售）协议书》、《投资协议书》和《投资者权益须知》等有关文件，以及对以上文件的有效修改或补充。</w:t>
      </w:r>
    </w:p>
    <w:p w:rsidR="0077147C" w14:paraId="495FDCD0" w14:textId="77777777">
      <w:pPr>
        <w:adjustRightInd w:val="0"/>
        <w:snapToGrid w:val="0"/>
        <w:spacing w:line="312" w:lineRule="auto"/>
        <w:ind w:firstLine="470" w:firstLineChars="196"/>
        <w:rPr>
          <w:rFonts w:ascii="宋体" w:eastAsia="宋体" w:hAnsi="宋体" w:cs="Times New Roman" w:hint="eastAsia"/>
          <w:sz w:val="24"/>
          <w:szCs w:val="24"/>
        </w:rPr>
      </w:pPr>
      <w:r>
        <w:rPr>
          <w:rFonts w:ascii="宋体" w:eastAsia="宋体" w:hAnsi="宋体" w:cs="Times New Roman"/>
          <w:b/>
          <w:bCs/>
          <w:sz w:val="24"/>
          <w:szCs w:val="24"/>
        </w:rPr>
        <w:t>第</w:t>
      </w:r>
      <w:r>
        <w:rPr>
          <w:rFonts w:ascii="宋体" w:eastAsia="宋体" w:hAnsi="宋体" w:cs="Times New Roman" w:hint="eastAsia"/>
          <w:b/>
          <w:bCs/>
          <w:sz w:val="24"/>
          <w:szCs w:val="24"/>
        </w:rPr>
        <w:t>三</w:t>
      </w:r>
      <w:r>
        <w:rPr>
          <w:rFonts w:ascii="宋体" w:eastAsia="宋体" w:hAnsi="宋体" w:cs="Times New Roman"/>
          <w:b/>
          <w:bCs/>
          <w:sz w:val="24"/>
          <w:szCs w:val="24"/>
        </w:rPr>
        <w:t>条</w:t>
      </w:r>
      <w:r>
        <w:rPr>
          <w:rFonts w:ascii="宋体" w:eastAsia="宋体" w:hAnsi="宋体" w:cs="Times New Roman" w:hint="eastAsia"/>
          <w:b/>
          <w:bCs/>
          <w:sz w:val="24"/>
          <w:szCs w:val="24"/>
        </w:rPr>
        <w:t xml:space="preserve"> 本协议所称</w:t>
      </w:r>
      <w:r>
        <w:rPr>
          <w:rFonts w:ascii="宋体" w:eastAsia="宋体" w:hAnsi="宋体" w:cs="Times New Roman" w:hint="eastAsia"/>
          <w:b/>
          <w:sz w:val="24"/>
          <w:szCs w:val="24"/>
        </w:rPr>
        <w:t>理财产品是指产品管理人按照约定条件和实际投资收益情况向投资者支付收益、不保证本金支付和收益水平的非保本理财产品</w:t>
      </w:r>
      <w:r>
        <w:rPr>
          <w:rFonts w:ascii="宋体" w:eastAsia="宋体" w:hAnsi="宋体" w:cs="Times New Roman"/>
          <w:b/>
          <w:sz w:val="24"/>
          <w:szCs w:val="24"/>
        </w:rPr>
        <w:t>。</w:t>
      </w:r>
      <w:r>
        <w:rPr>
          <w:rFonts w:ascii="宋体" w:eastAsia="宋体" w:hAnsi="宋体" w:cs="Times New Roman" w:hint="eastAsia"/>
          <w:b/>
          <w:sz w:val="24"/>
          <w:szCs w:val="24"/>
        </w:rPr>
        <w:t>甲方认（申）</w:t>
      </w:r>
      <w:r>
        <w:rPr>
          <w:rFonts w:ascii="宋体" w:eastAsia="宋体" w:hAnsi="宋体" w:cs="Times New Roman" w:hint="eastAsia"/>
          <w:b/>
          <w:sz w:val="24"/>
          <w:szCs w:val="24"/>
        </w:rPr>
        <w:t>购本理财</w:t>
      </w:r>
      <w:r>
        <w:rPr>
          <w:rFonts w:ascii="宋体" w:eastAsia="宋体" w:hAnsi="宋体" w:cs="Times New Roman" w:hint="eastAsia"/>
          <w:b/>
          <w:sz w:val="24"/>
          <w:szCs w:val="24"/>
        </w:rPr>
        <w:t>产品，投资风险由甲方承担。投资风险包括但不限于市场风险、信用风险等，具体详见《风险揭示书》。</w:t>
      </w:r>
    </w:p>
    <w:p w:rsidR="0077147C" w14:paraId="7DA6E45C" w14:textId="2294B8F6">
      <w:pPr>
        <w:adjustRightInd w:val="0"/>
        <w:snapToGrid w:val="0"/>
        <w:spacing w:line="312" w:lineRule="auto"/>
        <w:ind w:firstLine="480" w:firstLineChars="200"/>
        <w:jc w:val="left"/>
        <w:rPr>
          <w:rFonts w:ascii="宋体" w:eastAsia="宋体" w:hAnsi="宋体" w:cs="Times New Roman" w:hint="eastAsia"/>
          <w:b/>
          <w:sz w:val="24"/>
          <w:szCs w:val="24"/>
          <w:u w:val="single"/>
        </w:rPr>
      </w:pPr>
      <w:r>
        <w:rPr>
          <w:rFonts w:ascii="宋体" w:eastAsia="宋体" w:hAnsi="宋体" w:cs="Times New Roman" w:hint="eastAsia"/>
          <w:b/>
          <w:sz w:val="24"/>
          <w:szCs w:val="24"/>
        </w:rPr>
        <w:t xml:space="preserve">第四条 </w:t>
      </w:r>
      <w:r>
        <w:rPr>
          <w:rFonts w:ascii="宋体" w:eastAsia="宋体" w:hAnsi="宋体" w:cs="Times New Roman" w:hint="eastAsia"/>
          <w:b/>
          <w:sz w:val="24"/>
          <w:szCs w:val="24"/>
          <w:u w:val="single"/>
        </w:rPr>
        <w:t>根据理财产品投资范围、风险收益特点、流动性等不同因素，乙方代理销售的理财产品分为</w:t>
      </w:r>
      <w:r w:rsidR="00DD1ED4">
        <w:rPr>
          <w:rFonts w:ascii="宋体" w:eastAsia="宋体" w:hAnsi="宋体" w:cs="Times New Roman" w:hint="eastAsia"/>
          <w:b/>
          <w:sz w:val="24"/>
          <w:szCs w:val="24"/>
          <w:u w:val="single"/>
        </w:rPr>
        <w:t>五</w:t>
      </w:r>
      <w:r>
        <w:rPr>
          <w:rFonts w:ascii="宋体" w:eastAsia="宋体" w:hAnsi="宋体" w:cs="Times New Roman" w:hint="eastAsia"/>
          <w:b/>
          <w:sz w:val="24"/>
          <w:szCs w:val="24"/>
          <w:u w:val="single"/>
        </w:rPr>
        <w:t>个风险等级，与甲方在乙方评估的风险承受能力等级</w:t>
      </w:r>
      <w:r w:rsidR="00DD1ED4">
        <w:rPr>
          <w:rFonts w:ascii="宋体" w:eastAsia="宋体" w:hAnsi="宋体" w:cs="Times New Roman" w:hint="eastAsia"/>
          <w:b/>
          <w:sz w:val="24"/>
          <w:szCs w:val="24"/>
          <w:u w:val="single"/>
        </w:rPr>
        <w:t>五</w:t>
      </w:r>
      <w:r>
        <w:rPr>
          <w:rFonts w:ascii="宋体" w:eastAsia="宋体" w:hAnsi="宋体" w:cs="Times New Roman" w:hint="eastAsia"/>
          <w:b/>
          <w:sz w:val="24"/>
          <w:szCs w:val="24"/>
          <w:u w:val="single"/>
        </w:rPr>
        <w:t>个等级一一对应。甲方需根据风险承受能力评估结果选择风险承受能力相匹配的产品。</w:t>
      </w:r>
      <w:r w:rsidR="003A3BD8">
        <w:rPr>
          <w:rFonts w:ascii="宋体" w:eastAsia="宋体" w:hAnsi="宋体" w:cs="Times New Roman" w:hint="eastAsia"/>
          <w:b/>
          <w:sz w:val="24"/>
          <w:szCs w:val="24"/>
          <w:u w:val="single"/>
        </w:rPr>
        <w:t>普通</w:t>
      </w:r>
      <w:r>
        <w:rPr>
          <w:rFonts w:ascii="宋体" w:eastAsia="宋体" w:hAnsi="宋体" w:cs="Times New Roman" w:hint="eastAsia"/>
          <w:b/>
          <w:sz w:val="24"/>
          <w:szCs w:val="24"/>
          <w:u w:val="single"/>
        </w:rPr>
        <w:t>投资者在乙方销售渠道首次购买理财产品前，需进行风险承受能力评估。超过</w:t>
      </w:r>
      <w:r>
        <w:rPr>
          <w:rFonts w:ascii="宋体" w:eastAsia="宋体" w:hAnsi="宋体" w:cs="Times New Roman"/>
          <w:b/>
          <w:sz w:val="24"/>
          <w:szCs w:val="24"/>
          <w:u w:val="single"/>
        </w:rPr>
        <w:t>一年未进行风险承受能力</w:t>
      </w:r>
      <w:r>
        <w:rPr>
          <w:rFonts w:ascii="宋体" w:eastAsia="宋体" w:hAnsi="宋体" w:cs="Times New Roman" w:hint="eastAsia"/>
          <w:b/>
          <w:sz w:val="24"/>
          <w:szCs w:val="24"/>
          <w:u w:val="single"/>
        </w:rPr>
        <w:t>评估或</w:t>
      </w:r>
      <w:r>
        <w:rPr>
          <w:rFonts w:ascii="宋体" w:eastAsia="宋体" w:hAnsi="宋体" w:cs="Times New Roman"/>
          <w:b/>
          <w:sz w:val="24"/>
          <w:szCs w:val="24"/>
          <w:u w:val="single"/>
        </w:rPr>
        <w:t>发生可能影响自身风险承受能力情况的投资者，再次购买理财产品前，应当</w:t>
      </w:r>
      <w:r>
        <w:rPr>
          <w:rFonts w:ascii="宋体" w:eastAsia="宋体" w:hAnsi="宋体" w:cs="Times New Roman" w:hint="eastAsia"/>
          <w:b/>
          <w:sz w:val="24"/>
          <w:szCs w:val="24"/>
          <w:u w:val="single"/>
        </w:rPr>
        <w:t>在乙方销售渠道重新完成</w:t>
      </w:r>
      <w:r>
        <w:rPr>
          <w:rFonts w:ascii="宋体" w:eastAsia="宋体" w:hAnsi="宋体" w:cs="Times New Roman"/>
          <w:b/>
          <w:sz w:val="24"/>
          <w:szCs w:val="24"/>
          <w:u w:val="single"/>
        </w:rPr>
        <w:t>风险承受能力评估。</w:t>
      </w:r>
    </w:p>
    <w:p w:rsidR="0077147C" w14:paraId="0693A499" w14:textId="77777777">
      <w:pPr>
        <w:adjustRightInd w:val="0"/>
        <w:snapToGrid w:val="0"/>
        <w:spacing w:line="312" w:lineRule="auto"/>
        <w:ind w:firstLine="480" w:firstLineChars="200"/>
        <w:rPr>
          <w:rFonts w:ascii="宋体" w:eastAsia="宋体" w:hAnsi="宋体" w:cs="Times New Roman" w:hint="eastAsia"/>
          <w:bCs/>
          <w:sz w:val="24"/>
          <w:szCs w:val="24"/>
        </w:rPr>
      </w:pPr>
      <w:r>
        <w:rPr>
          <w:rFonts w:ascii="宋体" w:eastAsia="宋体" w:hAnsi="宋体" w:cs="Times New Roman" w:hint="eastAsia"/>
          <w:b/>
          <w:bCs/>
          <w:sz w:val="24"/>
          <w:szCs w:val="24"/>
        </w:rPr>
        <w:t xml:space="preserve">第五条 </w:t>
      </w:r>
      <w:r>
        <w:rPr>
          <w:rFonts w:ascii="宋体" w:eastAsia="宋体" w:hAnsi="宋体" w:cs="Times New Roman" w:hint="eastAsia"/>
          <w:bCs/>
          <w:sz w:val="24"/>
          <w:szCs w:val="24"/>
        </w:rPr>
        <w:t>理财产品的认（申）购及赎回相关规则，详见《理财产品说明书》。</w:t>
      </w:r>
      <w:r>
        <w:rPr>
          <w:rFonts w:ascii="宋体" w:eastAsia="宋体" w:hAnsi="宋体" w:cs="Times New Roman" w:hint="eastAsia"/>
          <w:b/>
          <w:bCs/>
          <w:sz w:val="24"/>
          <w:szCs w:val="24"/>
        </w:rPr>
        <w:t>乙方将甲方认（申）</w:t>
      </w:r>
      <w:r>
        <w:rPr>
          <w:rFonts w:ascii="宋体" w:eastAsia="宋体" w:hAnsi="宋体" w:cs="Times New Roman" w:hint="eastAsia"/>
          <w:b/>
          <w:bCs/>
          <w:sz w:val="24"/>
          <w:szCs w:val="24"/>
        </w:rPr>
        <w:t>购投资</w:t>
      </w:r>
      <w:r>
        <w:rPr>
          <w:rFonts w:ascii="宋体" w:eastAsia="宋体" w:hAnsi="宋体" w:cs="Times New Roman" w:hint="eastAsia"/>
          <w:b/>
          <w:bCs/>
          <w:sz w:val="24"/>
          <w:szCs w:val="24"/>
        </w:rPr>
        <w:t>本金划付</w:t>
      </w:r>
      <w:r>
        <w:rPr>
          <w:rFonts w:ascii="宋体" w:eastAsia="宋体" w:hAnsi="宋体" w:cs="Times New Roman" w:hint="eastAsia"/>
          <w:b/>
          <w:bCs/>
          <w:sz w:val="24"/>
          <w:szCs w:val="24"/>
        </w:rPr>
        <w:t>至产品</w:t>
      </w:r>
      <w:r>
        <w:rPr>
          <w:rFonts w:ascii="宋体" w:eastAsia="宋体" w:hAnsi="宋体" w:cs="Times New Roman" w:hint="eastAsia"/>
          <w:b/>
          <w:bCs/>
          <w:sz w:val="24"/>
          <w:szCs w:val="24"/>
        </w:rPr>
        <w:t>管理人前，对应投资本金的划付和计息方式以乙方规则为准。在产品约定的投资期内，投资本金不另计存款利息。</w:t>
      </w:r>
    </w:p>
    <w:p w:rsidR="0077147C" w14:paraId="691E28C4" w14:textId="77777777">
      <w:pPr>
        <w:adjustRightInd w:val="0"/>
        <w:snapToGrid w:val="0"/>
        <w:spacing w:line="312" w:lineRule="auto"/>
        <w:ind w:firstLine="480" w:firstLineChars="200"/>
        <w:rPr>
          <w:rFonts w:ascii="宋体" w:eastAsia="宋体" w:hAnsi="宋体" w:cs="Times New Roman" w:hint="eastAsia"/>
          <w:bCs/>
          <w:sz w:val="24"/>
          <w:szCs w:val="24"/>
        </w:rPr>
      </w:pPr>
      <w:r>
        <w:rPr>
          <w:rFonts w:ascii="宋体" w:eastAsia="宋体" w:hAnsi="宋体" w:cs="Times New Roman" w:hint="eastAsia"/>
          <w:b/>
          <w:bCs/>
          <w:sz w:val="24"/>
          <w:szCs w:val="24"/>
        </w:rPr>
        <w:t xml:space="preserve">第六条 </w:t>
      </w:r>
      <w:r>
        <w:rPr>
          <w:rFonts w:ascii="宋体" w:eastAsia="宋体" w:hAnsi="宋体" w:cs="Times New Roman" w:hint="eastAsia"/>
          <w:bCs/>
          <w:sz w:val="24"/>
          <w:szCs w:val="24"/>
        </w:rPr>
        <w:t>本协议项下理财产品存续期内，甲方是否可办理赎回，详见《理财产品说明书》。</w:t>
      </w:r>
    </w:p>
    <w:p w:rsidR="0077147C" w14:paraId="450EE755" w14:textId="77777777">
      <w:pPr>
        <w:adjustRightInd w:val="0"/>
        <w:snapToGrid w:val="0"/>
        <w:spacing w:line="312" w:lineRule="auto"/>
        <w:ind w:firstLine="480" w:firstLineChars="200"/>
        <w:rPr>
          <w:rFonts w:ascii="宋体" w:eastAsia="宋体" w:hAnsi="宋体" w:cs="Times New Roman" w:hint="eastAsia"/>
          <w:bCs/>
          <w:sz w:val="24"/>
          <w:szCs w:val="24"/>
        </w:rPr>
      </w:pP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甲方不得</w:t>
      </w:r>
      <w:r>
        <w:rPr>
          <w:rFonts w:ascii="宋体" w:eastAsia="宋体" w:hAnsi="宋体" w:cs="Times New Roman"/>
          <w:b/>
          <w:bCs/>
          <w:sz w:val="24"/>
          <w:szCs w:val="24"/>
        </w:rPr>
        <w:t>以本</w:t>
      </w:r>
      <w:r>
        <w:rPr>
          <w:rFonts w:ascii="宋体" w:eastAsia="宋体" w:hAnsi="宋体" w:cs="Times New Roman" w:hint="eastAsia"/>
          <w:b/>
          <w:bCs/>
          <w:sz w:val="24"/>
          <w:szCs w:val="24"/>
        </w:rPr>
        <w:t>协议</w:t>
      </w:r>
      <w:r>
        <w:rPr>
          <w:rFonts w:ascii="宋体" w:eastAsia="宋体" w:hAnsi="宋体" w:cs="Times New Roman"/>
          <w:b/>
          <w:bCs/>
          <w:sz w:val="24"/>
          <w:szCs w:val="24"/>
        </w:rPr>
        <w:t>项下</w:t>
      </w:r>
      <w:r>
        <w:rPr>
          <w:rFonts w:ascii="宋体" w:eastAsia="宋体" w:hAnsi="宋体" w:cs="Times New Roman" w:hint="eastAsia"/>
          <w:b/>
          <w:bCs/>
          <w:sz w:val="24"/>
          <w:szCs w:val="24"/>
        </w:rPr>
        <w:t>理财产品</w:t>
      </w:r>
      <w:r>
        <w:rPr>
          <w:rFonts w:ascii="宋体" w:eastAsia="宋体" w:hAnsi="宋体" w:cs="Times New Roman"/>
          <w:b/>
          <w:bCs/>
          <w:sz w:val="24"/>
          <w:szCs w:val="24"/>
        </w:rPr>
        <w:t>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为</w:t>
      </w:r>
      <w:r>
        <w:rPr>
          <w:rFonts w:ascii="宋体" w:eastAsia="宋体" w:hAnsi="宋体" w:cs="Times New Roman"/>
          <w:b/>
          <w:bCs/>
          <w:sz w:val="24"/>
          <w:szCs w:val="24"/>
        </w:rPr>
        <w:t>甲方</w:t>
      </w:r>
      <w:r>
        <w:rPr>
          <w:rFonts w:ascii="宋体" w:eastAsia="宋体" w:hAnsi="宋体" w:cs="Times New Roman" w:hint="eastAsia"/>
          <w:b/>
          <w:bCs/>
          <w:sz w:val="24"/>
          <w:szCs w:val="24"/>
        </w:rPr>
        <w:t>或任何</w:t>
      </w:r>
      <w:r>
        <w:rPr>
          <w:rFonts w:ascii="宋体" w:eastAsia="宋体" w:hAnsi="宋体" w:cs="Times New Roman"/>
          <w:b/>
          <w:bCs/>
          <w:sz w:val="24"/>
          <w:szCs w:val="24"/>
        </w:rPr>
        <w:t>第三人的债务设定担保或其他权益</w:t>
      </w:r>
      <w:r>
        <w:rPr>
          <w:rFonts w:ascii="宋体" w:eastAsia="宋体" w:hAnsi="宋体" w:cs="Times New Roman" w:hint="eastAsia"/>
          <w:b/>
          <w:bCs/>
          <w:sz w:val="24"/>
          <w:szCs w:val="24"/>
        </w:rPr>
        <w:t>。未经产品</w:t>
      </w:r>
      <w:r>
        <w:rPr>
          <w:rFonts w:ascii="宋体" w:eastAsia="宋体" w:hAnsi="宋体" w:cs="Times New Roman"/>
          <w:b/>
          <w:bCs/>
          <w:sz w:val="24"/>
          <w:szCs w:val="24"/>
        </w:rPr>
        <w:t>管理人同意，</w:t>
      </w:r>
      <w:r>
        <w:rPr>
          <w:rFonts w:ascii="宋体" w:eastAsia="宋体" w:hAnsi="宋体" w:cs="Times New Roman" w:hint="eastAsia"/>
          <w:b/>
          <w:bCs/>
          <w:sz w:val="24"/>
          <w:szCs w:val="24"/>
        </w:rPr>
        <w:t>甲方</w:t>
      </w:r>
      <w:r>
        <w:rPr>
          <w:rFonts w:ascii="宋体" w:eastAsia="宋体" w:hAnsi="宋体" w:cs="Times New Roman"/>
          <w:b/>
          <w:bCs/>
          <w:sz w:val="24"/>
          <w:szCs w:val="24"/>
        </w:rPr>
        <w:t>不得向任何第三人转让</w:t>
      </w:r>
      <w:r>
        <w:rPr>
          <w:rFonts w:ascii="宋体" w:eastAsia="宋体" w:hAnsi="宋体" w:cs="Times New Roman" w:hint="eastAsia"/>
          <w:b/>
          <w:bCs/>
          <w:sz w:val="24"/>
          <w:szCs w:val="24"/>
        </w:rPr>
        <w:t>、</w:t>
      </w:r>
      <w:r>
        <w:rPr>
          <w:rFonts w:ascii="宋体" w:eastAsia="宋体" w:hAnsi="宋体" w:cs="Times New Roman"/>
          <w:b/>
          <w:bCs/>
          <w:sz w:val="24"/>
          <w:szCs w:val="24"/>
        </w:rPr>
        <w:t>赠与本</w:t>
      </w:r>
      <w:r>
        <w:rPr>
          <w:rFonts w:ascii="宋体" w:eastAsia="宋体" w:hAnsi="宋体" w:cs="Times New Roman" w:hint="eastAsia"/>
          <w:b/>
          <w:bCs/>
          <w:sz w:val="24"/>
          <w:szCs w:val="24"/>
        </w:rPr>
        <w:t>协议项下理财</w:t>
      </w:r>
      <w:r>
        <w:rPr>
          <w:rFonts w:ascii="宋体" w:eastAsia="宋体" w:hAnsi="宋体" w:cs="Times New Roman"/>
          <w:b/>
          <w:bCs/>
          <w:sz w:val="24"/>
          <w:szCs w:val="24"/>
        </w:rPr>
        <w:t>产品的权益（</w:t>
      </w:r>
      <w:r>
        <w:rPr>
          <w:rFonts w:ascii="宋体" w:eastAsia="宋体" w:hAnsi="宋体" w:cs="Times New Roman" w:hint="eastAsia"/>
          <w:b/>
          <w:bCs/>
          <w:sz w:val="24"/>
          <w:szCs w:val="24"/>
        </w:rPr>
        <w:t>包括</w:t>
      </w:r>
      <w:r>
        <w:rPr>
          <w:rFonts w:ascii="宋体" w:eastAsia="宋体" w:hAnsi="宋体" w:cs="Times New Roman"/>
          <w:b/>
          <w:bCs/>
          <w:sz w:val="24"/>
          <w:szCs w:val="24"/>
        </w:rPr>
        <w:t>单独和整体）</w:t>
      </w:r>
      <w:r>
        <w:rPr>
          <w:rFonts w:ascii="宋体" w:eastAsia="宋体" w:hAnsi="宋体" w:cs="Times New Roman" w:hint="eastAsia"/>
          <w:b/>
          <w:bCs/>
          <w:sz w:val="24"/>
          <w:szCs w:val="24"/>
        </w:rPr>
        <w:t>。</w:t>
      </w:r>
    </w:p>
    <w:p w:rsidR="0077147C" w14:paraId="67CD7295"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color w:val="000000"/>
          <w:kern w:val="0"/>
          <w:sz w:val="24"/>
          <w:szCs w:val="24"/>
        </w:rPr>
        <w:t>第七条</w:t>
      </w:r>
      <w:r>
        <w:rPr>
          <w:rFonts w:ascii="宋体" w:eastAsia="宋体" w:hAnsi="宋体" w:cs="Times New Roman" w:hint="eastAsia"/>
          <w:color w:val="000000"/>
          <w:kern w:val="0"/>
          <w:sz w:val="24"/>
          <w:szCs w:val="24"/>
        </w:rPr>
        <w:t xml:space="preserve"> </w:t>
      </w:r>
      <w:r>
        <w:rPr>
          <w:rFonts w:ascii="宋体" w:eastAsia="宋体" w:hAnsi="宋体" w:cs="Times New Roman" w:hint="eastAsia"/>
          <w:b/>
          <w:sz w:val="24"/>
          <w:szCs w:val="24"/>
        </w:rPr>
        <w:t>本协议项下理财产品存续期内，如因有权机关采取强制措施导致甲方的理财产品份额部分或者全部被冻结、扣划或处置的，由此产生的损失均由甲方承担，</w:t>
      </w:r>
      <w:r>
        <w:rPr>
          <w:rFonts w:ascii="宋体" w:eastAsia="宋体" w:hAnsi="宋体" w:cs="Times New Roman" w:hint="eastAsia"/>
          <w:b/>
          <w:bCs/>
          <w:sz w:val="24"/>
          <w:szCs w:val="24"/>
        </w:rPr>
        <w:t>乙方和</w:t>
      </w:r>
      <w:r>
        <w:rPr>
          <w:rFonts w:ascii="宋体" w:eastAsia="宋体" w:hAnsi="宋体" w:cs="Times New Roman"/>
          <w:b/>
          <w:bCs/>
          <w:sz w:val="24"/>
          <w:szCs w:val="24"/>
        </w:rPr>
        <w:t>产品管理人</w:t>
      </w:r>
      <w:r>
        <w:rPr>
          <w:rFonts w:ascii="宋体" w:eastAsia="宋体" w:hAnsi="宋体" w:cs="Times New Roman" w:hint="eastAsia"/>
          <w:b/>
          <w:bCs/>
          <w:sz w:val="24"/>
          <w:szCs w:val="24"/>
        </w:rPr>
        <w:t>对此不承担任何责任。</w:t>
      </w:r>
    </w:p>
    <w:p w:rsidR="0077147C" w14:paraId="4FB19BA4"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第八条 </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有权根据国家有关法律、法规的规定，以及理财产品销售文件</w:t>
      </w:r>
      <w:r>
        <w:rPr>
          <w:rFonts w:ascii="宋体" w:eastAsia="宋体" w:hAnsi="宋体" w:cs="Times New Roman"/>
          <w:b/>
          <w:sz w:val="24"/>
          <w:szCs w:val="24"/>
        </w:rPr>
        <w:t>的约定</w:t>
      </w:r>
      <w:r>
        <w:rPr>
          <w:rFonts w:ascii="宋体" w:eastAsia="宋体" w:hAnsi="宋体" w:cs="Times New Roman" w:hint="eastAsia"/>
          <w:b/>
          <w:sz w:val="24"/>
          <w:szCs w:val="24"/>
        </w:rPr>
        <w:t>向甲方收取相应的费用，收费项目、收费条件、收费标准和收费方式在《理财产品说明书》中载明。</w:t>
      </w:r>
      <w:r>
        <w:rPr>
          <w:rFonts w:ascii="宋体" w:eastAsia="宋体" w:hAnsi="宋体" w:cs="Times New Roman" w:hint="eastAsia"/>
          <w:sz w:val="24"/>
          <w:szCs w:val="24"/>
        </w:rPr>
        <w:t>乙方及</w:t>
      </w:r>
      <w:r>
        <w:rPr>
          <w:rFonts w:ascii="宋体" w:eastAsia="宋体" w:hAnsi="宋体" w:cs="Times New Roman"/>
          <w:sz w:val="24"/>
          <w:szCs w:val="24"/>
        </w:rPr>
        <w:t>产品管理人</w:t>
      </w:r>
      <w:r>
        <w:rPr>
          <w:rFonts w:ascii="宋体" w:eastAsia="宋体" w:hAnsi="宋体" w:cs="Times New Roman" w:hint="eastAsia"/>
          <w:sz w:val="24"/>
          <w:szCs w:val="24"/>
        </w:rPr>
        <w:t>根据业务发展和投资管理情况，可以对收费标准和收费方式等</w:t>
      </w:r>
      <w:r>
        <w:rPr>
          <w:rFonts w:ascii="宋体" w:eastAsia="宋体" w:hAnsi="宋体" w:cs="Times New Roman"/>
          <w:sz w:val="24"/>
          <w:szCs w:val="24"/>
        </w:rPr>
        <w:t>产品要素</w:t>
      </w:r>
      <w:r>
        <w:rPr>
          <w:rFonts w:ascii="宋体" w:eastAsia="宋体" w:hAnsi="宋体" w:cs="Times New Roman" w:hint="eastAsia"/>
          <w:sz w:val="24"/>
          <w:szCs w:val="24"/>
        </w:rPr>
        <w:t>进行调整，但应在</w:t>
      </w:r>
      <w:r>
        <w:rPr>
          <w:rFonts w:ascii="宋体" w:eastAsia="宋体" w:hAnsi="宋体" w:cs="Times New Roman"/>
          <w:sz w:val="24"/>
          <w:szCs w:val="24"/>
        </w:rPr>
        <w:t>调整前</w:t>
      </w:r>
      <w:r>
        <w:rPr>
          <w:rFonts w:ascii="宋体" w:eastAsia="宋体" w:hAnsi="宋体" w:cs="Times New Roman" w:hint="eastAsia"/>
          <w:sz w:val="24"/>
          <w:szCs w:val="24"/>
        </w:rPr>
        <w:t>通过理财产品</w:t>
      </w:r>
      <w:r>
        <w:rPr>
          <w:rFonts w:ascii="宋体" w:eastAsia="宋体" w:hAnsi="宋体" w:cs="Times New Roman"/>
          <w:sz w:val="24"/>
          <w:szCs w:val="24"/>
        </w:rPr>
        <w:t>销售文件约定的方式</w:t>
      </w:r>
      <w:r>
        <w:rPr>
          <w:rFonts w:ascii="宋体" w:eastAsia="宋体" w:hAnsi="宋体" w:cs="Times New Roman" w:hint="eastAsia"/>
          <w:sz w:val="24"/>
          <w:szCs w:val="24"/>
        </w:rPr>
        <w:t>将有关情况及时向甲方披露。上述情况下本产品将可能开放赎回，具体以信息披露公告为准。</w:t>
      </w:r>
      <w:r>
        <w:rPr>
          <w:rFonts w:ascii="宋体" w:eastAsia="宋体" w:hAnsi="宋体" w:cs="Times New Roman" w:hint="eastAsia"/>
          <w:b/>
          <w:sz w:val="24"/>
          <w:szCs w:val="24"/>
        </w:rPr>
        <w:t>甲方不同意公告内容的，可在公告执行前按公告约定全部赎回本产品。若甲方在公告执行后继续持有本产品的，视同接受公告内容。</w:t>
      </w:r>
    </w:p>
    <w:p w:rsidR="0077147C" w14:paraId="6BACB06D" w14:textId="77777777">
      <w:pPr>
        <w:adjustRightInd w:val="0"/>
        <w:snapToGrid w:val="0"/>
        <w:spacing w:line="312" w:lineRule="auto"/>
        <w:ind w:firstLine="480" w:firstLineChars="200"/>
        <w:rPr>
          <w:rFonts w:ascii="宋体" w:eastAsia="宋体" w:hAnsi="宋体" w:cs="Times New Roman" w:hint="eastAsia"/>
          <w:b/>
          <w:bCs/>
          <w:sz w:val="24"/>
          <w:szCs w:val="24"/>
        </w:rPr>
      </w:pPr>
      <w:r>
        <w:rPr>
          <w:rFonts w:ascii="宋体" w:eastAsia="宋体" w:hAnsi="宋体" w:cs="Times New Roman" w:hint="eastAsia"/>
          <w:b/>
          <w:bCs/>
          <w:sz w:val="24"/>
          <w:szCs w:val="24"/>
        </w:rPr>
        <w:t>第九条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w:t>
      </w:r>
      <w:r>
        <w:rPr>
          <w:rFonts w:ascii="宋体" w:eastAsia="宋体" w:hAnsi="宋体" w:cs="Times New Roman" w:hint="eastAsia"/>
          <w:b/>
          <w:bCs/>
          <w:sz w:val="24"/>
          <w:szCs w:val="24"/>
        </w:rPr>
        <w:t>对于</w:t>
      </w:r>
      <w:r>
        <w:rPr>
          <w:rFonts w:ascii="宋体" w:eastAsia="宋体" w:hAnsi="宋体" w:cs="Times New Roman"/>
          <w:b/>
          <w:bCs/>
          <w:sz w:val="24"/>
          <w:szCs w:val="24"/>
        </w:rPr>
        <w:t>公募理财产品，</w:t>
      </w:r>
      <w:r>
        <w:rPr>
          <w:rFonts w:ascii="宋体" w:eastAsia="宋体" w:hAnsi="宋体" w:cs="Times New Roman" w:hint="eastAsia"/>
          <w:b/>
          <w:bCs/>
          <w:sz w:val="24"/>
          <w:szCs w:val="24"/>
        </w:rPr>
        <w:t>除</w:t>
      </w:r>
      <w:r>
        <w:rPr>
          <w:rFonts w:ascii="宋体" w:eastAsia="宋体" w:hAnsi="宋体" w:cs="Times New Roman"/>
          <w:b/>
          <w:bCs/>
          <w:sz w:val="24"/>
          <w:szCs w:val="24"/>
        </w:rPr>
        <w:t>理财</w:t>
      </w:r>
      <w:r>
        <w:rPr>
          <w:rFonts w:ascii="宋体" w:eastAsia="宋体" w:hAnsi="宋体" w:cs="Times New Roman" w:hint="eastAsia"/>
          <w:b/>
          <w:bCs/>
          <w:sz w:val="24"/>
          <w:szCs w:val="24"/>
        </w:rPr>
        <w:t>产品</w:t>
      </w:r>
      <w:r>
        <w:rPr>
          <w:rFonts w:ascii="宋体" w:eastAsia="宋体" w:hAnsi="宋体" w:cs="Times New Roman"/>
          <w:b/>
          <w:bCs/>
          <w:sz w:val="24"/>
          <w:szCs w:val="24"/>
        </w:rPr>
        <w:t>账单</w:t>
      </w:r>
      <w:r>
        <w:rPr>
          <w:rFonts w:ascii="宋体" w:eastAsia="宋体" w:hAnsi="宋体" w:cs="Times New Roman" w:hint="eastAsia"/>
          <w:b/>
          <w:bCs/>
          <w:sz w:val="24"/>
          <w:szCs w:val="24"/>
        </w:rPr>
        <w:t>由乙方</w:t>
      </w:r>
      <w:r>
        <w:rPr>
          <w:rFonts w:ascii="宋体" w:eastAsia="宋体" w:hAnsi="宋体" w:cs="Times New Roman"/>
          <w:b/>
          <w:bCs/>
          <w:sz w:val="24"/>
          <w:szCs w:val="24"/>
        </w:rPr>
        <w:t>负责向</w:t>
      </w:r>
      <w:r>
        <w:rPr>
          <w:rFonts w:ascii="宋体" w:eastAsia="宋体" w:hAnsi="宋体" w:cs="Times New Roman" w:hint="eastAsia"/>
          <w:b/>
          <w:bCs/>
          <w:sz w:val="24"/>
          <w:szCs w:val="24"/>
        </w:rPr>
        <w:t>甲方提供外，</w:t>
      </w:r>
      <w:r>
        <w:rPr>
          <w:rFonts w:ascii="宋体" w:eastAsia="宋体" w:hAnsi="宋体" w:cs="Times New Roman"/>
          <w:b/>
          <w:bCs/>
          <w:sz w:val="24"/>
          <w:szCs w:val="24"/>
        </w:rPr>
        <w:t>其余信息披露</w:t>
      </w:r>
      <w:r>
        <w:rPr>
          <w:rFonts w:ascii="宋体" w:eastAsia="宋体" w:hAnsi="宋体" w:cs="Times New Roman" w:hint="eastAsia"/>
          <w:b/>
          <w:bCs/>
          <w:sz w:val="24"/>
          <w:szCs w:val="24"/>
        </w:rPr>
        <w:t>义务由</w:t>
      </w:r>
      <w:r>
        <w:rPr>
          <w:rFonts w:ascii="宋体" w:eastAsia="宋体" w:hAnsi="宋体" w:cs="Times New Roman"/>
          <w:b/>
          <w:bCs/>
          <w:sz w:val="24"/>
          <w:szCs w:val="24"/>
        </w:rPr>
        <w:t>乙方和</w:t>
      </w:r>
      <w:r>
        <w:rPr>
          <w:rFonts w:ascii="宋体" w:eastAsia="宋体" w:hAnsi="宋体" w:cs="Times New Roman" w:hint="eastAsia"/>
          <w:b/>
          <w:bCs/>
          <w:sz w:val="24"/>
          <w:szCs w:val="24"/>
        </w:rPr>
        <w:t>产品管理人</w:t>
      </w:r>
      <w:r>
        <w:rPr>
          <w:rFonts w:ascii="宋体" w:eastAsia="宋体" w:hAnsi="宋体" w:cs="Times New Roman"/>
          <w:b/>
          <w:bCs/>
          <w:sz w:val="24"/>
          <w:szCs w:val="24"/>
        </w:rPr>
        <w:t>共同承担</w:t>
      </w:r>
      <w:r>
        <w:rPr>
          <w:rFonts w:ascii="宋体" w:eastAsia="宋体" w:hAnsi="宋体" w:cs="Times New Roman" w:hint="eastAsia"/>
          <w:b/>
          <w:bCs/>
          <w:sz w:val="24"/>
          <w:szCs w:val="24"/>
        </w:rPr>
        <w:t>；</w:t>
      </w:r>
      <w:r>
        <w:rPr>
          <w:rFonts w:ascii="宋体" w:eastAsia="宋体" w:hAnsi="宋体" w:cs="Times New Roman"/>
          <w:b/>
          <w:bCs/>
          <w:sz w:val="24"/>
          <w:szCs w:val="24"/>
        </w:rPr>
        <w:t>对于私募理财产品，信息披露</w:t>
      </w:r>
      <w:r>
        <w:rPr>
          <w:rFonts w:ascii="宋体" w:eastAsia="宋体" w:hAnsi="宋体" w:cs="Times New Roman" w:hint="eastAsia"/>
          <w:b/>
          <w:bCs/>
          <w:sz w:val="24"/>
          <w:szCs w:val="24"/>
        </w:rPr>
        <w:t>义务</w:t>
      </w:r>
      <w:r>
        <w:rPr>
          <w:rFonts w:ascii="宋体" w:eastAsia="宋体" w:hAnsi="宋体" w:cs="Times New Roman"/>
          <w:b/>
          <w:bCs/>
          <w:sz w:val="24"/>
          <w:szCs w:val="24"/>
        </w:rPr>
        <w:t>由</w:t>
      </w:r>
      <w:r>
        <w:rPr>
          <w:rFonts w:ascii="宋体" w:eastAsia="宋体" w:hAnsi="宋体" w:cs="Times New Roman" w:hint="eastAsia"/>
          <w:b/>
          <w:bCs/>
          <w:sz w:val="24"/>
          <w:szCs w:val="24"/>
        </w:rPr>
        <w:t>乙方承担</w:t>
      </w:r>
      <w:r>
        <w:rPr>
          <w:rFonts w:ascii="宋体" w:eastAsia="宋体" w:hAnsi="宋体" w:cs="Times New Roman"/>
          <w:b/>
          <w:bCs/>
          <w:sz w:val="24"/>
          <w:szCs w:val="24"/>
        </w:rPr>
        <w:t>。因</w:t>
      </w:r>
      <w:r>
        <w:rPr>
          <w:rFonts w:ascii="宋体" w:eastAsia="宋体" w:hAnsi="宋体" w:cs="Times New Roman" w:hint="eastAsia"/>
          <w:b/>
          <w:bCs/>
          <w:sz w:val="24"/>
          <w:szCs w:val="24"/>
        </w:rPr>
        <w:t>乙方</w:t>
      </w:r>
      <w:r>
        <w:rPr>
          <w:rFonts w:ascii="宋体" w:eastAsia="宋体" w:hAnsi="宋体" w:cs="Times New Roman"/>
          <w:b/>
          <w:bCs/>
          <w:sz w:val="24"/>
          <w:szCs w:val="24"/>
        </w:rPr>
        <w:t>信息披露错误或不及时导致甲方损失的，由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r>
        <w:rPr>
          <w:rFonts w:ascii="宋体" w:eastAsia="宋体" w:hAnsi="宋体" w:cs="Times New Roman" w:hint="eastAsia"/>
          <w:b/>
          <w:bCs/>
          <w:sz w:val="24"/>
          <w:szCs w:val="24"/>
        </w:rPr>
        <w:t>具体理财产品的信息披露方式、频率等</w:t>
      </w:r>
      <w:r>
        <w:rPr>
          <w:rFonts w:ascii="宋体" w:eastAsia="宋体" w:hAnsi="宋体" w:cs="Times New Roman" w:hint="eastAsia"/>
          <w:b/>
          <w:bCs/>
          <w:sz w:val="24"/>
          <w:szCs w:val="24"/>
        </w:rPr>
        <w:t>规则见</w:t>
      </w:r>
      <w:r>
        <w:rPr>
          <w:rFonts w:ascii="宋体" w:eastAsia="宋体" w:hAnsi="宋体" w:cs="Times New Roman" w:hint="eastAsia"/>
          <w:b/>
          <w:sz w:val="24"/>
          <w:szCs w:val="24"/>
        </w:rPr>
        <w:t>《理财产品说明书》</w:t>
      </w:r>
      <w:r>
        <w:rPr>
          <w:rFonts w:ascii="宋体" w:eastAsia="宋体" w:hAnsi="宋体" w:cs="Times New Roman" w:hint="eastAsia"/>
          <w:b/>
          <w:bCs/>
          <w:sz w:val="24"/>
          <w:szCs w:val="24"/>
        </w:rPr>
        <w:t>。</w:t>
      </w:r>
    </w:p>
    <w:p w:rsidR="0077147C" w14:paraId="5AF93B3C" w14:textId="77777777">
      <w:pPr>
        <w:spacing w:line="360"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第十条 根据监管</w:t>
      </w:r>
      <w:r>
        <w:rPr>
          <w:rFonts w:ascii="宋体" w:eastAsia="宋体" w:hAnsi="宋体" w:cs="Times New Roman"/>
          <w:b/>
          <w:bCs/>
          <w:sz w:val="24"/>
          <w:szCs w:val="24"/>
        </w:rPr>
        <w:t>规定，</w:t>
      </w:r>
      <w:r>
        <w:rPr>
          <w:rFonts w:ascii="宋体" w:eastAsia="宋体" w:hAnsi="宋体" w:cs="Times New Roman" w:hint="eastAsia"/>
          <w:b/>
          <w:bCs/>
          <w:sz w:val="24"/>
          <w:szCs w:val="24"/>
        </w:rPr>
        <w:t>公募理财产品是指面向不特定社会公众公开发行的理财产品，私募理财产品是指面向合格投资者非公开发行的理财产品。</w:t>
      </w:r>
      <w:r>
        <w:rPr>
          <w:rFonts w:ascii="宋体" w:eastAsia="宋体" w:hAnsi="宋体" w:cs="Times New Roman" w:hint="eastAsia"/>
          <w:b/>
          <w:sz w:val="24"/>
          <w:szCs w:val="24"/>
        </w:rPr>
        <w:t>私募理财产品募集期最后一天为产品冷静期，冷静</w:t>
      </w:r>
      <w:r>
        <w:rPr>
          <w:rFonts w:ascii="宋体" w:eastAsia="宋体" w:hAnsi="宋体" w:cs="Times New Roman" w:hint="eastAsia"/>
          <w:b/>
          <w:sz w:val="24"/>
          <w:szCs w:val="24"/>
        </w:rPr>
        <w:t>期具体</w:t>
      </w:r>
      <w:r>
        <w:rPr>
          <w:rFonts w:ascii="宋体" w:eastAsia="宋体" w:hAnsi="宋体" w:cs="Times New Roman" w:hint="eastAsia"/>
          <w:b/>
          <w:sz w:val="24"/>
          <w:szCs w:val="24"/>
        </w:rPr>
        <w:t>设置规则以《理财产品说明书》为准</w:t>
      </w:r>
      <w:r>
        <w:rPr>
          <w:rFonts w:ascii="宋体" w:eastAsia="宋体" w:hAnsi="宋体" w:cs="Times New Roman"/>
          <w:b/>
          <w:sz w:val="24"/>
          <w:szCs w:val="24"/>
        </w:rPr>
        <w:t>。在冷静期内，如甲方改变投</w:t>
      </w:r>
      <w:r>
        <w:rPr>
          <w:rFonts w:ascii="宋体" w:eastAsia="宋体" w:hAnsi="宋体" w:cs="Times New Roman" w:hint="eastAsia"/>
          <w:b/>
          <w:sz w:val="24"/>
          <w:szCs w:val="24"/>
        </w:rPr>
        <w:t>资决定，应立即撤销认</w:t>
      </w:r>
      <w:r>
        <w:rPr>
          <w:rFonts w:ascii="宋体" w:eastAsia="宋体" w:hAnsi="宋体" w:cs="Times New Roman"/>
          <w:b/>
          <w:sz w:val="24"/>
          <w:szCs w:val="24"/>
        </w:rPr>
        <w:t>购的申请或</w:t>
      </w:r>
      <w:r>
        <w:rPr>
          <w:rFonts w:ascii="宋体" w:eastAsia="宋体" w:hAnsi="宋体" w:cs="Times New Roman" w:hint="eastAsia"/>
          <w:b/>
          <w:sz w:val="24"/>
          <w:szCs w:val="24"/>
        </w:rPr>
        <w:t>通过乙方向乙方和产品管理人提出解除相应理财产品销售文件，乙方和产品管理人应当遵从甲方意愿，解除已签订的理财产品销售文件，并及时退还甲方的全部投资款项。</w:t>
      </w:r>
    </w:p>
    <w:p w:rsidR="0077147C" w14:paraId="26624D88" w14:textId="77777777">
      <w:pPr>
        <w:adjustRightInd w:val="0"/>
        <w:snapToGrid w:val="0"/>
        <w:spacing w:line="312" w:lineRule="auto"/>
        <w:ind w:firstLine="480" w:firstLineChars="200"/>
        <w:rPr>
          <w:rFonts w:ascii="宋体" w:eastAsia="宋体" w:hAnsi="宋体" w:cs="Times New Roman" w:hint="eastAsia"/>
          <w:b/>
          <w:bCs/>
          <w:sz w:val="24"/>
          <w:szCs w:val="24"/>
        </w:rPr>
      </w:pPr>
      <w:r>
        <w:rPr>
          <w:rFonts w:ascii="宋体" w:eastAsia="宋体" w:hAnsi="宋体" w:cs="Times New Roman" w:hint="eastAsia"/>
          <w:b/>
          <w:bCs/>
          <w:sz w:val="24"/>
          <w:szCs w:val="24"/>
        </w:rPr>
        <w:t>第十一条 甲方</w:t>
      </w:r>
      <w:r>
        <w:rPr>
          <w:rFonts w:ascii="宋体" w:eastAsia="宋体" w:hAnsi="宋体" w:cs="Times New Roman"/>
          <w:b/>
          <w:bCs/>
          <w:sz w:val="24"/>
          <w:szCs w:val="24"/>
        </w:rPr>
        <w:t>通过</w:t>
      </w:r>
      <w:r>
        <w:rPr>
          <w:rFonts w:ascii="宋体" w:eastAsia="宋体" w:hAnsi="宋体" w:cs="Times New Roman" w:hint="eastAsia"/>
          <w:b/>
          <w:bCs/>
          <w:sz w:val="24"/>
          <w:szCs w:val="24"/>
        </w:rPr>
        <w:t>乙方认（申）购</w:t>
      </w:r>
      <w:r>
        <w:rPr>
          <w:rFonts w:ascii="宋体" w:eastAsia="宋体" w:hAnsi="宋体" w:cs="Times New Roman"/>
          <w:b/>
          <w:bCs/>
          <w:sz w:val="24"/>
          <w:szCs w:val="24"/>
        </w:rPr>
        <w:t>理财产品</w:t>
      </w:r>
      <w:r>
        <w:rPr>
          <w:rFonts w:ascii="宋体" w:eastAsia="宋体" w:hAnsi="宋体" w:cs="Times New Roman" w:hint="eastAsia"/>
          <w:b/>
          <w:bCs/>
          <w:sz w:val="24"/>
          <w:szCs w:val="24"/>
        </w:rPr>
        <w:t>的</w:t>
      </w:r>
      <w:r>
        <w:rPr>
          <w:rFonts w:ascii="宋体" w:eastAsia="宋体" w:hAnsi="宋体" w:cs="Times New Roman"/>
          <w:b/>
          <w:bCs/>
          <w:sz w:val="24"/>
          <w:szCs w:val="24"/>
        </w:rPr>
        <w:t>，如因</w:t>
      </w:r>
      <w:r>
        <w:rPr>
          <w:rFonts w:ascii="宋体" w:eastAsia="宋体" w:hAnsi="宋体" w:cs="Times New Roman" w:hint="eastAsia"/>
          <w:b/>
          <w:bCs/>
          <w:sz w:val="24"/>
          <w:szCs w:val="24"/>
        </w:rPr>
        <w:t>乙方</w:t>
      </w:r>
      <w:r>
        <w:rPr>
          <w:rFonts w:ascii="宋体" w:eastAsia="宋体" w:hAnsi="宋体" w:cs="Times New Roman"/>
          <w:b/>
          <w:bCs/>
          <w:sz w:val="24"/>
          <w:szCs w:val="24"/>
        </w:rPr>
        <w:t>交易系统故障、</w:t>
      </w:r>
      <w:r>
        <w:rPr>
          <w:rFonts w:ascii="宋体" w:eastAsia="宋体" w:hAnsi="宋体" w:cs="Times New Roman" w:hint="eastAsia"/>
          <w:b/>
          <w:bCs/>
          <w:sz w:val="24"/>
          <w:szCs w:val="24"/>
        </w:rPr>
        <w:t>销售误导、</w:t>
      </w:r>
      <w:r>
        <w:rPr>
          <w:rFonts w:ascii="宋体" w:eastAsia="宋体" w:hAnsi="宋体" w:cs="Times New Roman"/>
          <w:b/>
          <w:bCs/>
          <w:sz w:val="24"/>
          <w:szCs w:val="24"/>
        </w:rPr>
        <w:t>未尽销售适当性匹配义务</w:t>
      </w:r>
      <w:r>
        <w:rPr>
          <w:rFonts w:ascii="宋体" w:eastAsia="宋体" w:hAnsi="宋体" w:cs="Times New Roman" w:hint="eastAsia"/>
          <w:b/>
          <w:bCs/>
          <w:sz w:val="24"/>
          <w:szCs w:val="24"/>
        </w:rPr>
        <w:t>等错误或过失，</w:t>
      </w:r>
      <w:r>
        <w:rPr>
          <w:rFonts w:ascii="宋体" w:eastAsia="宋体" w:hAnsi="宋体" w:cs="Times New Roman"/>
          <w:b/>
          <w:bCs/>
          <w:sz w:val="24"/>
          <w:szCs w:val="24"/>
        </w:rPr>
        <w:t>导致甲方损失的，由</w:t>
      </w:r>
      <w:r>
        <w:rPr>
          <w:rFonts w:ascii="宋体" w:eastAsia="宋体" w:hAnsi="宋体" w:cs="Times New Roman" w:hint="eastAsia"/>
          <w:b/>
          <w:bCs/>
          <w:sz w:val="24"/>
          <w:szCs w:val="24"/>
        </w:rPr>
        <w:t>乙方</w:t>
      </w:r>
      <w:r>
        <w:rPr>
          <w:rFonts w:ascii="宋体" w:eastAsia="宋体" w:hAnsi="宋体" w:cs="Times New Roman"/>
          <w:b/>
          <w:bCs/>
          <w:sz w:val="24"/>
          <w:szCs w:val="24"/>
        </w:rPr>
        <w:t>向甲方承担赔偿责任。</w:t>
      </w:r>
    </w:p>
    <w:p w:rsidR="0077147C" w14:paraId="244520FE"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第十二条 </w:t>
      </w:r>
      <w:r>
        <w:rPr>
          <w:rFonts w:ascii="宋体" w:eastAsia="宋体" w:hAnsi="宋体" w:cs="Times New Roman" w:hint="eastAsia"/>
          <w:sz w:val="24"/>
          <w:szCs w:val="24"/>
        </w:rPr>
        <w:t>本协议项下理财产品募集期结束，理财产品未被足额认购的，</w:t>
      </w:r>
      <w:r>
        <w:rPr>
          <w:rFonts w:ascii="宋体" w:eastAsia="宋体" w:hAnsi="宋体" w:cs="Times New Roman" w:hint="eastAsia"/>
          <w:bCs/>
          <w:color w:val="000000"/>
          <w:sz w:val="24"/>
          <w:szCs w:val="24"/>
        </w:rPr>
        <w:t>按照《理财产品说明书》约定执行</w:t>
      </w:r>
      <w:r>
        <w:rPr>
          <w:rFonts w:ascii="宋体" w:eastAsia="宋体" w:hAnsi="宋体" w:cs="Times New Roman" w:hint="eastAsia"/>
          <w:sz w:val="24"/>
          <w:szCs w:val="24"/>
        </w:rPr>
        <w:t>。</w:t>
      </w:r>
    </w:p>
    <w:p w:rsidR="0077147C" w14:paraId="0B0F67CD"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第十三条 </w:t>
      </w:r>
      <w:r>
        <w:rPr>
          <w:rFonts w:ascii="宋体" w:eastAsia="宋体" w:hAnsi="宋体" w:cs="Times New Roman"/>
          <w:b/>
          <w:bCs/>
          <w:sz w:val="24"/>
          <w:szCs w:val="24"/>
        </w:rPr>
        <w:t xml:space="preserve"> </w:t>
      </w:r>
      <w:r>
        <w:rPr>
          <w:rFonts w:ascii="宋体" w:eastAsia="宋体" w:hAnsi="宋体" w:cs="Times New Roman"/>
          <w:sz w:val="24"/>
          <w:szCs w:val="24"/>
        </w:rPr>
        <w:t>在本协议项下理财产品资金清算日，</w:t>
      </w:r>
      <w:r>
        <w:rPr>
          <w:rFonts w:ascii="宋体" w:eastAsia="宋体" w:hAnsi="宋体" w:cs="Times New Roman" w:hint="eastAsia"/>
          <w:bCs/>
          <w:sz w:val="24"/>
          <w:szCs w:val="24"/>
        </w:rPr>
        <w:t>通过乙方认（</w:t>
      </w:r>
      <w:r>
        <w:rPr>
          <w:rFonts w:ascii="宋体" w:eastAsia="宋体" w:hAnsi="宋体" w:cs="Times New Roman"/>
          <w:bCs/>
          <w:sz w:val="24"/>
          <w:szCs w:val="24"/>
        </w:rPr>
        <w:t>申</w:t>
      </w:r>
      <w:r>
        <w:rPr>
          <w:rFonts w:ascii="宋体" w:eastAsia="宋体" w:hAnsi="宋体" w:cs="Times New Roman" w:hint="eastAsia"/>
          <w:bCs/>
          <w:sz w:val="24"/>
          <w:szCs w:val="24"/>
        </w:rPr>
        <w:t>）</w:t>
      </w:r>
      <w:r>
        <w:rPr>
          <w:rFonts w:ascii="宋体" w:eastAsia="宋体" w:hAnsi="宋体" w:cs="Times New Roman"/>
          <w:bCs/>
          <w:sz w:val="24"/>
          <w:szCs w:val="24"/>
        </w:rPr>
        <w:t>购理财</w:t>
      </w:r>
      <w:r>
        <w:rPr>
          <w:rFonts w:ascii="宋体" w:eastAsia="宋体" w:hAnsi="宋体" w:cs="Times New Roman" w:hint="eastAsia"/>
          <w:bCs/>
          <w:sz w:val="24"/>
          <w:szCs w:val="24"/>
        </w:rPr>
        <w:t>产品</w:t>
      </w:r>
      <w:r>
        <w:rPr>
          <w:rFonts w:ascii="宋体" w:eastAsia="宋体" w:hAnsi="宋体" w:cs="Times New Roman"/>
          <w:bCs/>
          <w:sz w:val="24"/>
          <w:szCs w:val="24"/>
        </w:rPr>
        <w:t>的，</w:t>
      </w:r>
      <w:r>
        <w:rPr>
          <w:rFonts w:ascii="宋体" w:eastAsia="宋体" w:hAnsi="宋体" w:cs="Times New Roman" w:hint="eastAsia"/>
          <w:bCs/>
          <w:sz w:val="24"/>
          <w:szCs w:val="24"/>
        </w:rPr>
        <w:t>产品管理人仅负责</w:t>
      </w:r>
      <w:r>
        <w:rPr>
          <w:rFonts w:ascii="宋体" w:eastAsia="宋体" w:hAnsi="宋体" w:cs="Times New Roman"/>
          <w:bCs/>
          <w:sz w:val="24"/>
          <w:szCs w:val="24"/>
        </w:rPr>
        <w:t>将清算金额</w:t>
      </w:r>
      <w:r>
        <w:rPr>
          <w:rFonts w:ascii="宋体" w:eastAsia="宋体" w:hAnsi="宋体" w:cs="Times New Roman" w:hint="eastAsia"/>
          <w:bCs/>
          <w:sz w:val="24"/>
          <w:szCs w:val="24"/>
        </w:rPr>
        <w:t>统一</w:t>
      </w:r>
      <w:r>
        <w:rPr>
          <w:rFonts w:ascii="宋体" w:eastAsia="宋体" w:hAnsi="宋体" w:cs="Times New Roman"/>
          <w:bCs/>
          <w:sz w:val="24"/>
          <w:szCs w:val="24"/>
        </w:rPr>
        <w:t>划付至</w:t>
      </w:r>
      <w:r>
        <w:rPr>
          <w:rFonts w:ascii="宋体" w:eastAsia="宋体" w:hAnsi="宋体" w:cs="Times New Roman" w:hint="eastAsia"/>
          <w:bCs/>
          <w:sz w:val="24"/>
          <w:szCs w:val="24"/>
        </w:rPr>
        <w:t>乙方，由乙方</w:t>
      </w:r>
      <w:r>
        <w:rPr>
          <w:rFonts w:ascii="宋体" w:eastAsia="宋体" w:hAnsi="宋体" w:cs="Times New Roman"/>
          <w:bCs/>
          <w:sz w:val="24"/>
          <w:szCs w:val="24"/>
        </w:rPr>
        <w:t>负责</w:t>
      </w:r>
      <w:r>
        <w:rPr>
          <w:rFonts w:ascii="宋体" w:eastAsia="宋体" w:hAnsi="宋体" w:cs="Times New Roman" w:hint="eastAsia"/>
          <w:bCs/>
          <w:sz w:val="24"/>
          <w:szCs w:val="24"/>
        </w:rPr>
        <w:t>划入</w:t>
      </w:r>
      <w:r>
        <w:rPr>
          <w:rFonts w:ascii="宋体" w:eastAsia="宋体" w:hAnsi="宋体" w:cs="Times New Roman"/>
          <w:bCs/>
          <w:sz w:val="24"/>
          <w:szCs w:val="24"/>
        </w:rPr>
        <w:t>甲方</w:t>
      </w:r>
      <w:r>
        <w:rPr>
          <w:rFonts w:ascii="宋体" w:eastAsia="宋体" w:hAnsi="宋体" w:cs="Times New Roman" w:hint="eastAsia"/>
          <w:bCs/>
          <w:sz w:val="24"/>
          <w:szCs w:val="24"/>
        </w:rPr>
        <w:t>指定</w:t>
      </w:r>
      <w:r>
        <w:rPr>
          <w:rFonts w:ascii="宋体" w:eastAsia="宋体" w:hAnsi="宋体" w:cs="Times New Roman"/>
          <w:bCs/>
          <w:sz w:val="24"/>
          <w:szCs w:val="24"/>
        </w:rPr>
        <w:t>账户</w:t>
      </w:r>
      <w:r>
        <w:rPr>
          <w:rFonts w:ascii="宋体" w:eastAsia="宋体" w:hAnsi="宋体" w:cs="Times New Roman" w:hint="eastAsia"/>
          <w:sz w:val="24"/>
          <w:szCs w:val="24"/>
        </w:rPr>
        <w:t>。</w:t>
      </w:r>
      <w:r>
        <w:rPr>
          <w:rFonts w:ascii="宋体" w:eastAsia="宋体" w:hAnsi="宋体" w:cs="Times New Roman" w:hint="eastAsia"/>
          <w:b/>
          <w:sz w:val="24"/>
          <w:szCs w:val="24"/>
        </w:rPr>
        <w:t>从到期日到</w:t>
      </w:r>
      <w:bookmarkStart w:id="27" w:name="OLE_LINK3_1"/>
      <w:bookmarkStart w:id="28" w:name="OLE_LINK4_1"/>
      <w:r>
        <w:rPr>
          <w:rFonts w:ascii="宋体" w:eastAsia="宋体" w:hAnsi="宋体" w:cs="Times New Roman" w:hint="eastAsia"/>
          <w:b/>
          <w:sz w:val="24"/>
          <w:szCs w:val="24"/>
        </w:rPr>
        <w:t>资金清算日</w:t>
      </w:r>
      <w:bookmarkEnd w:id="27"/>
      <w:bookmarkEnd w:id="28"/>
      <w:r>
        <w:rPr>
          <w:rFonts w:ascii="宋体" w:eastAsia="宋体" w:hAnsi="宋体" w:cs="Times New Roman" w:hint="eastAsia"/>
          <w:b/>
          <w:sz w:val="24"/>
          <w:szCs w:val="24"/>
        </w:rPr>
        <w:t>的期间不计付利息。</w:t>
      </w:r>
    </w:p>
    <w:p w:rsidR="0077147C" w14:paraId="690DC770"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 xml:space="preserve">第十四条 </w:t>
      </w:r>
      <w:r>
        <w:rPr>
          <w:rFonts w:ascii="宋体" w:eastAsia="宋体" w:hAnsi="宋体" w:cs="Times New Roman" w:hint="eastAsia"/>
          <w:sz w:val="24"/>
          <w:szCs w:val="24"/>
        </w:rPr>
        <w:t>本协议终止前，甲方不得将</w:t>
      </w:r>
      <w:r>
        <w:rPr>
          <w:rFonts w:ascii="宋体" w:eastAsia="宋体" w:hAnsi="宋体" w:cs="Times New Roman" w:hint="eastAsia"/>
          <w:bCs/>
          <w:sz w:val="24"/>
          <w:szCs w:val="24"/>
        </w:rPr>
        <w:t>指定账户</w:t>
      </w:r>
      <w:r>
        <w:rPr>
          <w:rFonts w:ascii="宋体" w:eastAsia="宋体" w:hAnsi="宋体" w:cs="Times New Roman" w:hint="eastAsia"/>
          <w:sz w:val="24"/>
          <w:szCs w:val="24"/>
        </w:rPr>
        <w:t>销户。</w:t>
      </w:r>
      <w:r>
        <w:rPr>
          <w:rFonts w:ascii="宋体" w:eastAsia="宋体" w:hAnsi="宋体" w:cs="Times New Roman" w:hint="eastAsia"/>
          <w:b/>
          <w:sz w:val="24"/>
          <w:szCs w:val="24"/>
        </w:rPr>
        <w:t>若发生因甲方注销</w:t>
      </w:r>
      <w:r>
        <w:rPr>
          <w:rFonts w:ascii="宋体" w:eastAsia="宋体" w:hAnsi="宋体" w:cs="Times New Roman" w:hint="eastAsia"/>
          <w:b/>
          <w:bCs/>
          <w:sz w:val="24"/>
          <w:szCs w:val="24"/>
        </w:rPr>
        <w:t>账户</w:t>
      </w:r>
      <w:r>
        <w:rPr>
          <w:rFonts w:ascii="宋体" w:eastAsia="宋体" w:hAnsi="宋体" w:cs="Times New Roman" w:hint="eastAsia"/>
          <w:b/>
          <w:sz w:val="24"/>
          <w:szCs w:val="24"/>
        </w:rPr>
        <w:t>造成资金无法入账，乙方和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不承担任何责任。</w:t>
      </w:r>
    </w:p>
    <w:p w:rsidR="0077147C" w14:paraId="50A8F4B8"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第十五条</w:t>
      </w:r>
      <w:r>
        <w:rPr>
          <w:rFonts w:ascii="宋体" w:eastAsia="宋体" w:hAnsi="宋体" w:cs="Times New Roman" w:hint="eastAsia"/>
          <w:b/>
          <w:sz w:val="24"/>
          <w:szCs w:val="24"/>
        </w:rPr>
        <w:t xml:space="preserve"> 免责条款</w:t>
      </w:r>
    </w:p>
    <w:p w:rsidR="0077147C" w14:paraId="7CC1194C"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（一</w:t>
      </w:r>
      <w:r>
        <w:rPr>
          <w:rFonts w:ascii="宋体" w:eastAsia="宋体" w:hAnsi="宋体" w:cs="Times New Roman"/>
          <w:b/>
          <w:sz w:val="24"/>
          <w:szCs w:val="24"/>
        </w:rPr>
        <w:t>）</w:t>
      </w:r>
      <w:r>
        <w:rPr>
          <w:rFonts w:ascii="宋体" w:eastAsia="宋体" w:hAnsi="宋体" w:cs="Times New Roman" w:hint="eastAsia"/>
          <w:b/>
          <w:sz w:val="24"/>
          <w:szCs w:val="24"/>
        </w:rPr>
        <w:t>由于地震、火灾、战争、罢工或者国家有关法律、法规、规章、政策的改变、紧急措施的出台等不可抗力因素导致的交易中断、延误、禁止等任何风险及损失，乙方和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不承担责任，但乙方应在条件允许的情况下通知甲方，并采取一切必要的补救措施以减小不可抗力因素造成的损失。</w:t>
      </w:r>
    </w:p>
    <w:p w:rsidR="0077147C" w14:paraId="16F46C60"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b/>
          <w:sz w:val="24"/>
          <w:szCs w:val="24"/>
        </w:rPr>
        <w:t>）</w:t>
      </w:r>
      <w:r>
        <w:rPr>
          <w:rFonts w:ascii="宋体" w:eastAsia="宋体" w:hAnsi="宋体" w:cs="Times New Roman" w:hint="eastAsia"/>
          <w:b/>
          <w:sz w:val="24"/>
          <w:szCs w:val="24"/>
        </w:rPr>
        <w:t>由于国家法律、法规及政策的变更或</w:t>
      </w:r>
      <w:r>
        <w:rPr>
          <w:rFonts w:ascii="宋体" w:eastAsia="宋体" w:hAnsi="宋体" w:cs="Times New Roman"/>
          <w:b/>
          <w:sz w:val="24"/>
          <w:szCs w:val="24"/>
        </w:rPr>
        <w:t>因国家</w:t>
      </w:r>
      <w:r>
        <w:rPr>
          <w:rFonts w:ascii="宋体" w:eastAsia="宋体" w:hAnsi="宋体" w:cs="Times New Roman" w:hint="eastAsia"/>
          <w:b/>
          <w:sz w:val="24"/>
          <w:szCs w:val="24"/>
        </w:rPr>
        <w:t>行政机关</w:t>
      </w:r>
      <w:r>
        <w:rPr>
          <w:rFonts w:ascii="宋体" w:eastAsia="宋体" w:hAnsi="宋体" w:cs="Times New Roman"/>
          <w:b/>
          <w:sz w:val="24"/>
          <w:szCs w:val="24"/>
        </w:rPr>
        <w:t>行使</w:t>
      </w:r>
      <w:r>
        <w:rPr>
          <w:rFonts w:ascii="宋体" w:eastAsia="宋体" w:hAnsi="宋体" w:cs="Times New Roman" w:hint="eastAsia"/>
          <w:b/>
          <w:sz w:val="24"/>
          <w:szCs w:val="24"/>
        </w:rPr>
        <w:t>权力而导致的相关风险及损失，乙方和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77147C" w14:paraId="39EE6AC7"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（三）如无</w:t>
      </w:r>
      <w:r>
        <w:rPr>
          <w:rFonts w:ascii="宋体" w:eastAsia="宋体" w:hAnsi="宋体" w:cs="Times New Roman"/>
          <w:b/>
          <w:sz w:val="24"/>
          <w:szCs w:val="24"/>
        </w:rPr>
        <w:t>特别约定，</w:t>
      </w:r>
      <w:r>
        <w:rPr>
          <w:rFonts w:ascii="宋体" w:eastAsia="宋体" w:hAnsi="宋体" w:cs="Times New Roman" w:hint="eastAsia"/>
          <w:b/>
          <w:sz w:val="24"/>
          <w:szCs w:val="24"/>
        </w:rPr>
        <w:t>本协议中涉及的所有日期</w:t>
      </w:r>
      <w:r>
        <w:rPr>
          <w:rFonts w:ascii="宋体" w:eastAsia="宋体" w:hAnsi="宋体" w:cs="Times New Roman" w:hint="eastAsia"/>
          <w:b/>
          <w:sz w:val="24"/>
          <w:szCs w:val="24"/>
        </w:rPr>
        <w:t>如遇非工作日</w:t>
      </w:r>
      <w:r>
        <w:rPr>
          <w:rFonts w:ascii="宋体" w:eastAsia="宋体" w:hAnsi="宋体" w:cs="Times New Roman" w:hint="eastAsia"/>
          <w:b/>
          <w:sz w:val="24"/>
          <w:szCs w:val="24"/>
        </w:rPr>
        <w:t>，则延至下一个工作日，由此导致的风险，乙方和</w:t>
      </w:r>
      <w:r>
        <w:rPr>
          <w:rFonts w:ascii="宋体" w:eastAsia="宋体" w:hAnsi="宋体" w:cs="Times New Roman"/>
          <w:b/>
          <w:sz w:val="24"/>
          <w:szCs w:val="24"/>
        </w:rPr>
        <w:t>产品管理人</w:t>
      </w:r>
      <w:r>
        <w:rPr>
          <w:rFonts w:ascii="宋体" w:eastAsia="宋体" w:hAnsi="宋体" w:cs="Times New Roman" w:hint="eastAsia"/>
          <w:b/>
          <w:sz w:val="24"/>
          <w:szCs w:val="24"/>
        </w:rPr>
        <w:t>不承担责任。</w:t>
      </w:r>
    </w:p>
    <w:p w:rsidR="0077147C" w14:paraId="0A832E36"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第十六条 甲方承诺</w:t>
      </w:r>
    </w:p>
    <w:p w:rsidR="0077147C" w14:paraId="65907FE4" w14:textId="77777777">
      <w:pPr>
        <w:adjustRightInd w:val="0"/>
        <w:snapToGrid w:val="0"/>
        <w:spacing w:line="312" w:lineRule="auto"/>
        <w:ind w:firstLine="422" w:firstLineChars="176"/>
        <w:rPr>
          <w:rFonts w:ascii="宋体" w:eastAsia="宋体" w:hAnsi="宋体" w:cs="Times New Roman" w:hint="eastAsia"/>
          <w:b/>
          <w:sz w:val="24"/>
          <w:szCs w:val="24"/>
        </w:rPr>
      </w:pPr>
      <w:r>
        <w:rPr>
          <w:rFonts w:ascii="宋体" w:eastAsia="宋体" w:hAnsi="宋体" w:cs="Times New Roman" w:hint="eastAsia"/>
          <w:b/>
          <w:sz w:val="24"/>
          <w:szCs w:val="24"/>
        </w:rPr>
        <w:t>（一）甲方承诺，购买本理财产品的资金为其合法所有，</w:t>
      </w:r>
      <w:r>
        <w:rPr>
          <w:rFonts w:ascii="宋体" w:eastAsia="宋体" w:hAnsi="宋体" w:cs="Times New Roman"/>
          <w:b/>
          <w:sz w:val="24"/>
          <w:szCs w:val="24"/>
        </w:rPr>
        <w:t>投资行为符合法律、法规及相关监管部门的规定</w:t>
      </w:r>
      <w:r>
        <w:rPr>
          <w:rFonts w:ascii="宋体" w:eastAsia="宋体" w:hAnsi="宋体" w:cs="Times New Roman" w:hint="eastAsia"/>
          <w:b/>
          <w:sz w:val="24"/>
          <w:szCs w:val="24"/>
        </w:rPr>
        <w:t>。</w:t>
      </w:r>
    </w:p>
    <w:p w:rsidR="0077147C" w14:paraId="73874975" w14:textId="77777777">
      <w:pPr>
        <w:adjustRightInd w:val="0"/>
        <w:snapToGrid w:val="0"/>
        <w:spacing w:line="312" w:lineRule="auto"/>
        <w:ind w:firstLine="408" w:firstLineChars="170"/>
        <w:jc w:val="left"/>
        <w:rPr>
          <w:rFonts w:ascii="宋体" w:eastAsia="宋体" w:hAnsi="宋体" w:cs="Times New Roman" w:hint="eastAsia"/>
          <w:b/>
          <w:sz w:val="24"/>
          <w:szCs w:val="24"/>
        </w:rPr>
      </w:pPr>
      <w:r>
        <w:rPr>
          <w:rFonts w:ascii="宋体" w:eastAsia="宋体" w:hAnsi="宋体" w:cs="Times New Roman" w:hint="eastAsia"/>
          <w:b/>
          <w:sz w:val="24"/>
          <w:szCs w:val="24"/>
        </w:rPr>
        <w:t>（二）</w:t>
      </w:r>
      <w:r>
        <w:rPr>
          <w:rFonts w:ascii="宋体" w:eastAsia="宋体" w:hAnsi="宋体" w:cs="Times New Roman" w:hint="eastAsia"/>
          <w:b/>
          <w:bCs/>
          <w:color w:val="000000"/>
          <w:sz w:val="24"/>
          <w:szCs w:val="24"/>
        </w:rPr>
        <w:t>甲方承诺，购买本理财产品的资金为合法自有资金或合法募集资金，不存在使用贷款、发行债券等筹集的非自有资金投资资产管理产品的情形。</w:t>
      </w:r>
    </w:p>
    <w:p w:rsidR="0077147C" w14:paraId="281A0278" w14:textId="77777777">
      <w:pPr>
        <w:adjustRightInd w:val="0"/>
        <w:snapToGrid w:val="0"/>
        <w:spacing w:line="312" w:lineRule="auto"/>
        <w:ind w:firstLine="410" w:firstLineChars="171"/>
        <w:jc w:val="left"/>
        <w:rPr>
          <w:rFonts w:ascii="宋体" w:eastAsia="宋体" w:hAnsi="宋体" w:cs="Times New Roman" w:hint="eastAsia"/>
          <w:b/>
          <w:sz w:val="24"/>
          <w:szCs w:val="24"/>
        </w:rPr>
      </w:pPr>
      <w:r>
        <w:rPr>
          <w:rFonts w:ascii="宋体" w:eastAsia="宋体" w:hAnsi="宋体" w:cs="Times New Roman" w:hint="eastAsia"/>
          <w:b/>
          <w:sz w:val="24"/>
          <w:szCs w:val="24"/>
        </w:rPr>
        <w:t>（三）甲方承诺，</w:t>
      </w:r>
      <w:r>
        <w:rPr>
          <w:rFonts w:ascii="宋体" w:eastAsia="宋体" w:hAnsi="宋体" w:cs="Times New Roman"/>
          <w:b/>
          <w:sz w:val="24"/>
          <w:szCs w:val="24"/>
        </w:rPr>
        <w:t>甲方</w:t>
      </w:r>
      <w:r>
        <w:rPr>
          <w:rFonts w:ascii="宋体" w:eastAsia="宋体" w:hAnsi="宋体" w:cs="Times New Roman" w:hint="eastAsia"/>
          <w:b/>
          <w:sz w:val="24"/>
          <w:szCs w:val="24"/>
        </w:rPr>
        <w:t>所提供的信息和资料真实有效，</w:t>
      </w:r>
      <w:r>
        <w:rPr>
          <w:rFonts w:ascii="宋体" w:eastAsia="宋体" w:hAnsi="宋体" w:cs="Times New Roman"/>
          <w:b/>
          <w:sz w:val="24"/>
          <w:szCs w:val="24"/>
        </w:rPr>
        <w:t>且同意配合乙方</w:t>
      </w:r>
      <w:r>
        <w:rPr>
          <w:rFonts w:ascii="宋体" w:eastAsia="宋体" w:hAnsi="宋体" w:cs="Times New Roman" w:hint="eastAsia"/>
          <w:b/>
          <w:sz w:val="24"/>
          <w:szCs w:val="24"/>
        </w:rPr>
        <w:t>及产品管理人根据法律法规</w:t>
      </w:r>
      <w:r>
        <w:rPr>
          <w:rFonts w:ascii="宋体" w:eastAsia="宋体" w:hAnsi="宋体" w:cs="Times New Roman"/>
          <w:b/>
          <w:sz w:val="24"/>
          <w:szCs w:val="24"/>
        </w:rPr>
        <w:t>、监管</w:t>
      </w:r>
      <w:r>
        <w:rPr>
          <w:rFonts w:ascii="宋体" w:eastAsia="宋体" w:hAnsi="宋体" w:cs="Times New Roman" w:hint="eastAsia"/>
          <w:b/>
          <w:sz w:val="24"/>
          <w:szCs w:val="24"/>
        </w:rPr>
        <w:t>政策的</w:t>
      </w:r>
      <w:r>
        <w:rPr>
          <w:rFonts w:ascii="宋体" w:eastAsia="宋体" w:hAnsi="宋体" w:cs="Times New Roman"/>
          <w:b/>
          <w:sz w:val="24"/>
          <w:szCs w:val="24"/>
        </w:rPr>
        <w:t>规定</w:t>
      </w:r>
      <w:r>
        <w:rPr>
          <w:rFonts w:ascii="宋体" w:eastAsia="宋体" w:hAnsi="宋体" w:cs="Times New Roman" w:hint="eastAsia"/>
          <w:b/>
          <w:sz w:val="24"/>
          <w:szCs w:val="24"/>
        </w:rPr>
        <w:t>，</w:t>
      </w:r>
      <w:r>
        <w:rPr>
          <w:rFonts w:ascii="宋体" w:eastAsia="宋体" w:hAnsi="宋体" w:cs="Times New Roman"/>
          <w:b/>
          <w:sz w:val="24"/>
          <w:szCs w:val="24"/>
        </w:rPr>
        <w:t>完成</w:t>
      </w:r>
      <w:r>
        <w:rPr>
          <w:rFonts w:ascii="宋体" w:eastAsia="宋体" w:hAnsi="宋体" w:cs="Times New Roman" w:hint="eastAsia"/>
          <w:b/>
          <w:sz w:val="24"/>
          <w:szCs w:val="24"/>
        </w:rPr>
        <w:t>风险</w:t>
      </w:r>
      <w:r>
        <w:rPr>
          <w:rFonts w:ascii="宋体" w:eastAsia="宋体" w:hAnsi="宋体" w:cs="Times New Roman"/>
          <w:b/>
          <w:sz w:val="24"/>
          <w:szCs w:val="24"/>
        </w:rPr>
        <w:t>承受能力评估、</w:t>
      </w:r>
      <w:r>
        <w:rPr>
          <w:rFonts w:ascii="宋体" w:eastAsia="宋体" w:hAnsi="宋体" w:cs="Times New Roman" w:hint="eastAsia"/>
          <w:b/>
          <w:sz w:val="24"/>
          <w:szCs w:val="24"/>
        </w:rPr>
        <w:t>销售</w:t>
      </w:r>
      <w:r>
        <w:rPr>
          <w:rFonts w:ascii="宋体" w:eastAsia="宋体" w:hAnsi="宋体" w:cs="Times New Roman"/>
          <w:b/>
          <w:sz w:val="24"/>
          <w:szCs w:val="24"/>
        </w:rPr>
        <w:t>适当性</w:t>
      </w:r>
      <w:r>
        <w:rPr>
          <w:rFonts w:ascii="宋体" w:eastAsia="宋体" w:hAnsi="宋体" w:cs="Times New Roman" w:hint="eastAsia"/>
          <w:b/>
          <w:sz w:val="24"/>
          <w:szCs w:val="24"/>
        </w:rPr>
        <w:t>管理</w:t>
      </w:r>
      <w:r>
        <w:rPr>
          <w:rFonts w:ascii="宋体" w:eastAsia="宋体" w:hAnsi="宋体" w:cs="Times New Roman"/>
          <w:b/>
          <w:sz w:val="24"/>
          <w:szCs w:val="24"/>
        </w:rPr>
        <w:t>、反洗钱</w:t>
      </w:r>
      <w:r>
        <w:rPr>
          <w:rFonts w:ascii="宋体" w:eastAsia="宋体" w:hAnsi="宋体" w:cs="Times New Roman" w:hint="eastAsia"/>
          <w:b/>
          <w:sz w:val="24"/>
          <w:szCs w:val="24"/>
        </w:rPr>
        <w:t>管理</w:t>
      </w:r>
      <w:r>
        <w:rPr>
          <w:rFonts w:ascii="宋体" w:eastAsia="宋体" w:hAnsi="宋体" w:cs="Times New Roman"/>
          <w:b/>
          <w:sz w:val="24"/>
          <w:szCs w:val="24"/>
        </w:rPr>
        <w:t>、非居民</w:t>
      </w:r>
      <w:r>
        <w:rPr>
          <w:rFonts w:ascii="宋体" w:eastAsia="宋体" w:hAnsi="宋体" w:cs="Times New Roman" w:hint="eastAsia"/>
          <w:b/>
          <w:sz w:val="24"/>
          <w:szCs w:val="24"/>
        </w:rPr>
        <w:t>金融</w:t>
      </w:r>
      <w:r>
        <w:rPr>
          <w:rFonts w:ascii="宋体" w:eastAsia="宋体" w:hAnsi="宋体" w:cs="Times New Roman"/>
          <w:b/>
          <w:sz w:val="24"/>
          <w:szCs w:val="24"/>
        </w:rPr>
        <w:t>账户涉税信息</w:t>
      </w:r>
      <w:r>
        <w:rPr>
          <w:rFonts w:ascii="宋体" w:eastAsia="宋体" w:hAnsi="宋体" w:cs="Times New Roman" w:hint="eastAsia"/>
          <w:b/>
          <w:sz w:val="24"/>
          <w:szCs w:val="24"/>
        </w:rPr>
        <w:t>尽职</w:t>
      </w:r>
      <w:r>
        <w:rPr>
          <w:rFonts w:ascii="宋体" w:eastAsia="宋体" w:hAnsi="宋体" w:cs="Times New Roman"/>
          <w:b/>
          <w:sz w:val="24"/>
          <w:szCs w:val="24"/>
        </w:rPr>
        <w:t>调查</w:t>
      </w:r>
      <w:r>
        <w:rPr>
          <w:rFonts w:ascii="宋体" w:eastAsia="宋体" w:hAnsi="宋体" w:cs="Times New Roman" w:hint="eastAsia"/>
          <w:b/>
          <w:sz w:val="24"/>
          <w:szCs w:val="24"/>
        </w:rPr>
        <w:t>等工作。</w:t>
      </w:r>
    </w:p>
    <w:p w:rsidR="0077147C" w14:paraId="08DD7DE7" w14:textId="77777777">
      <w:pPr>
        <w:adjustRightInd w:val="0"/>
        <w:snapToGrid w:val="0"/>
        <w:spacing w:line="312" w:lineRule="auto"/>
        <w:ind w:firstLine="410" w:firstLineChars="171"/>
        <w:jc w:val="left"/>
        <w:rPr>
          <w:rFonts w:ascii="宋体" w:eastAsia="宋体" w:hAnsi="宋体" w:cs="Times New Roman" w:hint="eastAsia"/>
          <w:b/>
          <w:sz w:val="24"/>
          <w:szCs w:val="24"/>
        </w:rPr>
      </w:pPr>
      <w:r>
        <w:rPr>
          <w:rFonts w:ascii="宋体" w:eastAsia="宋体" w:hAnsi="宋体" w:cs="Times New Roman" w:hint="eastAsia"/>
          <w:b/>
          <w:bCs/>
          <w:color w:val="000000"/>
          <w:sz w:val="24"/>
          <w:szCs w:val="24"/>
        </w:rPr>
        <w:t>甲方同意，</w:t>
      </w:r>
      <w:r>
        <w:rPr>
          <w:rFonts w:ascii="宋体" w:eastAsia="宋体" w:hAnsi="宋体" w:cs="Times New Roman" w:hint="eastAsia"/>
          <w:b/>
          <w:sz w:val="24"/>
          <w:szCs w:val="24"/>
        </w:rPr>
        <w:t>本协议履行</w:t>
      </w:r>
      <w:r>
        <w:rPr>
          <w:rFonts w:ascii="宋体" w:eastAsia="宋体" w:hAnsi="宋体" w:cs="Times New Roman"/>
          <w:b/>
          <w:sz w:val="24"/>
          <w:szCs w:val="24"/>
        </w:rPr>
        <w:t>过程中，</w:t>
      </w:r>
      <w:r>
        <w:rPr>
          <w:rFonts w:ascii="宋体" w:eastAsia="宋体" w:hAnsi="宋体" w:cs="Times New Roman" w:hint="eastAsia"/>
          <w:b/>
          <w:sz w:val="24"/>
          <w:szCs w:val="24"/>
        </w:rPr>
        <w:t>乙方及</w:t>
      </w:r>
      <w:r>
        <w:rPr>
          <w:rFonts w:ascii="宋体" w:eastAsia="宋体" w:hAnsi="宋体" w:cs="Times New Roman"/>
          <w:b/>
          <w:sz w:val="24"/>
          <w:szCs w:val="24"/>
        </w:rPr>
        <w:t>产品管理人</w:t>
      </w:r>
      <w:r>
        <w:rPr>
          <w:rFonts w:ascii="宋体" w:eastAsia="宋体" w:hAnsi="宋体" w:cs="Times New Roman" w:hint="eastAsia"/>
          <w:b/>
          <w:sz w:val="24"/>
          <w:szCs w:val="24"/>
        </w:rPr>
        <w:t>需</w:t>
      </w:r>
      <w:r>
        <w:rPr>
          <w:rFonts w:ascii="宋体" w:eastAsia="宋体" w:hAnsi="宋体" w:cs="Times New Roman"/>
          <w:b/>
          <w:sz w:val="24"/>
          <w:szCs w:val="24"/>
        </w:rPr>
        <w:t>联系甲方时，</w:t>
      </w:r>
      <w:r>
        <w:rPr>
          <w:rFonts w:ascii="宋体" w:eastAsia="宋体" w:hAnsi="宋体" w:cs="Times New Roman" w:hint="eastAsia"/>
          <w:b/>
          <w:sz w:val="24"/>
          <w:szCs w:val="24"/>
        </w:rPr>
        <w:t>乙方及</w:t>
      </w:r>
      <w:r>
        <w:rPr>
          <w:rFonts w:ascii="宋体" w:eastAsia="宋体" w:hAnsi="宋体" w:cs="Times New Roman"/>
          <w:b/>
          <w:sz w:val="24"/>
          <w:szCs w:val="24"/>
        </w:rPr>
        <w:t>产品管理人仅按照甲方</w:t>
      </w:r>
      <w:r>
        <w:rPr>
          <w:rFonts w:ascii="宋体" w:eastAsia="宋体" w:hAnsi="宋体" w:cs="Times New Roman" w:hint="eastAsia"/>
          <w:b/>
          <w:sz w:val="24"/>
          <w:szCs w:val="24"/>
        </w:rPr>
        <w:t>进行</w:t>
      </w:r>
      <w:r>
        <w:rPr>
          <w:rFonts w:ascii="宋体" w:eastAsia="宋体" w:hAnsi="宋体" w:cs="Times New Roman"/>
          <w:b/>
          <w:sz w:val="24"/>
          <w:szCs w:val="24"/>
        </w:rPr>
        <w:t>交易时</w:t>
      </w:r>
      <w:r>
        <w:rPr>
          <w:rFonts w:ascii="宋体" w:eastAsia="宋体" w:hAnsi="宋体" w:cs="Times New Roman" w:hint="eastAsia"/>
          <w:b/>
          <w:sz w:val="24"/>
          <w:szCs w:val="24"/>
        </w:rPr>
        <w:t>在乙方</w:t>
      </w:r>
      <w:r>
        <w:rPr>
          <w:rFonts w:ascii="宋体" w:eastAsia="宋体" w:hAnsi="宋体" w:cs="Times New Roman"/>
          <w:b/>
          <w:sz w:val="24"/>
          <w:szCs w:val="24"/>
        </w:rPr>
        <w:t>留存的</w:t>
      </w:r>
      <w:r>
        <w:rPr>
          <w:rFonts w:ascii="宋体" w:eastAsia="宋体" w:hAnsi="宋体" w:cs="Times New Roman" w:hint="eastAsia"/>
          <w:b/>
          <w:sz w:val="24"/>
          <w:szCs w:val="24"/>
        </w:rPr>
        <w:t>方式</w:t>
      </w:r>
      <w:r>
        <w:rPr>
          <w:rFonts w:ascii="宋体" w:eastAsia="宋体" w:hAnsi="宋体" w:cs="Times New Roman"/>
          <w:b/>
          <w:sz w:val="24"/>
          <w:szCs w:val="24"/>
        </w:rPr>
        <w:t>联系甲方</w:t>
      </w:r>
      <w:r>
        <w:rPr>
          <w:rFonts w:ascii="宋体" w:eastAsia="宋体" w:hAnsi="宋体" w:cs="Times New Roman" w:hint="eastAsia"/>
          <w:b/>
          <w:sz w:val="24"/>
          <w:szCs w:val="24"/>
        </w:rPr>
        <w:t>，甲方</w:t>
      </w:r>
      <w:r>
        <w:rPr>
          <w:rFonts w:ascii="宋体" w:eastAsia="宋体" w:hAnsi="宋体" w:cs="Times New Roman"/>
          <w:b/>
          <w:sz w:val="24"/>
          <w:szCs w:val="24"/>
        </w:rPr>
        <w:t>联系信息如有变更的，应及时通知乙方</w:t>
      </w:r>
      <w:r>
        <w:rPr>
          <w:rFonts w:ascii="宋体" w:eastAsia="宋体" w:hAnsi="宋体" w:cs="Times New Roman" w:hint="eastAsia"/>
          <w:b/>
          <w:sz w:val="24"/>
          <w:szCs w:val="24"/>
        </w:rPr>
        <w:t>，</w:t>
      </w:r>
      <w:r>
        <w:rPr>
          <w:rFonts w:ascii="宋体" w:eastAsia="宋体" w:hAnsi="宋体" w:cs="Times New Roman"/>
          <w:b/>
          <w:sz w:val="24"/>
          <w:szCs w:val="24"/>
        </w:rPr>
        <w:t>乙方</w:t>
      </w:r>
      <w:r>
        <w:rPr>
          <w:rFonts w:ascii="宋体" w:eastAsia="宋体" w:hAnsi="宋体" w:cs="Times New Roman" w:hint="eastAsia"/>
          <w:b/>
          <w:sz w:val="24"/>
          <w:szCs w:val="24"/>
        </w:rPr>
        <w:t>及</w:t>
      </w:r>
      <w:r>
        <w:rPr>
          <w:rFonts w:ascii="宋体" w:eastAsia="宋体" w:hAnsi="宋体" w:cs="Times New Roman"/>
          <w:b/>
          <w:sz w:val="24"/>
          <w:szCs w:val="24"/>
        </w:rPr>
        <w:t>产品管理人按照变更后的方式联系甲方。</w:t>
      </w:r>
      <w:r>
        <w:rPr>
          <w:rFonts w:ascii="宋体" w:eastAsia="宋体" w:hAnsi="宋体" w:cs="Times New Roman" w:hint="eastAsia"/>
          <w:b/>
          <w:sz w:val="24"/>
          <w:szCs w:val="24"/>
        </w:rPr>
        <w:t>对于</w:t>
      </w:r>
      <w:r>
        <w:rPr>
          <w:rFonts w:ascii="宋体" w:eastAsia="宋体" w:hAnsi="宋体" w:cs="Times New Roman"/>
          <w:b/>
          <w:sz w:val="24"/>
          <w:szCs w:val="24"/>
        </w:rPr>
        <w:t>甲方</w:t>
      </w:r>
      <w:r>
        <w:rPr>
          <w:rFonts w:ascii="宋体" w:eastAsia="宋体" w:hAnsi="宋体" w:cs="Times New Roman" w:hint="eastAsia"/>
          <w:b/>
          <w:sz w:val="24"/>
          <w:szCs w:val="24"/>
        </w:rPr>
        <w:t>变更</w:t>
      </w:r>
      <w:r>
        <w:rPr>
          <w:rFonts w:ascii="宋体" w:eastAsia="宋体" w:hAnsi="宋体" w:cs="Times New Roman"/>
          <w:b/>
          <w:sz w:val="24"/>
          <w:szCs w:val="24"/>
        </w:rPr>
        <w:t>联系信息</w:t>
      </w:r>
      <w:r>
        <w:rPr>
          <w:rFonts w:ascii="宋体" w:eastAsia="宋体" w:hAnsi="宋体" w:cs="Times New Roman" w:hint="eastAsia"/>
          <w:b/>
          <w:sz w:val="24"/>
          <w:szCs w:val="24"/>
        </w:rPr>
        <w:t>但并</w:t>
      </w:r>
      <w:r>
        <w:rPr>
          <w:rFonts w:ascii="宋体" w:eastAsia="宋体" w:hAnsi="宋体" w:cs="Times New Roman"/>
          <w:b/>
          <w:sz w:val="24"/>
          <w:szCs w:val="24"/>
        </w:rPr>
        <w:t>未按本协议约定及时通知乙方</w:t>
      </w:r>
      <w:r>
        <w:rPr>
          <w:rFonts w:ascii="宋体" w:eastAsia="宋体" w:hAnsi="宋体" w:cs="Times New Roman" w:hint="eastAsia"/>
          <w:b/>
          <w:sz w:val="24"/>
          <w:szCs w:val="24"/>
        </w:rPr>
        <w:t>而</w:t>
      </w:r>
      <w:r>
        <w:rPr>
          <w:rFonts w:ascii="宋体" w:eastAsia="宋体" w:hAnsi="宋体" w:cs="Times New Roman"/>
          <w:b/>
          <w:sz w:val="24"/>
          <w:szCs w:val="24"/>
        </w:rPr>
        <w:t>造成的损失，</w:t>
      </w:r>
      <w:r>
        <w:rPr>
          <w:rFonts w:ascii="宋体" w:eastAsia="宋体" w:hAnsi="宋体" w:cs="Times New Roman" w:hint="eastAsia"/>
          <w:b/>
          <w:sz w:val="24"/>
          <w:szCs w:val="24"/>
        </w:rPr>
        <w:t>由甲方自行</w:t>
      </w:r>
      <w:r>
        <w:rPr>
          <w:rFonts w:ascii="宋体" w:eastAsia="宋体" w:hAnsi="宋体" w:cs="Times New Roman"/>
          <w:b/>
          <w:sz w:val="24"/>
          <w:szCs w:val="24"/>
        </w:rPr>
        <w:t>承担。</w:t>
      </w:r>
    </w:p>
    <w:p w:rsidR="0077147C" w14:paraId="56E072D8" w14:textId="168B1E9A">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color w:val="000000"/>
          <w:sz w:val="24"/>
          <w:szCs w:val="24"/>
        </w:rPr>
        <w:t>（四）基</w:t>
      </w:r>
      <w:r>
        <w:rPr>
          <w:rFonts w:ascii="宋体" w:eastAsia="宋体" w:hAnsi="宋体" w:cs="Times New Roman"/>
          <w:b/>
          <w:sz w:val="24"/>
          <w:szCs w:val="24"/>
        </w:rPr>
        <w:t>于</w:t>
      </w:r>
      <w:r>
        <w:rPr>
          <w:rFonts w:ascii="宋体" w:eastAsia="宋体" w:hAnsi="宋体" w:cs="Times New Roman" w:hint="eastAsia"/>
          <w:b/>
          <w:sz w:val="24"/>
          <w:szCs w:val="24"/>
        </w:rPr>
        <w:t>产品管理人及乙方</w:t>
      </w:r>
      <w:r>
        <w:rPr>
          <w:rFonts w:ascii="宋体" w:eastAsia="宋体" w:hAnsi="宋体" w:cs="Times New Roman"/>
          <w:b/>
          <w:sz w:val="24"/>
          <w:szCs w:val="24"/>
        </w:rPr>
        <w:t>履行</w:t>
      </w:r>
      <w:r>
        <w:rPr>
          <w:rFonts w:ascii="宋体" w:eastAsia="宋体" w:hAnsi="宋体" w:cs="Times New Roman" w:hint="eastAsia"/>
          <w:b/>
          <w:sz w:val="24"/>
          <w:szCs w:val="24"/>
        </w:rPr>
        <w:t>理财产品</w:t>
      </w:r>
      <w:r>
        <w:rPr>
          <w:rFonts w:ascii="宋体" w:eastAsia="宋体" w:hAnsi="宋体" w:cs="Times New Roman"/>
          <w:b/>
          <w:sz w:val="24"/>
          <w:szCs w:val="24"/>
        </w:rPr>
        <w:t>销售文件所载明的各项</w:t>
      </w:r>
      <w:r>
        <w:rPr>
          <w:rFonts w:ascii="宋体" w:eastAsia="宋体" w:hAnsi="宋体" w:cs="Times New Roman" w:hint="eastAsia"/>
          <w:b/>
          <w:sz w:val="24"/>
          <w:szCs w:val="24"/>
        </w:rPr>
        <w:t>义务</w:t>
      </w:r>
      <w:r>
        <w:rPr>
          <w:rFonts w:ascii="宋体" w:eastAsia="宋体" w:hAnsi="宋体" w:cs="Times New Roman"/>
          <w:b/>
          <w:sz w:val="24"/>
          <w:szCs w:val="24"/>
        </w:rPr>
        <w:t>、进行服务管理和风险管理、报送监管信息</w:t>
      </w:r>
      <w:r>
        <w:rPr>
          <w:rFonts w:ascii="宋体" w:eastAsia="宋体" w:hAnsi="宋体" w:cs="Times New Roman" w:hint="eastAsia"/>
          <w:b/>
          <w:sz w:val="24"/>
          <w:szCs w:val="24"/>
        </w:rPr>
        <w:t>、</w:t>
      </w:r>
      <w:r>
        <w:rPr>
          <w:rFonts w:ascii="宋体" w:eastAsia="宋体" w:hAnsi="宋体" w:cs="Times New Roman"/>
          <w:b/>
          <w:sz w:val="24"/>
          <w:szCs w:val="24"/>
        </w:rPr>
        <w:t>履行反洗钱、</w:t>
      </w:r>
      <w:r>
        <w:rPr>
          <w:rFonts w:ascii="宋体" w:eastAsia="宋体" w:hAnsi="宋体" w:cs="Times New Roman" w:hint="eastAsia"/>
          <w:b/>
          <w:sz w:val="24"/>
          <w:szCs w:val="24"/>
        </w:rPr>
        <w:t>反恐怖融资、非居民金融账户涉税信息尽职调查、</w:t>
      </w:r>
      <w:r>
        <w:rPr>
          <w:rFonts w:ascii="宋体" w:eastAsia="宋体" w:hAnsi="宋体" w:cs="Times New Roman"/>
          <w:b/>
          <w:sz w:val="24"/>
          <w:szCs w:val="24"/>
        </w:rPr>
        <w:t>投资者资质审核和销售适当性等法律法规和监管要求的义务</w:t>
      </w:r>
      <w:r>
        <w:rPr>
          <w:rFonts w:ascii="宋体" w:eastAsia="宋体" w:hAnsi="宋体" w:cs="Times New Roman" w:hint="eastAsia"/>
          <w:b/>
          <w:sz w:val="24"/>
          <w:szCs w:val="24"/>
        </w:rPr>
        <w:t>的</w:t>
      </w:r>
      <w:r>
        <w:rPr>
          <w:rFonts w:ascii="宋体" w:eastAsia="宋体" w:hAnsi="宋体" w:cs="Times New Roman"/>
          <w:b/>
          <w:sz w:val="24"/>
          <w:szCs w:val="24"/>
        </w:rPr>
        <w:t>需要，甲方授权</w:t>
      </w:r>
      <w:r>
        <w:rPr>
          <w:rFonts w:ascii="宋体" w:eastAsia="宋体" w:hAnsi="宋体" w:cs="Times New Roman" w:hint="eastAsia"/>
          <w:b/>
          <w:sz w:val="24"/>
          <w:szCs w:val="24"/>
        </w:rPr>
        <w:t>乙方</w:t>
      </w:r>
      <w:r>
        <w:rPr>
          <w:rFonts w:ascii="宋体" w:eastAsia="宋体" w:hAnsi="宋体" w:cs="Times New Roman"/>
          <w:b/>
          <w:sz w:val="24"/>
          <w:szCs w:val="24"/>
        </w:rPr>
        <w:t>在业务办理或履行过程中</w:t>
      </w:r>
      <w:r>
        <w:rPr>
          <w:rFonts w:ascii="宋体" w:eastAsia="宋体" w:hAnsi="宋体" w:cs="Times New Roman" w:hint="eastAsia"/>
          <w:b/>
          <w:sz w:val="24"/>
          <w:szCs w:val="24"/>
        </w:rPr>
        <w:t>获取并报送、处理甲方个人信息，授权产品管理人</w:t>
      </w:r>
      <w:r>
        <w:rPr>
          <w:rFonts w:ascii="宋体" w:eastAsia="宋体" w:hAnsi="宋体" w:cs="Times New Roman"/>
          <w:b/>
          <w:sz w:val="24"/>
          <w:szCs w:val="24"/>
        </w:rPr>
        <w:t>在业务办理或履行过程中</w:t>
      </w:r>
      <w:r>
        <w:rPr>
          <w:rFonts w:ascii="宋体" w:eastAsia="宋体" w:hAnsi="宋体" w:cs="Times New Roman" w:hint="eastAsia"/>
          <w:b/>
          <w:sz w:val="24"/>
          <w:szCs w:val="24"/>
        </w:rPr>
        <w:t>直接</w:t>
      </w:r>
      <w:r>
        <w:rPr>
          <w:rFonts w:ascii="宋体" w:eastAsia="宋体" w:hAnsi="宋体" w:cs="Times New Roman"/>
          <w:b/>
          <w:sz w:val="24"/>
          <w:szCs w:val="24"/>
        </w:rPr>
        <w:t>或</w:t>
      </w:r>
      <w:r>
        <w:rPr>
          <w:rFonts w:ascii="宋体" w:eastAsia="宋体" w:hAnsi="宋体" w:cs="Times New Roman" w:hint="eastAsia"/>
          <w:b/>
          <w:sz w:val="24"/>
          <w:szCs w:val="24"/>
        </w:rPr>
        <w:t>通过乙方间接获取并报送、处理甲方</w:t>
      </w:r>
      <w:r w:rsidR="00047C5B">
        <w:rPr>
          <w:rFonts w:ascii="宋体" w:eastAsia="宋体" w:hAnsi="宋体" w:cs="Times New Roman" w:hint="eastAsia"/>
          <w:b/>
          <w:sz w:val="24"/>
          <w:szCs w:val="24"/>
        </w:rPr>
        <w:t>或甲方相关人员的</w:t>
      </w:r>
      <w:r>
        <w:rPr>
          <w:rFonts w:ascii="宋体" w:eastAsia="宋体" w:hAnsi="宋体" w:cs="Times New Roman" w:hint="eastAsia"/>
          <w:b/>
          <w:sz w:val="24"/>
          <w:szCs w:val="24"/>
        </w:rPr>
        <w:t>个人信息。处理方式为收集、存储、使用、加工、传输、提供等，个人信息包括姓名、性别、国籍或地区、职业、联系方式、地址、身份证件信息等身份信息，理财账户、银行账户等账户信息，</w:t>
      </w:r>
      <w:r>
        <w:rPr>
          <w:rFonts w:ascii="宋体" w:eastAsia="宋体" w:hAnsi="宋体" w:cs="Times New Roman" w:hint="eastAsia"/>
          <w:b/>
          <w:bCs/>
          <w:color w:val="000000" w:themeColor="text1"/>
          <w:sz w:val="24"/>
          <w:szCs w:val="24"/>
        </w:rPr>
        <w:t>风险承受能力等级、理财产品交易时间等金融交易信息，</w:t>
      </w:r>
      <w:r>
        <w:rPr>
          <w:rFonts w:ascii="宋体" w:eastAsia="宋体" w:hAnsi="宋体" w:cs="Times New Roman" w:hint="eastAsia"/>
          <w:b/>
          <w:sz w:val="24"/>
          <w:szCs w:val="24"/>
        </w:rPr>
        <w:t>持有理财产品信息等财产信息，及法律法规、监管要求或行业自律准则规定的其他信息；</w:t>
      </w:r>
      <w:r>
        <w:rPr>
          <w:rFonts w:ascii="宋体" w:eastAsia="宋体" w:hAnsi="宋体" w:cs="Times New Roman" w:hint="eastAsia"/>
          <w:b/>
          <w:bCs/>
          <w:color w:val="000000" w:themeColor="text1"/>
          <w:sz w:val="24"/>
          <w:szCs w:val="24"/>
        </w:rPr>
        <w:t>在产品管理人及乙方履行相关法律法规、监管规定的义务及有权机关要求的情况下，甲方授权产品管理人及乙方向银行业理财登记托管中心、监管机构及其他有权机关报送或提供上述信息；</w:t>
      </w:r>
      <w:r>
        <w:rPr>
          <w:rFonts w:ascii="宋体" w:eastAsia="宋体" w:hAnsi="宋体" w:cs="Times New Roman"/>
          <w:b/>
          <w:sz w:val="24"/>
          <w:szCs w:val="24"/>
        </w:rPr>
        <w:t>在</w:t>
      </w:r>
      <w:r>
        <w:rPr>
          <w:rFonts w:ascii="宋体" w:eastAsia="宋体" w:hAnsi="宋体" w:cs="Times New Roman" w:hint="eastAsia"/>
          <w:b/>
          <w:sz w:val="24"/>
          <w:szCs w:val="24"/>
        </w:rPr>
        <w:t>产品</w:t>
      </w:r>
      <w:r>
        <w:rPr>
          <w:rFonts w:ascii="宋体" w:eastAsia="宋体" w:hAnsi="宋体" w:cs="Times New Roman"/>
          <w:b/>
          <w:sz w:val="24"/>
          <w:szCs w:val="24"/>
        </w:rPr>
        <w:t>管理人</w:t>
      </w:r>
      <w:r>
        <w:rPr>
          <w:rFonts w:ascii="宋体" w:eastAsia="宋体" w:hAnsi="宋体" w:cs="Times New Roman" w:hint="eastAsia"/>
          <w:b/>
          <w:sz w:val="24"/>
          <w:szCs w:val="24"/>
        </w:rPr>
        <w:t>及乙方</w:t>
      </w:r>
      <w:r>
        <w:rPr>
          <w:rFonts w:ascii="宋体" w:eastAsia="宋体" w:hAnsi="宋体" w:cs="Times New Roman"/>
          <w:b/>
          <w:sz w:val="24"/>
          <w:szCs w:val="24"/>
        </w:rPr>
        <w:t>办理本</w:t>
      </w:r>
      <w:r>
        <w:rPr>
          <w:rFonts w:ascii="宋体" w:eastAsia="宋体" w:hAnsi="宋体" w:cs="Times New Roman" w:hint="eastAsia"/>
          <w:b/>
          <w:sz w:val="24"/>
          <w:szCs w:val="24"/>
        </w:rPr>
        <w:t>协议</w:t>
      </w:r>
      <w:r>
        <w:rPr>
          <w:rFonts w:ascii="宋体" w:eastAsia="宋体" w:hAnsi="宋体" w:cs="Times New Roman"/>
          <w:b/>
          <w:sz w:val="24"/>
          <w:szCs w:val="24"/>
        </w:rPr>
        <w:t>项下相关事项所必需的情形下，甲方同意并授权</w:t>
      </w:r>
      <w:r>
        <w:rPr>
          <w:rFonts w:ascii="宋体" w:eastAsia="宋体" w:hAnsi="宋体" w:cs="Times New Roman" w:hint="eastAsia"/>
          <w:b/>
          <w:sz w:val="24"/>
          <w:szCs w:val="24"/>
        </w:rPr>
        <w:t>产品</w:t>
      </w:r>
      <w:r>
        <w:rPr>
          <w:rFonts w:ascii="宋体" w:eastAsia="宋体" w:hAnsi="宋体" w:cs="Times New Roman"/>
          <w:b/>
          <w:sz w:val="24"/>
          <w:szCs w:val="24"/>
        </w:rPr>
        <w:t>管理人</w:t>
      </w:r>
      <w:r>
        <w:rPr>
          <w:rFonts w:ascii="宋体" w:eastAsia="宋体" w:hAnsi="宋体" w:cs="Times New Roman" w:hint="eastAsia"/>
          <w:b/>
          <w:sz w:val="24"/>
          <w:szCs w:val="24"/>
        </w:rPr>
        <w:t>及乙方</w:t>
      </w:r>
      <w:r>
        <w:rPr>
          <w:rFonts w:ascii="宋体" w:eastAsia="宋体" w:hAnsi="宋体" w:cs="Times New Roman"/>
          <w:b/>
          <w:sz w:val="24"/>
          <w:szCs w:val="24"/>
        </w:rPr>
        <w:t>向</w:t>
      </w:r>
      <w:r>
        <w:rPr>
          <w:rFonts w:ascii="宋体" w:eastAsia="宋体" w:hAnsi="宋体" w:cs="Times New Roman" w:hint="eastAsia"/>
          <w:b/>
          <w:sz w:val="24"/>
          <w:szCs w:val="24"/>
        </w:rPr>
        <w:t>其</w:t>
      </w:r>
      <w:r>
        <w:rPr>
          <w:rFonts w:ascii="宋体" w:eastAsia="宋体" w:hAnsi="宋体" w:cs="Times New Roman"/>
          <w:b/>
          <w:sz w:val="24"/>
          <w:szCs w:val="24"/>
        </w:rPr>
        <w:t>集团成员、服务机构及其他</w:t>
      </w:r>
      <w:r>
        <w:rPr>
          <w:rFonts w:ascii="宋体" w:eastAsia="宋体" w:hAnsi="宋体" w:cs="Times New Roman" w:hint="eastAsia"/>
          <w:b/>
          <w:sz w:val="24"/>
          <w:szCs w:val="24"/>
        </w:rPr>
        <w:t>产品管理人或</w:t>
      </w:r>
      <w:r>
        <w:rPr>
          <w:rFonts w:ascii="宋体" w:eastAsia="宋体" w:hAnsi="宋体" w:cs="Times New Roman"/>
          <w:b/>
          <w:sz w:val="24"/>
          <w:szCs w:val="24"/>
        </w:rPr>
        <w:t>乙方认为必要的业务合作机构</w:t>
      </w:r>
      <w:r w:rsidR="00745E89">
        <w:rPr>
          <w:rFonts w:ascii="宋体" w:eastAsia="宋体" w:hAnsi="宋体" w:cs="Times New Roman" w:hint="eastAsia"/>
          <w:b/>
          <w:sz w:val="24"/>
          <w:szCs w:val="24"/>
        </w:rPr>
        <w:t>（包括但不限于清算服务机构等）</w:t>
      </w:r>
      <w:r>
        <w:rPr>
          <w:rFonts w:ascii="宋体" w:eastAsia="宋体" w:hAnsi="宋体" w:cs="Times New Roman"/>
          <w:b/>
          <w:sz w:val="24"/>
          <w:szCs w:val="24"/>
        </w:rPr>
        <w:t>提供</w:t>
      </w:r>
      <w:r>
        <w:rPr>
          <w:rFonts w:ascii="宋体" w:eastAsia="宋体" w:hAnsi="宋体" w:cs="Times New Roman" w:hint="eastAsia"/>
          <w:b/>
          <w:sz w:val="24"/>
          <w:szCs w:val="24"/>
        </w:rPr>
        <w:t>其</w:t>
      </w:r>
      <w:r>
        <w:rPr>
          <w:rFonts w:ascii="宋体" w:eastAsia="宋体" w:hAnsi="宋体" w:cs="Times New Roman"/>
          <w:b/>
          <w:sz w:val="24"/>
          <w:szCs w:val="24"/>
        </w:rPr>
        <w:t>获取的</w:t>
      </w:r>
      <w:r>
        <w:rPr>
          <w:rFonts w:ascii="宋体" w:eastAsia="宋体" w:hAnsi="宋体" w:cs="Times New Roman" w:hint="eastAsia"/>
          <w:b/>
          <w:sz w:val="24"/>
          <w:szCs w:val="24"/>
        </w:rPr>
        <w:t>上述</w:t>
      </w:r>
      <w:r>
        <w:rPr>
          <w:rFonts w:ascii="宋体" w:eastAsia="宋体" w:hAnsi="宋体" w:cs="Times New Roman"/>
          <w:b/>
          <w:sz w:val="24"/>
          <w:szCs w:val="24"/>
        </w:rPr>
        <w:t>甲方信息，</w:t>
      </w:r>
      <w:r>
        <w:rPr>
          <w:rFonts w:ascii="宋体" w:eastAsia="宋体" w:hAnsi="宋体" w:cs="Times New Roman" w:hint="eastAsia"/>
          <w:b/>
          <w:sz w:val="24"/>
          <w:szCs w:val="24"/>
        </w:rPr>
        <w:t>授权使用时限与提供前述服务及履行相关法律法规和监管要求义务的必要时限一致。</w:t>
      </w:r>
      <w:r>
        <w:rPr>
          <w:rFonts w:ascii="宋体" w:eastAsia="宋体" w:hAnsi="宋体" w:cs="Times New Roman"/>
          <w:b/>
          <w:sz w:val="24"/>
          <w:szCs w:val="24"/>
        </w:rPr>
        <w:t>接收信息的</w:t>
      </w:r>
      <w:r>
        <w:rPr>
          <w:rFonts w:ascii="宋体" w:eastAsia="宋体" w:hAnsi="宋体" w:cs="Times New Roman"/>
          <w:b/>
          <w:sz w:val="24"/>
          <w:szCs w:val="24"/>
        </w:rPr>
        <w:t>上述第三</w:t>
      </w:r>
      <w:r>
        <w:rPr>
          <w:rFonts w:ascii="宋体" w:eastAsia="宋体" w:hAnsi="宋体" w:cs="Times New Roman"/>
          <w:b/>
          <w:sz w:val="24"/>
          <w:szCs w:val="24"/>
        </w:rPr>
        <w:t>方将为处理本协议项下事务之目的接触并按照</w:t>
      </w:r>
      <w:r>
        <w:rPr>
          <w:rFonts w:ascii="宋体" w:eastAsia="宋体" w:hAnsi="宋体" w:cs="Times New Roman" w:hint="eastAsia"/>
          <w:b/>
          <w:sz w:val="24"/>
          <w:szCs w:val="24"/>
        </w:rPr>
        <w:t>产品管理人或乙方</w:t>
      </w:r>
      <w:r>
        <w:rPr>
          <w:rFonts w:ascii="宋体" w:eastAsia="宋体" w:hAnsi="宋体" w:cs="Times New Roman"/>
          <w:b/>
          <w:sz w:val="24"/>
          <w:szCs w:val="24"/>
        </w:rPr>
        <w:t>的业务需要</w:t>
      </w:r>
      <w:r>
        <w:rPr>
          <w:rFonts w:ascii="宋体" w:eastAsia="宋体" w:hAnsi="宋体" w:cs="Times New Roman" w:hint="eastAsia"/>
          <w:b/>
          <w:sz w:val="24"/>
          <w:szCs w:val="24"/>
        </w:rPr>
        <w:t>处理</w:t>
      </w:r>
      <w:r>
        <w:rPr>
          <w:rFonts w:ascii="宋体" w:eastAsia="宋体" w:hAnsi="宋体" w:cs="Times New Roman"/>
          <w:b/>
          <w:sz w:val="24"/>
          <w:szCs w:val="24"/>
        </w:rPr>
        <w:t>甲方信息</w:t>
      </w:r>
      <w:r>
        <w:rPr>
          <w:rFonts w:ascii="宋体" w:eastAsia="宋体" w:hAnsi="宋体" w:cs="Times New Roman" w:hint="eastAsia"/>
          <w:b/>
          <w:sz w:val="24"/>
          <w:szCs w:val="24"/>
        </w:rPr>
        <w:t>，</w:t>
      </w:r>
      <w:r>
        <w:rPr>
          <w:rFonts w:ascii="宋体" w:eastAsia="宋体" w:hAnsi="宋体" w:cs="Times New Roman" w:hint="eastAsia"/>
          <w:b/>
          <w:bCs/>
          <w:color w:val="000000" w:themeColor="text1"/>
          <w:sz w:val="24"/>
          <w:szCs w:val="24"/>
        </w:rPr>
        <w:t>处理方式包括但不限于存储、使用、加工、传输、提供等</w:t>
      </w:r>
      <w:r>
        <w:rPr>
          <w:rFonts w:ascii="宋体" w:eastAsia="宋体" w:hAnsi="宋体" w:cs="Times New Roman"/>
          <w:b/>
          <w:sz w:val="24"/>
          <w:szCs w:val="24"/>
        </w:rPr>
        <w:t>。</w:t>
      </w:r>
      <w:r w:rsidR="00011561">
        <w:rPr>
          <w:rFonts w:ascii="宋体" w:eastAsia="宋体" w:hAnsi="宋体" w:cs="Times New Roman" w:hint="eastAsia"/>
          <w:b/>
          <w:bCs/>
          <w:color w:val="000000" w:themeColor="text1"/>
          <w:sz w:val="24"/>
          <w:szCs w:val="24"/>
        </w:rPr>
        <w:t>上述约定的甲方</w:t>
      </w:r>
      <w:r w:rsidR="00047C5B">
        <w:rPr>
          <w:rFonts w:ascii="宋体" w:eastAsia="宋体" w:hAnsi="宋体" w:cs="Times New Roman" w:hint="eastAsia"/>
          <w:b/>
          <w:bCs/>
          <w:color w:val="000000" w:themeColor="text1"/>
          <w:sz w:val="24"/>
          <w:szCs w:val="24"/>
        </w:rPr>
        <w:t>或甲方相关人员的</w:t>
      </w:r>
      <w:r w:rsidR="00011561">
        <w:rPr>
          <w:rFonts w:ascii="宋体" w:eastAsia="宋体" w:hAnsi="宋体" w:cs="Times New Roman" w:hint="eastAsia"/>
          <w:b/>
          <w:bCs/>
          <w:color w:val="000000" w:themeColor="text1"/>
          <w:sz w:val="24"/>
          <w:szCs w:val="24"/>
        </w:rPr>
        <w:t>个人信息包括敏感个人信息，敏感个人信息一旦泄露或非法使用，容易导致甲方</w:t>
      </w:r>
      <w:r w:rsidR="00047C5B">
        <w:rPr>
          <w:rFonts w:ascii="宋体" w:eastAsia="宋体" w:hAnsi="宋体" w:cs="Times New Roman" w:hint="eastAsia"/>
          <w:b/>
          <w:bCs/>
          <w:color w:val="000000" w:themeColor="text1"/>
          <w:sz w:val="24"/>
          <w:szCs w:val="24"/>
        </w:rPr>
        <w:t>或甲方相关人员</w:t>
      </w:r>
      <w:r w:rsidR="00011561">
        <w:rPr>
          <w:rFonts w:ascii="宋体" w:eastAsia="宋体" w:hAnsi="宋体" w:cs="Times New Roman" w:hint="eastAsia"/>
          <w:b/>
          <w:bCs/>
          <w:color w:val="000000" w:themeColor="text1"/>
          <w:sz w:val="24"/>
          <w:szCs w:val="24"/>
        </w:rPr>
        <w:t>的人格尊严受到侵害或者人身、财产安全受到危害。</w:t>
      </w:r>
      <w:r>
        <w:rPr>
          <w:rFonts w:ascii="宋体" w:eastAsia="宋体" w:hAnsi="宋体" w:cs="Times New Roman" w:hint="eastAsia"/>
          <w:b/>
          <w:sz w:val="24"/>
          <w:szCs w:val="24"/>
        </w:rPr>
        <w:t>产品管理人及乙方</w:t>
      </w:r>
      <w:r>
        <w:rPr>
          <w:rFonts w:ascii="宋体" w:eastAsia="宋体" w:hAnsi="宋体" w:cs="Times New Roman"/>
          <w:b/>
          <w:sz w:val="24"/>
          <w:szCs w:val="24"/>
        </w:rPr>
        <w:t>将向有关第三</w:t>
      </w:r>
      <w:r>
        <w:rPr>
          <w:rFonts w:ascii="宋体" w:eastAsia="宋体" w:hAnsi="宋体" w:cs="Times New Roman"/>
          <w:b/>
          <w:sz w:val="24"/>
          <w:szCs w:val="24"/>
        </w:rPr>
        <w:t>方明确</w:t>
      </w:r>
      <w:r>
        <w:rPr>
          <w:rFonts w:ascii="宋体" w:eastAsia="宋体" w:hAnsi="宋体" w:cs="Times New Roman"/>
          <w:b/>
          <w:sz w:val="24"/>
          <w:szCs w:val="24"/>
        </w:rPr>
        <w:t>其保护甲</w:t>
      </w:r>
      <w:r>
        <w:rPr>
          <w:rFonts w:ascii="宋体" w:eastAsia="宋体" w:hAnsi="宋体" w:cs="Times New Roman" w:hint="eastAsia"/>
          <w:b/>
          <w:sz w:val="24"/>
          <w:szCs w:val="24"/>
        </w:rPr>
        <w:t>方信息的职责并要求第三方承担相应保密义务</w:t>
      </w:r>
      <w:r w:rsidR="00C23727">
        <w:rPr>
          <w:rFonts w:ascii="宋体" w:eastAsia="宋体" w:hAnsi="宋体" w:cs="Times New Roman" w:hint="eastAsia"/>
          <w:b/>
          <w:sz w:val="24"/>
          <w:szCs w:val="24"/>
        </w:rPr>
        <w:t>，</w:t>
      </w:r>
      <w:bookmarkStart w:id="29" w:name="OLE_LINK99"/>
      <w:bookmarkStart w:id="30" w:name="OLE_LINK100"/>
      <w:r w:rsidR="00C23727">
        <w:rPr>
          <w:rFonts w:ascii="宋体" w:eastAsia="宋体" w:hAnsi="宋体" w:cs="Times New Roman" w:hint="eastAsia"/>
          <w:b/>
          <w:bCs/>
          <w:color w:val="000000" w:themeColor="text1"/>
          <w:sz w:val="24"/>
          <w:szCs w:val="24"/>
        </w:rPr>
        <w:t>严格按照相关法律法规及上述约定开展信息处理行为并采取安全保护措施</w:t>
      </w:r>
      <w:bookmarkEnd w:id="29"/>
      <w:bookmarkEnd w:id="30"/>
      <w:r>
        <w:rPr>
          <w:rFonts w:ascii="宋体" w:eastAsia="宋体" w:hAnsi="宋体" w:cs="Times New Roman" w:hint="eastAsia"/>
          <w:b/>
          <w:sz w:val="24"/>
          <w:szCs w:val="24"/>
        </w:rPr>
        <w:t>。</w:t>
      </w:r>
      <w:r>
        <w:rPr>
          <w:rFonts w:ascii="宋体" w:eastAsia="宋体" w:hAnsi="宋体" w:cs="Times New Roman" w:hint="eastAsia"/>
          <w:b/>
          <w:bCs/>
          <w:color w:val="000000"/>
          <w:sz w:val="24"/>
          <w:szCs w:val="24"/>
        </w:rPr>
        <w:t>产品管理人及乙方将妥善保管投资者理财产品销售相关资料，保管年限不低于《中华人民共和国反洗钱法》、《理财公司理财产品销售管理暂行办法》等法律法规及监管规定的年限。 超出必要保管期限后，产品管理人、乙方及其他第三方合作机构（如有）将及时删除投资者的档案（包括以电子化形式以及纸质文本形式保管的投资者个人信息）。 如甲方对第三方机构处理甲方的个人信息活动有疑问或要求，</w:t>
      </w:r>
      <w:r>
        <w:rPr>
          <w:rFonts w:ascii="宋体" w:eastAsia="宋体" w:hAnsi="宋体" w:cs="Times New Roman" w:hint="eastAsia"/>
          <w:b/>
          <w:bCs/>
          <w:color w:val="000000"/>
          <w:sz w:val="24"/>
          <w:szCs w:val="24"/>
        </w:rPr>
        <w:t>甲方可以通过《理财产品说明书》、甲方与乙方的相关协议（如有）、第三方机构的官方网站（如有）、第三方机构的官方公众号（如有）等渠道获取相应的联系方式以行使甲方的个人信息权利，或者直接联系产品管理人或乙方。</w:t>
      </w:r>
    </w:p>
    <w:p w:rsidR="0077147C" w14:paraId="034B7153" w14:textId="77777777">
      <w:pPr>
        <w:adjustRightInd w:val="0"/>
        <w:snapToGrid w:val="0"/>
        <w:spacing w:line="312" w:lineRule="auto"/>
        <w:ind w:firstLine="408" w:firstLineChars="170"/>
        <w:jc w:val="left"/>
        <w:rPr>
          <w:rFonts w:ascii="宋体" w:eastAsia="宋体" w:hAnsi="宋体" w:cs="Times New Roman" w:hint="eastAsia"/>
          <w:b/>
          <w:bCs/>
          <w:color w:val="000000"/>
          <w:sz w:val="24"/>
          <w:szCs w:val="24"/>
        </w:rPr>
      </w:pPr>
      <w:r>
        <w:rPr>
          <w:rFonts w:ascii="宋体" w:eastAsia="宋体" w:hAnsi="宋体" w:cs="Times New Roman" w:hint="eastAsia"/>
          <w:b/>
          <w:bCs/>
          <w:color w:val="000000"/>
          <w:sz w:val="24"/>
          <w:szCs w:val="24"/>
        </w:rPr>
        <w:t>（五）乙方通过电子渠道向</w:t>
      </w:r>
      <w:r>
        <w:rPr>
          <w:rFonts w:ascii="宋体" w:eastAsia="宋体" w:hAnsi="宋体" w:cs="Times New Roman" w:hint="eastAsia"/>
          <w:b/>
          <w:bCs/>
          <w:color w:val="000000"/>
          <w:sz w:val="24"/>
          <w:szCs w:val="24"/>
        </w:rPr>
        <w:t>非机构</w:t>
      </w:r>
      <w:r>
        <w:rPr>
          <w:rFonts w:ascii="宋体" w:eastAsia="宋体" w:hAnsi="宋体" w:cs="Times New Roman" w:hint="eastAsia"/>
          <w:b/>
          <w:bCs/>
          <w:color w:val="000000"/>
          <w:sz w:val="24"/>
          <w:szCs w:val="24"/>
        </w:rPr>
        <w:t>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rsidR="0077147C" w14:paraId="004734FA"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第十七条</w:t>
      </w:r>
      <w:r>
        <w:rPr>
          <w:rFonts w:ascii="宋体" w:eastAsia="宋体" w:hAnsi="宋体" w:cs="Times New Roman" w:hint="eastAsia"/>
          <w:sz w:val="24"/>
          <w:szCs w:val="24"/>
        </w:rPr>
        <w:t xml:space="preserve"> </w:t>
      </w:r>
      <w:r>
        <w:rPr>
          <w:rFonts w:ascii="宋体" w:eastAsia="宋体" w:hAnsi="宋体" w:cs="Times New Roman" w:hint="eastAsia"/>
          <w:b/>
          <w:sz w:val="24"/>
          <w:szCs w:val="24"/>
        </w:rPr>
        <w:t>争议处理</w:t>
      </w:r>
    </w:p>
    <w:p w:rsidR="0077147C" w14:paraId="46C81AA9"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本协议适用中华人民共和国法律。本协议履行过程中所发生的一切争议，双方应本着诚实信用的原则友好协商解决。若协商不成，双方均同意选择</w:t>
      </w:r>
      <w:r>
        <w:rPr>
          <w:rFonts w:ascii="宋体" w:eastAsia="宋体" w:hAnsi="宋体" w:cs="Times New Roman" w:hint="eastAsia"/>
          <w:b/>
          <w:sz w:val="24"/>
          <w:szCs w:val="24"/>
        </w:rPr>
        <w:t>如下第</w:t>
      </w:r>
      <w:r>
        <w:rPr>
          <w:rFonts w:ascii="宋体" w:eastAsia="宋体" w:hAnsi="宋体" w:cs="Times New Roman"/>
          <w:b/>
          <w:sz w:val="24"/>
          <w:szCs w:val="24"/>
          <w:u w:val="single"/>
        </w:rPr>
        <w:t xml:space="preserve"> 2 </w:t>
      </w:r>
      <w:r>
        <w:rPr>
          <w:rFonts w:ascii="宋体" w:eastAsia="宋体" w:hAnsi="宋体" w:cs="Times New Roman"/>
          <w:b/>
          <w:sz w:val="24"/>
          <w:szCs w:val="24"/>
        </w:rPr>
        <w:t>种方式解决</w:t>
      </w:r>
      <w:r>
        <w:rPr>
          <w:rFonts w:ascii="宋体" w:eastAsia="宋体" w:hAnsi="宋体" w:cs="Times New Roman" w:hint="eastAsia"/>
          <w:b/>
          <w:sz w:val="24"/>
          <w:szCs w:val="24"/>
        </w:rPr>
        <w:t>：</w:t>
      </w:r>
    </w:p>
    <w:p w:rsidR="0077147C" w14:paraId="05B3ACF2"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1、</w:t>
      </w:r>
      <w:r>
        <w:rPr>
          <w:rFonts w:ascii="宋体" w:eastAsia="宋体" w:hAnsi="宋体" w:cs="Times New Roman" w:hint="eastAsia"/>
          <w:b/>
          <w:sz w:val="24"/>
          <w:szCs w:val="24"/>
        </w:rPr>
        <w:t>提交【/】仲裁委员会仲裁。仲裁应按照该仲裁机构现行有效的仲裁规则进行。仲裁裁决是终局的，对双方均有约束力。</w:t>
      </w:r>
    </w:p>
    <w:p w:rsidR="0077147C" w14:paraId="58FE642E" w14:textId="77777777">
      <w:pPr>
        <w:spacing w:line="360" w:lineRule="auto"/>
        <w:ind w:firstLine="480" w:firstLineChars="200"/>
        <w:rPr>
          <w:rFonts w:ascii="宋体" w:eastAsia="宋体" w:hAnsi="宋体" w:cs="Times New Roman" w:hint="eastAsia"/>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任何一方均有权向被告方所在地或合同履行地有管辖权的人民法院提起诉讼。</w:t>
      </w:r>
    </w:p>
    <w:p w:rsidR="0077147C" w14:paraId="32560F41"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在争议解决期间，若该争议不影响本协议其他条款及其他理财产品</w:t>
      </w:r>
      <w:r>
        <w:rPr>
          <w:rFonts w:ascii="宋体" w:eastAsia="宋体" w:hAnsi="宋体" w:cs="Times New Roman"/>
          <w:b/>
          <w:sz w:val="24"/>
          <w:szCs w:val="24"/>
        </w:rPr>
        <w:t>销售文件</w:t>
      </w:r>
      <w:r>
        <w:rPr>
          <w:rFonts w:ascii="宋体" w:eastAsia="宋体" w:hAnsi="宋体" w:cs="Times New Roman" w:hint="eastAsia"/>
          <w:b/>
          <w:sz w:val="24"/>
          <w:szCs w:val="24"/>
        </w:rPr>
        <w:t>各条款的履行，前述条款应继续履行。因处理争议产生的费用（包括但不限于律师费、诉讼费等），除法院判决</w:t>
      </w:r>
      <w:r>
        <w:rPr>
          <w:rFonts w:ascii="宋体" w:eastAsia="宋体" w:hAnsi="宋体" w:cs="Times New Roman"/>
          <w:b/>
          <w:sz w:val="24"/>
          <w:szCs w:val="24"/>
        </w:rPr>
        <w:t>/裁定另有规定，</w:t>
      </w:r>
      <w:r>
        <w:rPr>
          <w:rFonts w:ascii="宋体" w:eastAsia="宋体" w:hAnsi="宋体" w:cs="Times New Roman" w:hint="eastAsia"/>
          <w:b/>
          <w:sz w:val="24"/>
          <w:szCs w:val="24"/>
        </w:rPr>
        <w:t>由败诉方承担。</w:t>
      </w:r>
    </w:p>
    <w:p w:rsidR="0077147C" w14:paraId="2A940296"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bCs/>
          <w:sz w:val="24"/>
          <w:szCs w:val="24"/>
        </w:rPr>
        <w:t>第十八条</w:t>
      </w:r>
      <w:r>
        <w:rPr>
          <w:rFonts w:ascii="宋体" w:eastAsia="宋体" w:hAnsi="宋体" w:cs="Times New Roman" w:hint="eastAsia"/>
          <w:b/>
          <w:sz w:val="24"/>
          <w:szCs w:val="24"/>
        </w:rPr>
        <w:t xml:space="preserve"> 协议的生效</w:t>
      </w:r>
    </w:p>
    <w:p w:rsidR="0077147C" w14:paraId="0B340365"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sz w:val="24"/>
          <w:szCs w:val="24"/>
        </w:rPr>
        <w:t>甲方通过乙方营业网点购买本理财产品，本协议于甲方签署（甲方为自然人的，应签字；甲方为机构的，应加盖公章（或经公章授权的其他有效印鉴），并由其法定代表人（负责人）或授权代理人签字/签章；甲方为资产管理产品的，应加盖甲方产品管理人公章（或经公章授权的其他有效印鉴），并由甲方产品管理人的法定代表人（负责人）或授权代理人签字/签章）且产品管理人确认甲方成功认（申）购并收到甲方缴付的全部投资款项之日起生效。</w:t>
      </w:r>
    </w:p>
    <w:p w:rsidR="0077147C" w14:paraId="6572F76E" w14:textId="77777777">
      <w:pPr>
        <w:widowControl/>
        <w:spacing w:line="312" w:lineRule="auto"/>
        <w:ind w:firstLine="422"/>
        <w:jc w:val="left"/>
        <w:rPr>
          <w:rFonts w:ascii="宋体" w:eastAsia="宋体" w:hAnsi="宋体" w:cs="Times New Roman" w:hint="eastAsia"/>
          <w:sz w:val="24"/>
          <w:szCs w:val="24"/>
        </w:rPr>
      </w:pPr>
      <w:r>
        <w:rPr>
          <w:rFonts w:ascii="宋体" w:eastAsia="宋体" w:hAnsi="宋体" w:cs="Times New Roman" w:hint="eastAsia"/>
          <w:sz w:val="24"/>
          <w:szCs w:val="24"/>
        </w:rPr>
        <w:t>甲方通过乙方网上银行、手机银行等线</w:t>
      </w:r>
      <w:r>
        <w:rPr>
          <w:rFonts w:ascii="宋体" w:eastAsia="宋体" w:hAnsi="宋体" w:cs="Times New Roman" w:hint="eastAsia"/>
          <w:sz w:val="24"/>
          <w:szCs w:val="24"/>
        </w:rPr>
        <w:t>上渠道</w:t>
      </w:r>
      <w:r>
        <w:rPr>
          <w:rFonts w:ascii="宋体" w:eastAsia="宋体" w:hAnsi="宋体" w:cs="Times New Roman" w:hint="eastAsia"/>
          <w:sz w:val="24"/>
          <w:szCs w:val="24"/>
        </w:rPr>
        <w:t>购买理财产品，本协议经甲方点击同意本协议且产品管理人确认甲方成功认（申）购并收到甲方缴付的全部投资款项之日起生效。双方认可线上点击同意具有与书面签署同等的法律效力。</w:t>
      </w:r>
    </w:p>
    <w:p w:rsidR="0077147C" w14:paraId="068B2A94" w14:textId="70CB6134">
      <w:pPr>
        <w:widowControl/>
        <w:spacing w:line="312" w:lineRule="auto"/>
        <w:ind w:firstLine="422"/>
        <w:jc w:val="left"/>
        <w:rPr>
          <w:rFonts w:ascii="微软雅黑" w:eastAsia="微软雅黑" w:hAnsi="微软雅黑" w:cs="宋体" w:hint="eastAsia"/>
          <w:b/>
          <w:color w:val="666666"/>
          <w:kern w:val="0"/>
          <w:szCs w:val="21"/>
        </w:rPr>
      </w:pPr>
      <w:r>
        <w:rPr>
          <w:rFonts w:ascii="宋体" w:eastAsia="宋体" w:hAnsi="宋体" w:cs="Times New Roman" w:hint="eastAsia"/>
          <w:b/>
          <w:sz w:val="24"/>
          <w:szCs w:val="24"/>
        </w:rPr>
        <w:t>如甲方对所购买的产品或服务有任何疑问、意见或建议，可通过拨打乙方</w:t>
      </w:r>
      <w:r>
        <w:rPr>
          <w:rFonts w:ascii="宋体" w:eastAsia="宋体" w:hAnsi="宋体" w:cs="Times New Roman"/>
          <w:b/>
          <w:sz w:val="24"/>
          <w:szCs w:val="24"/>
        </w:rPr>
        <w:t>客户服务与投诉热线</w:t>
      </w:r>
      <w:r>
        <w:rPr>
          <w:rFonts w:ascii="宋体" w:eastAsia="宋体" w:hAnsi="宋体" w:cs="Times New Roman" w:hint="eastAsia"/>
          <w:b/>
          <w:sz w:val="24"/>
          <w:szCs w:val="24"/>
        </w:rPr>
        <w:t>（</w:t>
      </w:r>
      <w:r w:rsidRPr="00322831" w:rsidR="00322831">
        <w:rPr>
          <w:rFonts w:ascii="宋体" w:eastAsia="宋体" w:hAnsi="宋体" w:cs="Times New Roman"/>
          <w:b/>
          <w:sz w:val="24"/>
          <w:szCs w:val="24"/>
        </w:rPr>
        <w:t>0317-96328</w:t>
      </w:r>
      <w:r>
        <w:rPr>
          <w:rFonts w:ascii="宋体" w:eastAsia="宋体" w:hAnsi="宋体" w:cs="Times New Roman" w:hint="eastAsia"/>
          <w:b/>
          <w:sz w:val="24"/>
          <w:szCs w:val="24"/>
        </w:rPr>
        <w:t>）</w:t>
      </w:r>
      <w:r>
        <w:rPr>
          <w:rFonts w:ascii="宋体" w:eastAsia="宋体" w:hAnsi="宋体" w:cs="Times New Roman"/>
          <w:b/>
          <w:sz w:val="24"/>
          <w:szCs w:val="24"/>
        </w:rPr>
        <w:t>咨询与反映。</w:t>
      </w:r>
    </w:p>
    <w:p w:rsidR="0077147C" w14:paraId="23ED2DA9"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通过</w:t>
      </w:r>
      <w:r>
        <w:rPr>
          <w:rFonts w:ascii="宋体" w:eastAsia="宋体" w:hAnsi="宋体" w:cs="Times New Roman"/>
          <w:b/>
          <w:sz w:val="24"/>
          <w:szCs w:val="24"/>
        </w:rPr>
        <w:t>线</w:t>
      </w:r>
      <w:r>
        <w:rPr>
          <w:rFonts w:ascii="宋体" w:eastAsia="宋体" w:hAnsi="宋体" w:cs="Times New Roman"/>
          <w:b/>
          <w:sz w:val="24"/>
          <w:szCs w:val="24"/>
        </w:rPr>
        <w:t>上渠道认</w:t>
      </w:r>
      <w:r>
        <w:rPr>
          <w:rFonts w:ascii="宋体" w:eastAsia="宋体" w:hAnsi="宋体" w:cs="Times New Roman" w:hint="eastAsia"/>
          <w:b/>
          <w:sz w:val="24"/>
          <w:szCs w:val="24"/>
        </w:rPr>
        <w:t>（申）</w:t>
      </w:r>
      <w:r>
        <w:rPr>
          <w:rFonts w:ascii="宋体" w:eastAsia="宋体" w:hAnsi="宋体" w:cs="Times New Roman"/>
          <w:b/>
          <w:sz w:val="24"/>
          <w:szCs w:val="24"/>
        </w:rPr>
        <w:t>购时，</w:t>
      </w:r>
      <w:r>
        <w:rPr>
          <w:rFonts w:ascii="宋体" w:eastAsia="宋体" w:hAnsi="宋体" w:cs="Times New Roman" w:hint="eastAsia"/>
          <w:b/>
          <w:sz w:val="24"/>
          <w:szCs w:val="24"/>
        </w:rPr>
        <w:t>甲方</w:t>
      </w:r>
      <w:r>
        <w:rPr>
          <w:rFonts w:ascii="宋体" w:eastAsia="宋体" w:hAnsi="宋体" w:cs="Times New Roman"/>
          <w:b/>
          <w:sz w:val="24"/>
          <w:szCs w:val="24"/>
        </w:rPr>
        <w:t>使用的</w:t>
      </w:r>
      <w:r>
        <w:rPr>
          <w:rFonts w:ascii="宋体" w:eastAsia="宋体" w:hAnsi="宋体" w:cs="Times New Roman" w:hint="eastAsia"/>
          <w:b/>
          <w:sz w:val="24"/>
          <w:szCs w:val="24"/>
        </w:rPr>
        <w:t>身份</w:t>
      </w:r>
      <w:r>
        <w:rPr>
          <w:rFonts w:ascii="宋体" w:eastAsia="宋体" w:hAnsi="宋体" w:cs="Times New Roman"/>
          <w:b/>
          <w:sz w:val="24"/>
          <w:szCs w:val="24"/>
        </w:rPr>
        <w:t>认证要素（</w:t>
      </w:r>
      <w:r>
        <w:rPr>
          <w:rFonts w:ascii="宋体" w:eastAsia="宋体" w:hAnsi="宋体" w:cs="Times New Roman" w:hint="eastAsia"/>
          <w:b/>
          <w:sz w:val="24"/>
          <w:szCs w:val="24"/>
        </w:rPr>
        <w:t>包括</w:t>
      </w:r>
      <w:r>
        <w:rPr>
          <w:rFonts w:ascii="宋体" w:eastAsia="宋体" w:hAnsi="宋体" w:cs="Times New Roman"/>
          <w:b/>
          <w:sz w:val="24"/>
          <w:szCs w:val="24"/>
        </w:rPr>
        <w:t>但不限于账号、</w:t>
      </w:r>
      <w:r>
        <w:rPr>
          <w:rFonts w:ascii="宋体" w:eastAsia="宋体" w:hAnsi="宋体" w:cs="Times New Roman" w:hint="eastAsia"/>
          <w:b/>
          <w:sz w:val="24"/>
          <w:szCs w:val="24"/>
        </w:rPr>
        <w:t>网银</w:t>
      </w:r>
      <w:r>
        <w:rPr>
          <w:rFonts w:ascii="宋体" w:eastAsia="宋体" w:hAnsi="宋体" w:cs="Times New Roman"/>
          <w:b/>
          <w:sz w:val="24"/>
          <w:szCs w:val="24"/>
        </w:rPr>
        <w:t>登录</w:t>
      </w:r>
      <w:r>
        <w:rPr>
          <w:rFonts w:ascii="宋体" w:eastAsia="宋体" w:hAnsi="宋体" w:cs="Times New Roman"/>
          <w:b/>
          <w:sz w:val="24"/>
          <w:szCs w:val="24"/>
        </w:rPr>
        <w:t>名、证件号码、手机号码、密码、数字证书、</w:t>
      </w:r>
      <w:r>
        <w:rPr>
          <w:rFonts w:ascii="宋体" w:eastAsia="宋体" w:hAnsi="宋体" w:cs="Times New Roman" w:hint="eastAsia"/>
          <w:b/>
          <w:sz w:val="24"/>
          <w:szCs w:val="24"/>
        </w:rPr>
        <w:t>USBK</w:t>
      </w:r>
      <w:r>
        <w:rPr>
          <w:rFonts w:ascii="宋体" w:eastAsia="宋体" w:hAnsi="宋体" w:cs="Times New Roman"/>
          <w:b/>
          <w:sz w:val="24"/>
          <w:szCs w:val="24"/>
        </w:rPr>
        <w:t>ey</w:t>
      </w:r>
      <w:r>
        <w:rPr>
          <w:rFonts w:ascii="宋体" w:eastAsia="宋体" w:hAnsi="宋体" w:cs="Times New Roman"/>
          <w:b/>
          <w:sz w:val="24"/>
          <w:szCs w:val="24"/>
        </w:rPr>
        <w:t>、动态密码等）</w:t>
      </w:r>
      <w:r>
        <w:rPr>
          <w:rFonts w:ascii="宋体" w:eastAsia="宋体" w:hAnsi="宋体" w:cs="Times New Roman" w:hint="eastAsia"/>
          <w:b/>
          <w:sz w:val="24"/>
          <w:szCs w:val="24"/>
        </w:rPr>
        <w:t>或</w:t>
      </w:r>
      <w:r>
        <w:rPr>
          <w:rFonts w:ascii="宋体" w:eastAsia="宋体" w:hAnsi="宋体" w:cs="Times New Roman"/>
          <w:b/>
          <w:sz w:val="24"/>
          <w:szCs w:val="24"/>
        </w:rPr>
        <w:t>其他</w:t>
      </w:r>
      <w:r>
        <w:rPr>
          <w:rFonts w:ascii="宋体" w:eastAsia="宋体" w:hAnsi="宋体" w:cs="Times New Roman" w:hint="eastAsia"/>
          <w:b/>
          <w:sz w:val="24"/>
          <w:szCs w:val="24"/>
        </w:rPr>
        <w:t>交易</w:t>
      </w:r>
      <w:r>
        <w:rPr>
          <w:rFonts w:ascii="宋体" w:eastAsia="宋体" w:hAnsi="宋体" w:cs="Times New Roman"/>
          <w:b/>
          <w:sz w:val="24"/>
          <w:szCs w:val="24"/>
        </w:rPr>
        <w:t>安全措施所完成的一切交易操作均视为甲方所</w:t>
      </w:r>
      <w:r>
        <w:rPr>
          <w:rFonts w:ascii="宋体" w:eastAsia="宋体" w:hAnsi="宋体" w:cs="Times New Roman" w:hint="eastAsia"/>
          <w:b/>
          <w:sz w:val="24"/>
          <w:szCs w:val="24"/>
        </w:rPr>
        <w:t>为</w:t>
      </w:r>
      <w:r>
        <w:rPr>
          <w:rFonts w:ascii="宋体" w:eastAsia="宋体" w:hAnsi="宋体" w:cs="Times New Roman"/>
          <w:b/>
          <w:sz w:val="24"/>
          <w:szCs w:val="24"/>
        </w:rPr>
        <w:t>，上述操作所产生的业务指令均为处理业务的合法有效凭证，</w:t>
      </w:r>
      <w:r>
        <w:rPr>
          <w:rFonts w:ascii="宋体" w:eastAsia="宋体" w:hAnsi="宋体" w:cs="Times New Roman" w:hint="eastAsia"/>
          <w:b/>
          <w:sz w:val="24"/>
          <w:szCs w:val="24"/>
        </w:rPr>
        <w:t>与</w:t>
      </w:r>
      <w:r>
        <w:rPr>
          <w:rFonts w:ascii="宋体" w:eastAsia="宋体" w:hAnsi="宋体" w:cs="Times New Roman"/>
          <w:b/>
          <w:sz w:val="24"/>
          <w:szCs w:val="24"/>
        </w:rPr>
        <w:t>在纸质合同上手写签名或盖章具有同等法律效力，双方无需另行签署纸质合同，甲方应对此</w:t>
      </w:r>
      <w:r>
        <w:rPr>
          <w:rFonts w:ascii="宋体" w:eastAsia="宋体" w:hAnsi="宋体" w:cs="Times New Roman" w:hint="eastAsia"/>
          <w:b/>
          <w:sz w:val="24"/>
          <w:szCs w:val="24"/>
        </w:rPr>
        <w:t>产生</w:t>
      </w:r>
      <w:r>
        <w:rPr>
          <w:rFonts w:ascii="宋体" w:eastAsia="宋体" w:hAnsi="宋体" w:cs="Times New Roman"/>
          <w:b/>
          <w:sz w:val="24"/>
          <w:szCs w:val="24"/>
        </w:rPr>
        <w:t>的后果负责。</w:t>
      </w:r>
      <w:r>
        <w:rPr>
          <w:rFonts w:ascii="宋体" w:eastAsia="宋体" w:hAnsi="宋体" w:cs="Times New Roman" w:hint="eastAsia"/>
          <w:b/>
          <w:sz w:val="24"/>
          <w:szCs w:val="24"/>
        </w:rPr>
        <w:t>甲方同意不因</w:t>
      </w:r>
      <w:r>
        <w:rPr>
          <w:rFonts w:ascii="宋体" w:eastAsia="宋体" w:hAnsi="宋体" w:cs="Times New Roman"/>
          <w:b/>
          <w:sz w:val="24"/>
          <w:szCs w:val="24"/>
        </w:rPr>
        <w:t>电子合同单方保存在乙方系统而提出异议。</w:t>
      </w:r>
    </w:p>
    <w:p w:rsidR="0077147C" w14:paraId="0BEF8DF6" w14:textId="77777777">
      <w:pPr>
        <w:adjustRightInd w:val="0"/>
        <w:snapToGrid w:val="0"/>
        <w:spacing w:line="312" w:lineRule="auto"/>
        <w:ind w:firstLine="480" w:firstLineChars="200"/>
        <w:rPr>
          <w:rFonts w:ascii="宋体" w:eastAsia="宋体" w:hAnsi="宋体" w:cs="Times New Roman" w:hint="eastAsia"/>
          <w:b/>
          <w:sz w:val="24"/>
          <w:szCs w:val="24"/>
        </w:rPr>
      </w:pPr>
      <w:r>
        <w:rPr>
          <w:rFonts w:ascii="宋体" w:eastAsia="宋体" w:hAnsi="宋体" w:cs="Times New Roman" w:hint="eastAsia"/>
          <w:b/>
          <w:sz w:val="24"/>
          <w:szCs w:val="24"/>
        </w:rPr>
        <w:t>双方一致同意本协议履行地为</w:t>
      </w:r>
      <w:r>
        <w:rPr>
          <w:rFonts w:ascii="宋体" w:eastAsia="宋体" w:hAnsi="宋体" w:cs="Times New Roman" w:hint="eastAsia"/>
          <w:b/>
          <w:sz w:val="24"/>
          <w:szCs w:val="24"/>
          <w:u w:val="single"/>
        </w:rPr>
        <w:t xml:space="preserve">             </w:t>
      </w:r>
      <w:r>
        <w:rPr>
          <w:rFonts w:ascii="宋体" w:eastAsia="宋体" w:hAnsi="宋体" w:cs="Times New Roman" w:hint="eastAsia"/>
          <w:b/>
          <w:sz w:val="24"/>
          <w:szCs w:val="24"/>
        </w:rPr>
        <w:t>。</w:t>
      </w:r>
    </w:p>
    <w:p w:rsidR="0077147C" w14:paraId="5CFD6138"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bCs/>
          <w:sz w:val="24"/>
          <w:szCs w:val="24"/>
        </w:rPr>
        <w:t xml:space="preserve">第十九条 </w:t>
      </w:r>
      <w:r>
        <w:rPr>
          <w:rFonts w:ascii="宋体" w:eastAsia="宋体" w:hAnsi="宋体" w:cs="Times New Roman" w:hint="eastAsia"/>
          <w:b/>
          <w:sz w:val="24"/>
          <w:szCs w:val="24"/>
        </w:rPr>
        <w:t>本协议与本理财产品的《理财产品说明书》、《投资协议书》、《风险揭示书》、《投资者权益须知》等理财产品销售文件共同构成一份完整且不可分割的、关于甲方所投资本理财产品</w:t>
      </w:r>
      <w:r>
        <w:rPr>
          <w:rFonts w:ascii="宋体" w:eastAsia="宋体" w:hAnsi="宋体" w:cs="Times New Roman" w:hint="eastAsia"/>
          <w:b/>
          <w:sz w:val="24"/>
          <w:szCs w:val="24"/>
        </w:rPr>
        <w:t>的全部协议。本协议与《理财产品说明书》不一致的，以《理财产品说明书》为准。如果因任何原因使本协议项下的任何条款或内容无效或被依法撤销，本协议其他条款或内容的合法性、有效性和</w:t>
      </w:r>
      <w:r>
        <w:rPr>
          <w:rFonts w:ascii="宋体" w:eastAsia="宋体" w:hAnsi="宋体" w:cs="Times New Roman" w:hint="eastAsia"/>
          <w:b/>
          <w:sz w:val="24"/>
          <w:szCs w:val="24"/>
        </w:rPr>
        <w:t>可</w:t>
      </w:r>
      <w:r>
        <w:rPr>
          <w:rFonts w:ascii="宋体" w:eastAsia="宋体" w:hAnsi="宋体" w:cs="Times New Roman" w:hint="eastAsia"/>
          <w:b/>
          <w:sz w:val="24"/>
          <w:szCs w:val="24"/>
        </w:rPr>
        <w:t>执行性不受影响。</w:t>
      </w:r>
    </w:p>
    <w:p w:rsidR="0077147C" w14:paraId="7F877D5A" w14:textId="77777777">
      <w:pPr>
        <w:adjustRightInd w:val="0"/>
        <w:snapToGrid w:val="0"/>
        <w:spacing w:line="312" w:lineRule="auto"/>
        <w:rPr>
          <w:rFonts w:ascii="宋体" w:eastAsia="宋体" w:hAnsi="宋体" w:cs="Times New Roman" w:hint="eastAsia"/>
          <w:bCs/>
          <w:sz w:val="24"/>
          <w:szCs w:val="24"/>
        </w:rPr>
      </w:pPr>
    </w:p>
    <w:p w:rsidR="0077147C" w14:paraId="0BE0E800" w14:textId="77777777">
      <w:pPr>
        <w:adjustRightInd w:val="0"/>
        <w:snapToGrid w:val="0"/>
        <w:spacing w:line="312" w:lineRule="auto"/>
        <w:ind w:firstLine="480" w:firstLineChars="200"/>
        <w:rPr>
          <w:rFonts w:ascii="宋体" w:eastAsia="宋体" w:hAnsi="宋体" w:cs="Times New Roman" w:hint="eastAsia"/>
          <w:sz w:val="24"/>
          <w:szCs w:val="24"/>
        </w:rPr>
      </w:pPr>
      <w:r>
        <w:rPr>
          <w:rFonts w:ascii="宋体" w:eastAsia="宋体" w:hAnsi="宋体" w:cs="Times New Roman" w:hint="eastAsia"/>
          <w:b/>
          <w:sz w:val="24"/>
          <w:szCs w:val="24"/>
        </w:rPr>
        <w:t>声明：甲方承诺已经全面理解本协议与本理财产品的《理财产品说明书》、《风险揭示书》、《投资协议书》、《投资者权益须知》等理财产品销售文件的全部条款，充分认识到投资本产品需要承担的风险，并对认（申）</w:t>
      </w:r>
      <w:r>
        <w:rPr>
          <w:rFonts w:ascii="宋体" w:eastAsia="宋体" w:hAnsi="宋体" w:cs="Times New Roman" w:hint="eastAsia"/>
          <w:b/>
          <w:sz w:val="24"/>
          <w:szCs w:val="24"/>
        </w:rPr>
        <w:t>购金额</w:t>
      </w:r>
      <w:r>
        <w:rPr>
          <w:rFonts w:ascii="宋体" w:eastAsia="宋体" w:hAnsi="宋体" w:cs="Times New Roman" w:hint="eastAsia"/>
          <w:b/>
          <w:sz w:val="24"/>
          <w:szCs w:val="24"/>
        </w:rPr>
        <w:t>予以确认。甲方在此不可撤销地授权乙方按本协议与本理财产品的《理财产品说明书》约定进行划款，无需乙方在划款时另行以电话、传真或其它任何方式与甲方进行最后确认。甲方保证所提供的资料真实、有效，并自愿履行本协议的各项义务，自行承担投资风险，特此确认。</w:t>
      </w:r>
    </w:p>
    <w:p w:rsidR="0077147C" w14:paraId="4E30F6AE" w14:textId="77777777">
      <w:pPr>
        <w:spacing w:line="312" w:lineRule="auto"/>
        <w:ind w:left="63" w:leftChars="30"/>
        <w:jc w:val="left"/>
        <w:rPr>
          <w:rFonts w:ascii="宋体" w:eastAsia="宋体" w:hAnsi="宋体" w:cs="宋体" w:hint="eastAsia"/>
          <w:b/>
          <w:bCs/>
          <w:kern w:val="0"/>
          <w:sz w:val="24"/>
          <w:szCs w:val="24"/>
        </w:rPr>
      </w:pPr>
    </w:p>
    <w:p w:rsidR="0077147C" w14:paraId="34309E7E" w14:textId="77777777">
      <w:pPr>
        <w:spacing w:line="312"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（自然人签署适用）</w:t>
      </w:r>
    </w:p>
    <w:p w:rsidR="0077147C" w14:paraId="47745145" w14:textId="77777777">
      <w:pPr>
        <w:spacing w:line="312"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甲方签字   ____________</w:t>
      </w:r>
    </w:p>
    <w:p w:rsidR="0077147C" w14:paraId="545E98A9" w14:textId="77777777">
      <w:pPr>
        <w:spacing w:line="312" w:lineRule="auto"/>
        <w:ind w:left="63" w:leftChars="30"/>
        <w:jc w:val="left"/>
        <w:rPr>
          <w:rFonts w:ascii="宋体" w:eastAsia="宋体" w:hAnsi="宋体" w:cs="宋体" w:hint="eastAsia"/>
          <w:b/>
          <w:bCs/>
          <w:kern w:val="0"/>
          <w:sz w:val="24"/>
          <w:szCs w:val="24"/>
        </w:rPr>
      </w:pPr>
    </w:p>
    <w:p w:rsidR="0077147C" w14:paraId="4C136801" w14:textId="77777777">
      <w:pPr>
        <w:spacing w:line="312"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w:t>
      </w:r>
      <w:r>
        <w:rPr>
          <w:rFonts w:ascii="宋体" w:eastAsia="宋体" w:hAnsi="宋体" w:cs="宋体"/>
          <w:b/>
          <w:bCs/>
          <w:kern w:val="0"/>
          <w:sz w:val="24"/>
          <w:szCs w:val="24"/>
        </w:rPr>
        <w:t>机构投资者</w:t>
      </w:r>
      <w:r>
        <w:rPr>
          <w:rFonts w:ascii="宋体" w:eastAsia="宋体" w:hAnsi="宋体" w:cs="宋体" w:hint="eastAsia"/>
          <w:b/>
          <w:bCs/>
          <w:kern w:val="0"/>
          <w:sz w:val="24"/>
          <w:szCs w:val="24"/>
        </w:rPr>
        <w:t>签署适用</w:t>
      </w:r>
      <w:r>
        <w:rPr>
          <w:rFonts w:ascii="宋体" w:eastAsia="宋体" w:hAnsi="宋体" w:cs="宋体"/>
          <w:b/>
          <w:bCs/>
          <w:kern w:val="0"/>
          <w:sz w:val="24"/>
          <w:szCs w:val="24"/>
        </w:rPr>
        <w:t>）</w:t>
      </w:r>
    </w:p>
    <w:p w:rsidR="0077147C" w14:paraId="0DB695E5" w14:textId="77777777">
      <w:pPr>
        <w:spacing w:line="360"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公章（或经公章授权的其他有效印鉴）：</w:t>
      </w:r>
    </w:p>
    <w:p w:rsidR="0077147C" w14:paraId="18FB08AA" w14:textId="77777777">
      <w:pPr>
        <w:spacing w:line="360" w:lineRule="auto"/>
        <w:ind w:left="63" w:leftChars="30"/>
        <w:jc w:val="left"/>
        <w:rPr>
          <w:rFonts w:ascii="宋体" w:eastAsia="宋体" w:hAnsi="宋体" w:cs="宋体" w:hint="eastAsia"/>
          <w:b/>
          <w:bCs/>
          <w:kern w:val="0"/>
          <w:sz w:val="24"/>
          <w:szCs w:val="24"/>
        </w:rPr>
      </w:pPr>
      <w:r>
        <w:rPr>
          <w:rFonts w:ascii="宋体" w:eastAsia="宋体" w:hAnsi="宋体" w:cs="宋体" w:hint="eastAsia"/>
          <w:b/>
          <w:bCs/>
          <w:kern w:val="0"/>
          <w:sz w:val="24"/>
          <w:szCs w:val="24"/>
        </w:rPr>
        <w:t>法定代表人（负责人）或授权代理人签字/签章：</w:t>
      </w:r>
    </w:p>
    <w:p w:rsidR="0077147C" w14:paraId="1F89DBB0" w14:textId="77777777">
      <w:pPr>
        <w:spacing w:line="312" w:lineRule="auto"/>
        <w:ind w:left="63" w:leftChars="30"/>
        <w:jc w:val="left"/>
        <w:rPr>
          <w:rFonts w:ascii="宋体" w:eastAsia="宋体" w:hAnsi="宋体" w:cs="宋体" w:hint="eastAsia"/>
          <w:b/>
          <w:bCs/>
          <w:kern w:val="0"/>
          <w:sz w:val="24"/>
          <w:szCs w:val="24"/>
        </w:rPr>
      </w:pPr>
    </w:p>
    <w:p w:rsidR="0077147C" w14:paraId="06BDA2F1" w14:textId="77777777">
      <w:pPr>
        <w:spacing w:line="312" w:lineRule="auto"/>
        <w:ind w:left="63" w:leftChars="30"/>
        <w:jc w:val="left"/>
        <w:rPr>
          <w:rFonts w:ascii="宋体" w:eastAsia="宋体" w:hAnsi="宋体" w:cs="Times New Roman" w:hint="eastAsia"/>
          <w:sz w:val="24"/>
          <w:szCs w:val="24"/>
        </w:rPr>
      </w:pPr>
      <w:r>
        <w:rPr>
          <w:rFonts w:ascii="宋体" w:eastAsia="宋体" w:hAnsi="宋体" w:cs="宋体" w:hint="eastAsia"/>
          <w:b/>
          <w:bCs/>
          <w:kern w:val="0"/>
          <w:sz w:val="24"/>
          <w:szCs w:val="24"/>
        </w:rPr>
        <w:t>日期         ____________</w:t>
      </w:r>
    </w:p>
    <w:sectPr>
      <w:footerReference w:type="even" r:id="rId8"/>
      <w:footerReference w:type="default" r:id="rId9"/>
      <w:pgSz w:w="11906" w:h="16838"/>
      <w:pgMar w:top="1418" w:right="926" w:bottom="680" w:left="900" w:header="851" w:footer="119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fixed"/>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仿宋_GB2312">
    <w:altName w:val="仿宋"/>
    <w:panose1 w:val="02010609030101010101"/>
    <w:charset w:val="86"/>
    <w:family w:val="modern"/>
    <w:pitch w:val="fixed"/>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ËÎÌå">
    <w:altName w:val="Arial"/>
    <w:panose1 w:val="00000000000000000000"/>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3390607"/>
      <w:richText/>
    </w:sdtPr>
    <w:sdtEndPr>
      <w:rPr>
        <w:rFonts w:ascii="Times New Roman" w:hAnsi="Times New Roman" w:cs="Times New Roman"/>
      </w:rPr>
    </w:sdtEndPr>
    <w:sdtContent>
      <w:p w:rsidR="00156F5C" w14:paraId="29A4E1F6" w14:textId="3E19B4D9">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F244CE" w:rsidR="00F244CE">
          <w:rPr>
            <w:rFonts w:ascii="Times New Roman" w:hAnsi="Times New Roman" w:cs="Times New Roman"/>
            <w:noProof/>
            <w:lang w:val="zh-CN"/>
          </w:rPr>
          <w:t>-</w:t>
        </w:r>
        <w:r w:rsidR="00F244CE">
          <w:rPr>
            <w:rFonts w:ascii="Times New Roman" w:hAnsi="Times New Roman" w:cs="Times New Roman"/>
            <w:noProof/>
          </w:rPr>
          <w:t xml:space="preserve"> 10 -</w:t>
        </w:r>
        <w:r>
          <w:rPr>
            <w:rFonts w:ascii="Times New Roman" w:hAnsi="Times New Roman" w:cs="Times New Roman"/>
          </w:rPr>
          <w:fldChar w:fldCharType="end"/>
        </w:r>
      </w:p>
    </w:sdtContent>
  </w:sdt>
  <w:p w:rsidR="00156F5C" w14:paraId="357D70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7052479"/>
      <w:richText/>
    </w:sdtPr>
    <w:sdtEndPr>
      <w:rPr>
        <w:rFonts w:ascii="Times New Roman" w:hAnsi="Times New Roman" w:cs="Times New Roman"/>
      </w:rPr>
    </w:sdtEndPr>
    <w:sdtContent>
      <w:p w:rsidR="00CD2B94">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B871D7" w:rsidR="00B871D7">
          <w:rPr>
            <w:rFonts w:ascii="Times New Roman" w:hAnsi="Times New Roman" w:cs="Times New Roman"/>
            <w:noProof/>
            <w:lang w:val="zh-CN"/>
          </w:rPr>
          <w:t>5</w:t>
        </w:r>
        <w:r>
          <w:rPr>
            <w:rFonts w:ascii="Times New Roman" w:hAnsi="Times New Roman" w:cs="Times New Roman"/>
          </w:rPr>
          <w:fldChar w:fldCharType="end"/>
        </w:r>
      </w:p>
    </w:sdtContent>
  </w:sdt>
  <w:p w:rsidR="00CD2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7529895"/>
      <w:richText/>
    </w:sdtPr>
    <w:sdtContent>
      <w:p w:rsidR="00D41301" w14:paraId="21611ECD" w14:textId="6A482C35">
        <w:pPr>
          <w:pStyle w:val="Footer"/>
          <w:jc w:val="center"/>
        </w:pPr>
        <w:r>
          <w:fldChar w:fldCharType="begin"/>
        </w:r>
        <w:r>
          <w:instrText>PAGE   \* MERGEFORMAT</w:instrText>
        </w:r>
        <w:r>
          <w:fldChar w:fldCharType="separate"/>
        </w:r>
        <w:r w:rsidRPr="00A34D91" w:rsidR="00A34D91">
          <w:rPr>
            <w:noProof/>
            <w:lang w:val="zh-CN"/>
          </w:rPr>
          <w:t>-</w:t>
        </w:r>
        <w:r w:rsidR="00A34D91">
          <w:rPr>
            <w:noProof/>
          </w:rPr>
          <w:t xml:space="preserve"> 1 -</w:t>
        </w:r>
        <w:r>
          <w:fldChar w:fldCharType="end"/>
        </w:r>
      </w:p>
    </w:sdtContent>
  </w:sdt>
  <w:p w:rsidR="00D41301" w14:paraId="25E7729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47C" w14:paraId="0EE774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7147C" w14:paraId="605F895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147C" w14:paraId="4C2FE84C" w14:textId="310320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1ED4">
      <w:rPr>
        <w:rStyle w:val="PageNumber"/>
        <w:noProof/>
      </w:rPr>
      <w:t>1</w:t>
    </w:r>
    <w:r>
      <w:rPr>
        <w:rStyle w:val="PageNumber"/>
      </w:rPr>
      <w:fldChar w:fldCharType="end"/>
    </w:r>
  </w:p>
  <w:p w:rsidR="0077147C" w14:paraId="64EF7A3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C2256"/>
    <w:multiLevelType w:val="multilevel"/>
    <w:tmpl w:val="051C2256"/>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E0725BE"/>
    <w:multiLevelType w:val="multilevel"/>
    <w:tmpl w:val="1E0725BE"/>
    <w:lvl w:ilvl="0">
      <w:start w:val="1"/>
      <w:numFmt w:val="japaneseCounting"/>
      <w:lvlText w:val="（%1）"/>
      <w:lvlJc w:val="left"/>
      <w:pPr>
        <w:ind w:left="1247" w:hanging="76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6AC5501D"/>
    <w:multiLevelType w:val="multilevel"/>
    <w:tmpl w:val="6AC5501D"/>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C6"/>
    <w:rsid w:val="000012E3"/>
    <w:rsid w:val="0000176B"/>
    <w:rsid w:val="00001BF7"/>
    <w:rsid w:val="000025FA"/>
    <w:rsid w:val="00003AA1"/>
    <w:rsid w:val="00003EBD"/>
    <w:rsid w:val="00003FA6"/>
    <w:rsid w:val="0000412A"/>
    <w:rsid w:val="0000451F"/>
    <w:rsid w:val="00011561"/>
    <w:rsid w:val="000121F6"/>
    <w:rsid w:val="000174F6"/>
    <w:rsid w:val="00017722"/>
    <w:rsid w:val="000215EB"/>
    <w:rsid w:val="00026DD6"/>
    <w:rsid w:val="0002749C"/>
    <w:rsid w:val="00031538"/>
    <w:rsid w:val="00031B5B"/>
    <w:rsid w:val="00033480"/>
    <w:rsid w:val="00034C41"/>
    <w:rsid w:val="000378C2"/>
    <w:rsid w:val="000409FC"/>
    <w:rsid w:val="0004156C"/>
    <w:rsid w:val="000416B9"/>
    <w:rsid w:val="000445A6"/>
    <w:rsid w:val="00044F8E"/>
    <w:rsid w:val="00047C5B"/>
    <w:rsid w:val="00050371"/>
    <w:rsid w:val="000507E2"/>
    <w:rsid w:val="00050ECB"/>
    <w:rsid w:val="00051840"/>
    <w:rsid w:val="0005319F"/>
    <w:rsid w:val="00056684"/>
    <w:rsid w:val="00057968"/>
    <w:rsid w:val="000601D9"/>
    <w:rsid w:val="00061BEB"/>
    <w:rsid w:val="0006305B"/>
    <w:rsid w:val="000636B1"/>
    <w:rsid w:val="0007085B"/>
    <w:rsid w:val="00070B54"/>
    <w:rsid w:val="00070DF8"/>
    <w:rsid w:val="0007122F"/>
    <w:rsid w:val="00072129"/>
    <w:rsid w:val="0007385D"/>
    <w:rsid w:val="00075B5B"/>
    <w:rsid w:val="00080D59"/>
    <w:rsid w:val="0008234F"/>
    <w:rsid w:val="000853EA"/>
    <w:rsid w:val="00086A32"/>
    <w:rsid w:val="00087409"/>
    <w:rsid w:val="00087BAB"/>
    <w:rsid w:val="000901A3"/>
    <w:rsid w:val="00093CC7"/>
    <w:rsid w:val="0009473D"/>
    <w:rsid w:val="000948EC"/>
    <w:rsid w:val="00094FE4"/>
    <w:rsid w:val="000961B5"/>
    <w:rsid w:val="000A1317"/>
    <w:rsid w:val="000A18C0"/>
    <w:rsid w:val="000A2DFC"/>
    <w:rsid w:val="000A3EB5"/>
    <w:rsid w:val="000A5F27"/>
    <w:rsid w:val="000A6BAF"/>
    <w:rsid w:val="000A6F70"/>
    <w:rsid w:val="000B02CD"/>
    <w:rsid w:val="000B1B55"/>
    <w:rsid w:val="000B5CDF"/>
    <w:rsid w:val="000B7DAC"/>
    <w:rsid w:val="000C1848"/>
    <w:rsid w:val="000C29FA"/>
    <w:rsid w:val="000C3FB0"/>
    <w:rsid w:val="000C42C5"/>
    <w:rsid w:val="000C4701"/>
    <w:rsid w:val="000C4EC5"/>
    <w:rsid w:val="000C69AD"/>
    <w:rsid w:val="000D157F"/>
    <w:rsid w:val="000D3B50"/>
    <w:rsid w:val="000D45A4"/>
    <w:rsid w:val="000E1F92"/>
    <w:rsid w:val="000E7012"/>
    <w:rsid w:val="000E7390"/>
    <w:rsid w:val="000F00C2"/>
    <w:rsid w:val="000F0F60"/>
    <w:rsid w:val="000F5F69"/>
    <w:rsid w:val="000F6DB1"/>
    <w:rsid w:val="000F6E82"/>
    <w:rsid w:val="000F7233"/>
    <w:rsid w:val="0010028F"/>
    <w:rsid w:val="0010039D"/>
    <w:rsid w:val="00102FC0"/>
    <w:rsid w:val="0010696D"/>
    <w:rsid w:val="00113BE6"/>
    <w:rsid w:val="00113FE0"/>
    <w:rsid w:val="00115D70"/>
    <w:rsid w:val="00115F68"/>
    <w:rsid w:val="00116E6A"/>
    <w:rsid w:val="00116FC4"/>
    <w:rsid w:val="001170D3"/>
    <w:rsid w:val="00117548"/>
    <w:rsid w:val="00117F12"/>
    <w:rsid w:val="001237FC"/>
    <w:rsid w:val="0012480E"/>
    <w:rsid w:val="00125314"/>
    <w:rsid w:val="00126B55"/>
    <w:rsid w:val="001279B6"/>
    <w:rsid w:val="00130E4C"/>
    <w:rsid w:val="00131131"/>
    <w:rsid w:val="00131A48"/>
    <w:rsid w:val="00134602"/>
    <w:rsid w:val="001346E5"/>
    <w:rsid w:val="001369B6"/>
    <w:rsid w:val="0014048F"/>
    <w:rsid w:val="00141F64"/>
    <w:rsid w:val="00144026"/>
    <w:rsid w:val="00144EC5"/>
    <w:rsid w:val="00147CE2"/>
    <w:rsid w:val="00152567"/>
    <w:rsid w:val="00152867"/>
    <w:rsid w:val="00152C4E"/>
    <w:rsid w:val="00152F10"/>
    <w:rsid w:val="00155222"/>
    <w:rsid w:val="00155AA2"/>
    <w:rsid w:val="00156F5C"/>
    <w:rsid w:val="00161939"/>
    <w:rsid w:val="00171724"/>
    <w:rsid w:val="00171D1B"/>
    <w:rsid w:val="001754AB"/>
    <w:rsid w:val="0017557E"/>
    <w:rsid w:val="00175DE9"/>
    <w:rsid w:val="00183646"/>
    <w:rsid w:val="00184ACA"/>
    <w:rsid w:val="001873CF"/>
    <w:rsid w:val="00190D09"/>
    <w:rsid w:val="00191007"/>
    <w:rsid w:val="00192BC1"/>
    <w:rsid w:val="00195C33"/>
    <w:rsid w:val="00195E32"/>
    <w:rsid w:val="001A122F"/>
    <w:rsid w:val="001A33B3"/>
    <w:rsid w:val="001A3784"/>
    <w:rsid w:val="001A4B84"/>
    <w:rsid w:val="001A7628"/>
    <w:rsid w:val="001B00F8"/>
    <w:rsid w:val="001B0BB4"/>
    <w:rsid w:val="001B2EFE"/>
    <w:rsid w:val="001B57A6"/>
    <w:rsid w:val="001B6116"/>
    <w:rsid w:val="001B6132"/>
    <w:rsid w:val="001B666C"/>
    <w:rsid w:val="001B684C"/>
    <w:rsid w:val="001C23A0"/>
    <w:rsid w:val="001C3804"/>
    <w:rsid w:val="001C4E46"/>
    <w:rsid w:val="001C5892"/>
    <w:rsid w:val="001D195C"/>
    <w:rsid w:val="001D1C54"/>
    <w:rsid w:val="001D24C2"/>
    <w:rsid w:val="001D30BF"/>
    <w:rsid w:val="001E057A"/>
    <w:rsid w:val="001E09D3"/>
    <w:rsid w:val="001E1673"/>
    <w:rsid w:val="001E3229"/>
    <w:rsid w:val="001E362F"/>
    <w:rsid w:val="001E7584"/>
    <w:rsid w:val="001F0B1B"/>
    <w:rsid w:val="001F101E"/>
    <w:rsid w:val="001F1357"/>
    <w:rsid w:val="001F221B"/>
    <w:rsid w:val="001F3A8D"/>
    <w:rsid w:val="001F42EA"/>
    <w:rsid w:val="001F64AF"/>
    <w:rsid w:val="002004AC"/>
    <w:rsid w:val="002007C4"/>
    <w:rsid w:val="00203B98"/>
    <w:rsid w:val="00205407"/>
    <w:rsid w:val="00205A63"/>
    <w:rsid w:val="002068A7"/>
    <w:rsid w:val="00207B15"/>
    <w:rsid w:val="002126EC"/>
    <w:rsid w:val="0021403B"/>
    <w:rsid w:val="0021442E"/>
    <w:rsid w:val="0021585D"/>
    <w:rsid w:val="00216135"/>
    <w:rsid w:val="0021687B"/>
    <w:rsid w:val="002169BC"/>
    <w:rsid w:val="00217D7A"/>
    <w:rsid w:val="00221E77"/>
    <w:rsid w:val="00222528"/>
    <w:rsid w:val="002228A0"/>
    <w:rsid w:val="00223113"/>
    <w:rsid w:val="002240D2"/>
    <w:rsid w:val="0022538B"/>
    <w:rsid w:val="002262A4"/>
    <w:rsid w:val="00227432"/>
    <w:rsid w:val="00232B05"/>
    <w:rsid w:val="00235CCA"/>
    <w:rsid w:val="002369D6"/>
    <w:rsid w:val="00241E4E"/>
    <w:rsid w:val="0024342E"/>
    <w:rsid w:val="00250338"/>
    <w:rsid w:val="00250802"/>
    <w:rsid w:val="00250E9B"/>
    <w:rsid w:val="00251DC6"/>
    <w:rsid w:val="0025619E"/>
    <w:rsid w:val="00257213"/>
    <w:rsid w:val="002607BD"/>
    <w:rsid w:val="002616BB"/>
    <w:rsid w:val="002619BF"/>
    <w:rsid w:val="00262989"/>
    <w:rsid w:val="002643FE"/>
    <w:rsid w:val="00264630"/>
    <w:rsid w:val="00267000"/>
    <w:rsid w:val="002719F3"/>
    <w:rsid w:val="00271E95"/>
    <w:rsid w:val="00273D95"/>
    <w:rsid w:val="0027411E"/>
    <w:rsid w:val="002744D3"/>
    <w:rsid w:val="00276292"/>
    <w:rsid w:val="002764EE"/>
    <w:rsid w:val="00276930"/>
    <w:rsid w:val="00281DEF"/>
    <w:rsid w:val="00284493"/>
    <w:rsid w:val="002852E1"/>
    <w:rsid w:val="00285590"/>
    <w:rsid w:val="002864DE"/>
    <w:rsid w:val="002902D7"/>
    <w:rsid w:val="002905AF"/>
    <w:rsid w:val="00290B53"/>
    <w:rsid w:val="002926F4"/>
    <w:rsid w:val="00294E79"/>
    <w:rsid w:val="00297B86"/>
    <w:rsid w:val="002A1E8F"/>
    <w:rsid w:val="002A2BE3"/>
    <w:rsid w:val="002A2CDB"/>
    <w:rsid w:val="002A30FE"/>
    <w:rsid w:val="002A39E8"/>
    <w:rsid w:val="002A47B2"/>
    <w:rsid w:val="002A7438"/>
    <w:rsid w:val="002B1EDC"/>
    <w:rsid w:val="002B3764"/>
    <w:rsid w:val="002B38B2"/>
    <w:rsid w:val="002B400B"/>
    <w:rsid w:val="002B6A37"/>
    <w:rsid w:val="002B7D91"/>
    <w:rsid w:val="002C3825"/>
    <w:rsid w:val="002C3837"/>
    <w:rsid w:val="002C414B"/>
    <w:rsid w:val="002C4BD1"/>
    <w:rsid w:val="002C4EAE"/>
    <w:rsid w:val="002C55F0"/>
    <w:rsid w:val="002C6D29"/>
    <w:rsid w:val="002C7670"/>
    <w:rsid w:val="002C7DCC"/>
    <w:rsid w:val="002D31EE"/>
    <w:rsid w:val="002D31F7"/>
    <w:rsid w:val="002D3554"/>
    <w:rsid w:val="002D4315"/>
    <w:rsid w:val="002D61AC"/>
    <w:rsid w:val="002E2EBF"/>
    <w:rsid w:val="002E3C2E"/>
    <w:rsid w:val="002E3D53"/>
    <w:rsid w:val="002E49C3"/>
    <w:rsid w:val="002E5377"/>
    <w:rsid w:val="002E54FB"/>
    <w:rsid w:val="002E5C09"/>
    <w:rsid w:val="002E5FD5"/>
    <w:rsid w:val="002F299C"/>
    <w:rsid w:val="002F4B7F"/>
    <w:rsid w:val="002F54BB"/>
    <w:rsid w:val="002F7917"/>
    <w:rsid w:val="002F7F3D"/>
    <w:rsid w:val="00301699"/>
    <w:rsid w:val="003031F2"/>
    <w:rsid w:val="0030538E"/>
    <w:rsid w:val="00307194"/>
    <w:rsid w:val="003072A9"/>
    <w:rsid w:val="00310FD3"/>
    <w:rsid w:val="003127F8"/>
    <w:rsid w:val="00314CC3"/>
    <w:rsid w:val="00320E9C"/>
    <w:rsid w:val="00322831"/>
    <w:rsid w:val="0032321C"/>
    <w:rsid w:val="00325E46"/>
    <w:rsid w:val="00327BFF"/>
    <w:rsid w:val="00332AF0"/>
    <w:rsid w:val="00333043"/>
    <w:rsid w:val="0034794B"/>
    <w:rsid w:val="00350774"/>
    <w:rsid w:val="00351D8F"/>
    <w:rsid w:val="003560BA"/>
    <w:rsid w:val="00357B47"/>
    <w:rsid w:val="003605C1"/>
    <w:rsid w:val="003617E3"/>
    <w:rsid w:val="003630F9"/>
    <w:rsid w:val="00363B17"/>
    <w:rsid w:val="00363C68"/>
    <w:rsid w:val="00365A17"/>
    <w:rsid w:val="00366DBC"/>
    <w:rsid w:val="003674F9"/>
    <w:rsid w:val="00367C9A"/>
    <w:rsid w:val="00367EC6"/>
    <w:rsid w:val="00367EF9"/>
    <w:rsid w:val="00370F33"/>
    <w:rsid w:val="0037113C"/>
    <w:rsid w:val="003731A6"/>
    <w:rsid w:val="00374CB5"/>
    <w:rsid w:val="00376166"/>
    <w:rsid w:val="003776C6"/>
    <w:rsid w:val="0037778A"/>
    <w:rsid w:val="003778EB"/>
    <w:rsid w:val="00377DAA"/>
    <w:rsid w:val="003806D0"/>
    <w:rsid w:val="003833E2"/>
    <w:rsid w:val="003851BD"/>
    <w:rsid w:val="00390DC9"/>
    <w:rsid w:val="00391030"/>
    <w:rsid w:val="003914A2"/>
    <w:rsid w:val="00393852"/>
    <w:rsid w:val="003973ED"/>
    <w:rsid w:val="003A01D1"/>
    <w:rsid w:val="003A3BD8"/>
    <w:rsid w:val="003A49D9"/>
    <w:rsid w:val="003A517F"/>
    <w:rsid w:val="003A6557"/>
    <w:rsid w:val="003A68FF"/>
    <w:rsid w:val="003A7436"/>
    <w:rsid w:val="003A752B"/>
    <w:rsid w:val="003A79F4"/>
    <w:rsid w:val="003B5D51"/>
    <w:rsid w:val="003B66E8"/>
    <w:rsid w:val="003C45E6"/>
    <w:rsid w:val="003C73C4"/>
    <w:rsid w:val="003C7F21"/>
    <w:rsid w:val="003C7F31"/>
    <w:rsid w:val="003D111E"/>
    <w:rsid w:val="003D13B9"/>
    <w:rsid w:val="003D393A"/>
    <w:rsid w:val="003D48EF"/>
    <w:rsid w:val="003D56ED"/>
    <w:rsid w:val="003D5F07"/>
    <w:rsid w:val="003D7153"/>
    <w:rsid w:val="003E098D"/>
    <w:rsid w:val="003E10D6"/>
    <w:rsid w:val="003E3B34"/>
    <w:rsid w:val="003E40EC"/>
    <w:rsid w:val="003E43BB"/>
    <w:rsid w:val="003E4C64"/>
    <w:rsid w:val="003E5914"/>
    <w:rsid w:val="003F068A"/>
    <w:rsid w:val="003F2DC2"/>
    <w:rsid w:val="003F3A2D"/>
    <w:rsid w:val="003F4BC2"/>
    <w:rsid w:val="003F4C1A"/>
    <w:rsid w:val="003F5263"/>
    <w:rsid w:val="003F63B1"/>
    <w:rsid w:val="003F6C1B"/>
    <w:rsid w:val="003F7A4D"/>
    <w:rsid w:val="00400436"/>
    <w:rsid w:val="00401E83"/>
    <w:rsid w:val="004025AA"/>
    <w:rsid w:val="0040304D"/>
    <w:rsid w:val="004048AE"/>
    <w:rsid w:val="00405894"/>
    <w:rsid w:val="00406348"/>
    <w:rsid w:val="004068F7"/>
    <w:rsid w:val="00412E71"/>
    <w:rsid w:val="00417569"/>
    <w:rsid w:val="00417A1E"/>
    <w:rsid w:val="00423411"/>
    <w:rsid w:val="00430D95"/>
    <w:rsid w:val="00430E48"/>
    <w:rsid w:val="0043119F"/>
    <w:rsid w:val="00432809"/>
    <w:rsid w:val="004338B2"/>
    <w:rsid w:val="0043426C"/>
    <w:rsid w:val="004348D5"/>
    <w:rsid w:val="00437DEE"/>
    <w:rsid w:val="004403BB"/>
    <w:rsid w:val="00441A24"/>
    <w:rsid w:val="00442195"/>
    <w:rsid w:val="00442413"/>
    <w:rsid w:val="00442752"/>
    <w:rsid w:val="0044281A"/>
    <w:rsid w:val="00446248"/>
    <w:rsid w:val="0045179E"/>
    <w:rsid w:val="00451F82"/>
    <w:rsid w:val="004521F9"/>
    <w:rsid w:val="00454FCF"/>
    <w:rsid w:val="0045683D"/>
    <w:rsid w:val="0046246A"/>
    <w:rsid w:val="00462F3C"/>
    <w:rsid w:val="00465A2E"/>
    <w:rsid w:val="00467A29"/>
    <w:rsid w:val="00467C8F"/>
    <w:rsid w:val="00470D34"/>
    <w:rsid w:val="00470E38"/>
    <w:rsid w:val="00473D12"/>
    <w:rsid w:val="00474424"/>
    <w:rsid w:val="004776BA"/>
    <w:rsid w:val="00480066"/>
    <w:rsid w:val="004802C3"/>
    <w:rsid w:val="0048181C"/>
    <w:rsid w:val="0048676B"/>
    <w:rsid w:val="00487141"/>
    <w:rsid w:val="004908EA"/>
    <w:rsid w:val="00490AFE"/>
    <w:rsid w:val="00494FE7"/>
    <w:rsid w:val="004953C6"/>
    <w:rsid w:val="0049672E"/>
    <w:rsid w:val="00496909"/>
    <w:rsid w:val="004A1F60"/>
    <w:rsid w:val="004A22D5"/>
    <w:rsid w:val="004A2EE5"/>
    <w:rsid w:val="004A30A4"/>
    <w:rsid w:val="004A3460"/>
    <w:rsid w:val="004A3A2F"/>
    <w:rsid w:val="004A5F1C"/>
    <w:rsid w:val="004A65C8"/>
    <w:rsid w:val="004A6F12"/>
    <w:rsid w:val="004A7DD2"/>
    <w:rsid w:val="004B036A"/>
    <w:rsid w:val="004B04B2"/>
    <w:rsid w:val="004B2684"/>
    <w:rsid w:val="004B7E6F"/>
    <w:rsid w:val="004C07F4"/>
    <w:rsid w:val="004C097A"/>
    <w:rsid w:val="004C37B7"/>
    <w:rsid w:val="004C6FAF"/>
    <w:rsid w:val="004C7BE9"/>
    <w:rsid w:val="004C7E9E"/>
    <w:rsid w:val="004D08CD"/>
    <w:rsid w:val="004D2E0E"/>
    <w:rsid w:val="004D3AEC"/>
    <w:rsid w:val="004D4011"/>
    <w:rsid w:val="004D4A6E"/>
    <w:rsid w:val="004D4D4F"/>
    <w:rsid w:val="004E2578"/>
    <w:rsid w:val="004E393F"/>
    <w:rsid w:val="004E60A2"/>
    <w:rsid w:val="004E64DB"/>
    <w:rsid w:val="004E6E44"/>
    <w:rsid w:val="004E7E00"/>
    <w:rsid w:val="004F0329"/>
    <w:rsid w:val="004F0CC9"/>
    <w:rsid w:val="004F2420"/>
    <w:rsid w:val="004F27D7"/>
    <w:rsid w:val="004F2F94"/>
    <w:rsid w:val="004F3469"/>
    <w:rsid w:val="004F6458"/>
    <w:rsid w:val="004F77F6"/>
    <w:rsid w:val="004F7C8C"/>
    <w:rsid w:val="005007EA"/>
    <w:rsid w:val="00501021"/>
    <w:rsid w:val="0050286A"/>
    <w:rsid w:val="00506097"/>
    <w:rsid w:val="00506C34"/>
    <w:rsid w:val="00507B3B"/>
    <w:rsid w:val="005116B8"/>
    <w:rsid w:val="00511CE6"/>
    <w:rsid w:val="00511E31"/>
    <w:rsid w:val="00513F65"/>
    <w:rsid w:val="00514275"/>
    <w:rsid w:val="00514434"/>
    <w:rsid w:val="00514A92"/>
    <w:rsid w:val="00515ADE"/>
    <w:rsid w:val="00517850"/>
    <w:rsid w:val="0052226A"/>
    <w:rsid w:val="005242C0"/>
    <w:rsid w:val="00524657"/>
    <w:rsid w:val="00527CA9"/>
    <w:rsid w:val="00532B2A"/>
    <w:rsid w:val="005338D9"/>
    <w:rsid w:val="00535FDE"/>
    <w:rsid w:val="00536787"/>
    <w:rsid w:val="005374AF"/>
    <w:rsid w:val="00542B83"/>
    <w:rsid w:val="00543D78"/>
    <w:rsid w:val="00544897"/>
    <w:rsid w:val="00544B94"/>
    <w:rsid w:val="00551654"/>
    <w:rsid w:val="00551AF4"/>
    <w:rsid w:val="00551B1D"/>
    <w:rsid w:val="0055376C"/>
    <w:rsid w:val="005539B3"/>
    <w:rsid w:val="0055714F"/>
    <w:rsid w:val="00557E54"/>
    <w:rsid w:val="005601A7"/>
    <w:rsid w:val="00563E9B"/>
    <w:rsid w:val="005649E1"/>
    <w:rsid w:val="005657AD"/>
    <w:rsid w:val="00566C72"/>
    <w:rsid w:val="00572383"/>
    <w:rsid w:val="00572678"/>
    <w:rsid w:val="00572E74"/>
    <w:rsid w:val="00572F73"/>
    <w:rsid w:val="0057351E"/>
    <w:rsid w:val="005744B9"/>
    <w:rsid w:val="00576573"/>
    <w:rsid w:val="00580069"/>
    <w:rsid w:val="00580711"/>
    <w:rsid w:val="00580CBF"/>
    <w:rsid w:val="005810BE"/>
    <w:rsid w:val="00582B53"/>
    <w:rsid w:val="0058605A"/>
    <w:rsid w:val="00586BE6"/>
    <w:rsid w:val="00591FA7"/>
    <w:rsid w:val="0059574C"/>
    <w:rsid w:val="00596423"/>
    <w:rsid w:val="00597B25"/>
    <w:rsid w:val="005A0521"/>
    <w:rsid w:val="005A05B1"/>
    <w:rsid w:val="005A2313"/>
    <w:rsid w:val="005A49BD"/>
    <w:rsid w:val="005A4B6A"/>
    <w:rsid w:val="005A5595"/>
    <w:rsid w:val="005B0431"/>
    <w:rsid w:val="005B13AC"/>
    <w:rsid w:val="005B21B2"/>
    <w:rsid w:val="005B3342"/>
    <w:rsid w:val="005B58CA"/>
    <w:rsid w:val="005B6EC7"/>
    <w:rsid w:val="005B729D"/>
    <w:rsid w:val="005C1B6D"/>
    <w:rsid w:val="005C2282"/>
    <w:rsid w:val="005C2924"/>
    <w:rsid w:val="005C2C85"/>
    <w:rsid w:val="005C5F5F"/>
    <w:rsid w:val="005C6C46"/>
    <w:rsid w:val="005C7063"/>
    <w:rsid w:val="005C73CC"/>
    <w:rsid w:val="005C75D7"/>
    <w:rsid w:val="005D2180"/>
    <w:rsid w:val="005D6616"/>
    <w:rsid w:val="005E1052"/>
    <w:rsid w:val="005E1757"/>
    <w:rsid w:val="005E3073"/>
    <w:rsid w:val="005E380D"/>
    <w:rsid w:val="005E3E65"/>
    <w:rsid w:val="005E6293"/>
    <w:rsid w:val="005E64D0"/>
    <w:rsid w:val="005E6B5B"/>
    <w:rsid w:val="005E6FB1"/>
    <w:rsid w:val="005E78CA"/>
    <w:rsid w:val="005F03A9"/>
    <w:rsid w:val="005F0730"/>
    <w:rsid w:val="005F08B9"/>
    <w:rsid w:val="005F4715"/>
    <w:rsid w:val="005F4888"/>
    <w:rsid w:val="005F4CFC"/>
    <w:rsid w:val="005F513E"/>
    <w:rsid w:val="005F7688"/>
    <w:rsid w:val="005F7F66"/>
    <w:rsid w:val="00600134"/>
    <w:rsid w:val="0060086C"/>
    <w:rsid w:val="00601F1B"/>
    <w:rsid w:val="006038D4"/>
    <w:rsid w:val="00604159"/>
    <w:rsid w:val="00607B20"/>
    <w:rsid w:val="00613DCB"/>
    <w:rsid w:val="00614F66"/>
    <w:rsid w:val="00616B32"/>
    <w:rsid w:val="00616F1D"/>
    <w:rsid w:val="0062023D"/>
    <w:rsid w:val="006202A2"/>
    <w:rsid w:val="00622C9F"/>
    <w:rsid w:val="00623C73"/>
    <w:rsid w:val="00626A3F"/>
    <w:rsid w:val="00630DC3"/>
    <w:rsid w:val="00631FCF"/>
    <w:rsid w:val="00632C12"/>
    <w:rsid w:val="00633A8B"/>
    <w:rsid w:val="00634885"/>
    <w:rsid w:val="006362EC"/>
    <w:rsid w:val="00640E97"/>
    <w:rsid w:val="00641EBA"/>
    <w:rsid w:val="00641FFD"/>
    <w:rsid w:val="00642BF6"/>
    <w:rsid w:val="00643FED"/>
    <w:rsid w:val="006450A7"/>
    <w:rsid w:val="006525E7"/>
    <w:rsid w:val="006543A7"/>
    <w:rsid w:val="0065663D"/>
    <w:rsid w:val="00661096"/>
    <w:rsid w:val="00662662"/>
    <w:rsid w:val="00662A14"/>
    <w:rsid w:val="00663B22"/>
    <w:rsid w:val="00664AD8"/>
    <w:rsid w:val="0066564A"/>
    <w:rsid w:val="006666CB"/>
    <w:rsid w:val="00666C39"/>
    <w:rsid w:val="00667A98"/>
    <w:rsid w:val="006776C3"/>
    <w:rsid w:val="006818A3"/>
    <w:rsid w:val="006831E3"/>
    <w:rsid w:val="00683E70"/>
    <w:rsid w:val="00684022"/>
    <w:rsid w:val="00687A0B"/>
    <w:rsid w:val="00690119"/>
    <w:rsid w:val="00691172"/>
    <w:rsid w:val="0069122C"/>
    <w:rsid w:val="006915E9"/>
    <w:rsid w:val="00691920"/>
    <w:rsid w:val="006929ED"/>
    <w:rsid w:val="00692B79"/>
    <w:rsid w:val="00692D20"/>
    <w:rsid w:val="00692DB3"/>
    <w:rsid w:val="00694535"/>
    <w:rsid w:val="00696B4B"/>
    <w:rsid w:val="00697140"/>
    <w:rsid w:val="006A185E"/>
    <w:rsid w:val="006A3381"/>
    <w:rsid w:val="006A571E"/>
    <w:rsid w:val="006A5DB5"/>
    <w:rsid w:val="006A6664"/>
    <w:rsid w:val="006A672F"/>
    <w:rsid w:val="006A69EE"/>
    <w:rsid w:val="006A74F3"/>
    <w:rsid w:val="006A7707"/>
    <w:rsid w:val="006B4DA8"/>
    <w:rsid w:val="006C02BC"/>
    <w:rsid w:val="006C0E0B"/>
    <w:rsid w:val="006C1F64"/>
    <w:rsid w:val="006C3A7A"/>
    <w:rsid w:val="006C460A"/>
    <w:rsid w:val="006C7826"/>
    <w:rsid w:val="006D127E"/>
    <w:rsid w:val="006E1F91"/>
    <w:rsid w:val="006E3111"/>
    <w:rsid w:val="006E613A"/>
    <w:rsid w:val="006E7547"/>
    <w:rsid w:val="006F07ED"/>
    <w:rsid w:val="006F1810"/>
    <w:rsid w:val="006F2A73"/>
    <w:rsid w:val="006F589F"/>
    <w:rsid w:val="006F7499"/>
    <w:rsid w:val="007004AD"/>
    <w:rsid w:val="00701D71"/>
    <w:rsid w:val="00703700"/>
    <w:rsid w:val="00706DFF"/>
    <w:rsid w:val="007078EB"/>
    <w:rsid w:val="007108EA"/>
    <w:rsid w:val="00712681"/>
    <w:rsid w:val="00713811"/>
    <w:rsid w:val="00714058"/>
    <w:rsid w:val="00715950"/>
    <w:rsid w:val="00715FDD"/>
    <w:rsid w:val="00716006"/>
    <w:rsid w:val="00716323"/>
    <w:rsid w:val="00716AC6"/>
    <w:rsid w:val="007174DB"/>
    <w:rsid w:val="0072122E"/>
    <w:rsid w:val="00721CAC"/>
    <w:rsid w:val="00723063"/>
    <w:rsid w:val="007231B5"/>
    <w:rsid w:val="0072347F"/>
    <w:rsid w:val="00726D24"/>
    <w:rsid w:val="00730B77"/>
    <w:rsid w:val="00731559"/>
    <w:rsid w:val="0073175F"/>
    <w:rsid w:val="00732DA3"/>
    <w:rsid w:val="00734E18"/>
    <w:rsid w:val="00737E68"/>
    <w:rsid w:val="007408F5"/>
    <w:rsid w:val="007421D5"/>
    <w:rsid w:val="00742E81"/>
    <w:rsid w:val="0074362E"/>
    <w:rsid w:val="00745E89"/>
    <w:rsid w:val="00750C11"/>
    <w:rsid w:val="00751F3F"/>
    <w:rsid w:val="00751F4F"/>
    <w:rsid w:val="00753723"/>
    <w:rsid w:val="007540DB"/>
    <w:rsid w:val="00756987"/>
    <w:rsid w:val="00757D25"/>
    <w:rsid w:val="00757D54"/>
    <w:rsid w:val="007605A3"/>
    <w:rsid w:val="00761F4D"/>
    <w:rsid w:val="00764524"/>
    <w:rsid w:val="007645C4"/>
    <w:rsid w:val="00764723"/>
    <w:rsid w:val="007661D0"/>
    <w:rsid w:val="00766C65"/>
    <w:rsid w:val="0077147C"/>
    <w:rsid w:val="007734BE"/>
    <w:rsid w:val="0077368D"/>
    <w:rsid w:val="007746CD"/>
    <w:rsid w:val="00775665"/>
    <w:rsid w:val="00777537"/>
    <w:rsid w:val="00781615"/>
    <w:rsid w:val="00781626"/>
    <w:rsid w:val="0078165B"/>
    <w:rsid w:val="00784218"/>
    <w:rsid w:val="00785997"/>
    <w:rsid w:val="007873C1"/>
    <w:rsid w:val="007907B7"/>
    <w:rsid w:val="007939FD"/>
    <w:rsid w:val="007965AC"/>
    <w:rsid w:val="007A0E1C"/>
    <w:rsid w:val="007A1709"/>
    <w:rsid w:val="007A1A77"/>
    <w:rsid w:val="007A1D0E"/>
    <w:rsid w:val="007A2041"/>
    <w:rsid w:val="007A40C9"/>
    <w:rsid w:val="007A472D"/>
    <w:rsid w:val="007A4C81"/>
    <w:rsid w:val="007A5987"/>
    <w:rsid w:val="007A60D4"/>
    <w:rsid w:val="007A6EAC"/>
    <w:rsid w:val="007A729D"/>
    <w:rsid w:val="007A73F4"/>
    <w:rsid w:val="007B021F"/>
    <w:rsid w:val="007B0478"/>
    <w:rsid w:val="007B0C97"/>
    <w:rsid w:val="007B0CF0"/>
    <w:rsid w:val="007B24E0"/>
    <w:rsid w:val="007B351C"/>
    <w:rsid w:val="007B4886"/>
    <w:rsid w:val="007B6C06"/>
    <w:rsid w:val="007C1D4D"/>
    <w:rsid w:val="007C46B6"/>
    <w:rsid w:val="007C53A1"/>
    <w:rsid w:val="007C6A7E"/>
    <w:rsid w:val="007C7765"/>
    <w:rsid w:val="007C79D8"/>
    <w:rsid w:val="007C7B7A"/>
    <w:rsid w:val="007D1B61"/>
    <w:rsid w:val="007D2800"/>
    <w:rsid w:val="007D2B2B"/>
    <w:rsid w:val="007D51ED"/>
    <w:rsid w:val="007D536F"/>
    <w:rsid w:val="007D6D63"/>
    <w:rsid w:val="007E2BD2"/>
    <w:rsid w:val="007E5F44"/>
    <w:rsid w:val="007F1283"/>
    <w:rsid w:val="007F1AFF"/>
    <w:rsid w:val="007F3C82"/>
    <w:rsid w:val="007F41C5"/>
    <w:rsid w:val="007F760C"/>
    <w:rsid w:val="00800490"/>
    <w:rsid w:val="008004BC"/>
    <w:rsid w:val="0080335F"/>
    <w:rsid w:val="008045AF"/>
    <w:rsid w:val="00810B49"/>
    <w:rsid w:val="00813255"/>
    <w:rsid w:val="008142FB"/>
    <w:rsid w:val="00814D26"/>
    <w:rsid w:val="00816367"/>
    <w:rsid w:val="008163C2"/>
    <w:rsid w:val="008169A5"/>
    <w:rsid w:val="0082015D"/>
    <w:rsid w:val="00823FCE"/>
    <w:rsid w:val="008253BF"/>
    <w:rsid w:val="0082694A"/>
    <w:rsid w:val="00827CE1"/>
    <w:rsid w:val="00831097"/>
    <w:rsid w:val="00831C84"/>
    <w:rsid w:val="0083451A"/>
    <w:rsid w:val="00835692"/>
    <w:rsid w:val="00835775"/>
    <w:rsid w:val="00840F09"/>
    <w:rsid w:val="00841362"/>
    <w:rsid w:val="00841BAD"/>
    <w:rsid w:val="0084205F"/>
    <w:rsid w:val="0084225C"/>
    <w:rsid w:val="00843232"/>
    <w:rsid w:val="00843899"/>
    <w:rsid w:val="00844CC8"/>
    <w:rsid w:val="00846771"/>
    <w:rsid w:val="00854B7A"/>
    <w:rsid w:val="00855B0A"/>
    <w:rsid w:val="008564CA"/>
    <w:rsid w:val="0085663E"/>
    <w:rsid w:val="00856D00"/>
    <w:rsid w:val="00857448"/>
    <w:rsid w:val="00857CAB"/>
    <w:rsid w:val="00857D8D"/>
    <w:rsid w:val="00861F19"/>
    <w:rsid w:val="00862FF7"/>
    <w:rsid w:val="008640F6"/>
    <w:rsid w:val="00872133"/>
    <w:rsid w:val="00873CE6"/>
    <w:rsid w:val="008745BC"/>
    <w:rsid w:val="00875A16"/>
    <w:rsid w:val="008762FD"/>
    <w:rsid w:val="00877F31"/>
    <w:rsid w:val="00880F50"/>
    <w:rsid w:val="00883E3B"/>
    <w:rsid w:val="0088479D"/>
    <w:rsid w:val="00884F7A"/>
    <w:rsid w:val="008958AE"/>
    <w:rsid w:val="008961EA"/>
    <w:rsid w:val="008A481A"/>
    <w:rsid w:val="008A61F3"/>
    <w:rsid w:val="008A716F"/>
    <w:rsid w:val="008B1AC7"/>
    <w:rsid w:val="008B4049"/>
    <w:rsid w:val="008B62C2"/>
    <w:rsid w:val="008C0CC2"/>
    <w:rsid w:val="008C19F7"/>
    <w:rsid w:val="008C3BDB"/>
    <w:rsid w:val="008D0FC5"/>
    <w:rsid w:val="008D1A4F"/>
    <w:rsid w:val="008D3A11"/>
    <w:rsid w:val="008D6C53"/>
    <w:rsid w:val="008E2C29"/>
    <w:rsid w:val="008E4285"/>
    <w:rsid w:val="008E4904"/>
    <w:rsid w:val="008E4BD5"/>
    <w:rsid w:val="008E5973"/>
    <w:rsid w:val="008E691D"/>
    <w:rsid w:val="008F29DD"/>
    <w:rsid w:val="008F5580"/>
    <w:rsid w:val="008F5C60"/>
    <w:rsid w:val="008F6458"/>
    <w:rsid w:val="008F6C27"/>
    <w:rsid w:val="00900CFB"/>
    <w:rsid w:val="00900FF2"/>
    <w:rsid w:val="00902E70"/>
    <w:rsid w:val="0090388B"/>
    <w:rsid w:val="0090404C"/>
    <w:rsid w:val="0090613C"/>
    <w:rsid w:val="00911320"/>
    <w:rsid w:val="0091182A"/>
    <w:rsid w:val="00912514"/>
    <w:rsid w:val="00913BCC"/>
    <w:rsid w:val="00914C83"/>
    <w:rsid w:val="00916C46"/>
    <w:rsid w:val="00920423"/>
    <w:rsid w:val="009219A3"/>
    <w:rsid w:val="00925721"/>
    <w:rsid w:val="00926599"/>
    <w:rsid w:val="00926934"/>
    <w:rsid w:val="009309DA"/>
    <w:rsid w:val="00930ED6"/>
    <w:rsid w:val="00931F06"/>
    <w:rsid w:val="00933EC2"/>
    <w:rsid w:val="0093479E"/>
    <w:rsid w:val="0094257F"/>
    <w:rsid w:val="00943A82"/>
    <w:rsid w:val="00946A27"/>
    <w:rsid w:val="00946EDC"/>
    <w:rsid w:val="009522CD"/>
    <w:rsid w:val="00952C69"/>
    <w:rsid w:val="00954CC9"/>
    <w:rsid w:val="00955645"/>
    <w:rsid w:val="00956077"/>
    <w:rsid w:val="00963E21"/>
    <w:rsid w:val="00964D03"/>
    <w:rsid w:val="00966A1F"/>
    <w:rsid w:val="009670C6"/>
    <w:rsid w:val="009725D5"/>
    <w:rsid w:val="009758F8"/>
    <w:rsid w:val="00976DFC"/>
    <w:rsid w:val="00977EF7"/>
    <w:rsid w:val="00981C55"/>
    <w:rsid w:val="00982031"/>
    <w:rsid w:val="0098436F"/>
    <w:rsid w:val="0098478B"/>
    <w:rsid w:val="0099060E"/>
    <w:rsid w:val="009921A0"/>
    <w:rsid w:val="009953A4"/>
    <w:rsid w:val="009A2FD0"/>
    <w:rsid w:val="009A34F0"/>
    <w:rsid w:val="009A74DC"/>
    <w:rsid w:val="009A7B3C"/>
    <w:rsid w:val="009B0276"/>
    <w:rsid w:val="009B25E7"/>
    <w:rsid w:val="009B3DA4"/>
    <w:rsid w:val="009B43B3"/>
    <w:rsid w:val="009B5618"/>
    <w:rsid w:val="009B576C"/>
    <w:rsid w:val="009B577F"/>
    <w:rsid w:val="009B6014"/>
    <w:rsid w:val="009B792C"/>
    <w:rsid w:val="009C64F4"/>
    <w:rsid w:val="009C7B0B"/>
    <w:rsid w:val="009D2667"/>
    <w:rsid w:val="009D29C9"/>
    <w:rsid w:val="009D477B"/>
    <w:rsid w:val="009D7046"/>
    <w:rsid w:val="009D7552"/>
    <w:rsid w:val="009E06E2"/>
    <w:rsid w:val="009E1E14"/>
    <w:rsid w:val="009E3922"/>
    <w:rsid w:val="009E4D88"/>
    <w:rsid w:val="009E5270"/>
    <w:rsid w:val="009E5C19"/>
    <w:rsid w:val="009E6DCA"/>
    <w:rsid w:val="009F04C6"/>
    <w:rsid w:val="009F3A52"/>
    <w:rsid w:val="009F4B59"/>
    <w:rsid w:val="00A009EA"/>
    <w:rsid w:val="00A00E27"/>
    <w:rsid w:val="00A0130C"/>
    <w:rsid w:val="00A03CC8"/>
    <w:rsid w:val="00A0504B"/>
    <w:rsid w:val="00A05EF0"/>
    <w:rsid w:val="00A07786"/>
    <w:rsid w:val="00A1002B"/>
    <w:rsid w:val="00A11E1B"/>
    <w:rsid w:val="00A12F7C"/>
    <w:rsid w:val="00A1346F"/>
    <w:rsid w:val="00A167A7"/>
    <w:rsid w:val="00A2155C"/>
    <w:rsid w:val="00A22198"/>
    <w:rsid w:val="00A23A29"/>
    <w:rsid w:val="00A23F6D"/>
    <w:rsid w:val="00A24FA1"/>
    <w:rsid w:val="00A25D83"/>
    <w:rsid w:val="00A30CA8"/>
    <w:rsid w:val="00A33460"/>
    <w:rsid w:val="00A33886"/>
    <w:rsid w:val="00A340C8"/>
    <w:rsid w:val="00A3488C"/>
    <w:rsid w:val="00A34D91"/>
    <w:rsid w:val="00A35D0A"/>
    <w:rsid w:val="00A37194"/>
    <w:rsid w:val="00A375B2"/>
    <w:rsid w:val="00A4220D"/>
    <w:rsid w:val="00A427B5"/>
    <w:rsid w:val="00A4546A"/>
    <w:rsid w:val="00A4664C"/>
    <w:rsid w:val="00A479CF"/>
    <w:rsid w:val="00A50037"/>
    <w:rsid w:val="00A51221"/>
    <w:rsid w:val="00A52682"/>
    <w:rsid w:val="00A552B8"/>
    <w:rsid w:val="00A56110"/>
    <w:rsid w:val="00A56A8B"/>
    <w:rsid w:val="00A56F7B"/>
    <w:rsid w:val="00A572DC"/>
    <w:rsid w:val="00A603D2"/>
    <w:rsid w:val="00A60678"/>
    <w:rsid w:val="00A60B60"/>
    <w:rsid w:val="00A61C78"/>
    <w:rsid w:val="00A62F3E"/>
    <w:rsid w:val="00A636A0"/>
    <w:rsid w:val="00A66902"/>
    <w:rsid w:val="00A66F39"/>
    <w:rsid w:val="00A67125"/>
    <w:rsid w:val="00A67373"/>
    <w:rsid w:val="00A76BBB"/>
    <w:rsid w:val="00A77291"/>
    <w:rsid w:val="00A81C48"/>
    <w:rsid w:val="00A8297F"/>
    <w:rsid w:val="00A85114"/>
    <w:rsid w:val="00A85823"/>
    <w:rsid w:val="00A85A5A"/>
    <w:rsid w:val="00A867CE"/>
    <w:rsid w:val="00A8689F"/>
    <w:rsid w:val="00A87B82"/>
    <w:rsid w:val="00A9055C"/>
    <w:rsid w:val="00A93C14"/>
    <w:rsid w:val="00A940AF"/>
    <w:rsid w:val="00A94109"/>
    <w:rsid w:val="00A941F7"/>
    <w:rsid w:val="00A94D8A"/>
    <w:rsid w:val="00A9684D"/>
    <w:rsid w:val="00A96F4B"/>
    <w:rsid w:val="00AA2C2A"/>
    <w:rsid w:val="00AA2EAD"/>
    <w:rsid w:val="00AA44AB"/>
    <w:rsid w:val="00AA5460"/>
    <w:rsid w:val="00AA61E3"/>
    <w:rsid w:val="00AA63A0"/>
    <w:rsid w:val="00AA67AA"/>
    <w:rsid w:val="00AB0115"/>
    <w:rsid w:val="00AB2920"/>
    <w:rsid w:val="00AB361B"/>
    <w:rsid w:val="00AB65B4"/>
    <w:rsid w:val="00AB73D2"/>
    <w:rsid w:val="00AC0907"/>
    <w:rsid w:val="00AC2E6C"/>
    <w:rsid w:val="00AC359A"/>
    <w:rsid w:val="00AC3BF7"/>
    <w:rsid w:val="00AC3E72"/>
    <w:rsid w:val="00AD1362"/>
    <w:rsid w:val="00AD1A75"/>
    <w:rsid w:val="00AD3C1F"/>
    <w:rsid w:val="00AD4276"/>
    <w:rsid w:val="00AE0D91"/>
    <w:rsid w:val="00AE107F"/>
    <w:rsid w:val="00AE1D30"/>
    <w:rsid w:val="00AE22C5"/>
    <w:rsid w:val="00AE3030"/>
    <w:rsid w:val="00AF013D"/>
    <w:rsid w:val="00AF110A"/>
    <w:rsid w:val="00AF1297"/>
    <w:rsid w:val="00AF18FC"/>
    <w:rsid w:val="00AF39EF"/>
    <w:rsid w:val="00AF3B9B"/>
    <w:rsid w:val="00AF42AD"/>
    <w:rsid w:val="00AF4CF2"/>
    <w:rsid w:val="00AF7D8F"/>
    <w:rsid w:val="00B0077C"/>
    <w:rsid w:val="00B018FB"/>
    <w:rsid w:val="00B01C60"/>
    <w:rsid w:val="00B0275A"/>
    <w:rsid w:val="00B02E35"/>
    <w:rsid w:val="00B10C28"/>
    <w:rsid w:val="00B11B78"/>
    <w:rsid w:val="00B11CE3"/>
    <w:rsid w:val="00B14A50"/>
    <w:rsid w:val="00B16178"/>
    <w:rsid w:val="00B17272"/>
    <w:rsid w:val="00B20E51"/>
    <w:rsid w:val="00B22362"/>
    <w:rsid w:val="00B232C7"/>
    <w:rsid w:val="00B23618"/>
    <w:rsid w:val="00B23B4C"/>
    <w:rsid w:val="00B23C1D"/>
    <w:rsid w:val="00B26F4A"/>
    <w:rsid w:val="00B31540"/>
    <w:rsid w:val="00B318DA"/>
    <w:rsid w:val="00B3197A"/>
    <w:rsid w:val="00B363D9"/>
    <w:rsid w:val="00B372B9"/>
    <w:rsid w:val="00B37833"/>
    <w:rsid w:val="00B4022B"/>
    <w:rsid w:val="00B40B12"/>
    <w:rsid w:val="00B428D8"/>
    <w:rsid w:val="00B439B7"/>
    <w:rsid w:val="00B43BB5"/>
    <w:rsid w:val="00B43C4F"/>
    <w:rsid w:val="00B44770"/>
    <w:rsid w:val="00B46B4E"/>
    <w:rsid w:val="00B519C7"/>
    <w:rsid w:val="00B51C81"/>
    <w:rsid w:val="00B53298"/>
    <w:rsid w:val="00B5341B"/>
    <w:rsid w:val="00B53636"/>
    <w:rsid w:val="00B56521"/>
    <w:rsid w:val="00B62393"/>
    <w:rsid w:val="00B62CE2"/>
    <w:rsid w:val="00B63241"/>
    <w:rsid w:val="00B6354D"/>
    <w:rsid w:val="00B650F1"/>
    <w:rsid w:val="00B67FDC"/>
    <w:rsid w:val="00B70918"/>
    <w:rsid w:val="00B71309"/>
    <w:rsid w:val="00B71A7D"/>
    <w:rsid w:val="00B7320B"/>
    <w:rsid w:val="00B74E05"/>
    <w:rsid w:val="00B75F49"/>
    <w:rsid w:val="00B761E3"/>
    <w:rsid w:val="00B803AC"/>
    <w:rsid w:val="00B829C2"/>
    <w:rsid w:val="00B82A2B"/>
    <w:rsid w:val="00B832DD"/>
    <w:rsid w:val="00B83308"/>
    <w:rsid w:val="00B84AA1"/>
    <w:rsid w:val="00B85EFA"/>
    <w:rsid w:val="00B86844"/>
    <w:rsid w:val="00B86E2A"/>
    <w:rsid w:val="00B871D7"/>
    <w:rsid w:val="00B93877"/>
    <w:rsid w:val="00B964FF"/>
    <w:rsid w:val="00B96FEB"/>
    <w:rsid w:val="00BA134A"/>
    <w:rsid w:val="00BA24C7"/>
    <w:rsid w:val="00BA2E95"/>
    <w:rsid w:val="00BA3C5F"/>
    <w:rsid w:val="00BA5CCC"/>
    <w:rsid w:val="00BA6929"/>
    <w:rsid w:val="00BA6D79"/>
    <w:rsid w:val="00BB0128"/>
    <w:rsid w:val="00BB0CFB"/>
    <w:rsid w:val="00BB183A"/>
    <w:rsid w:val="00BB2744"/>
    <w:rsid w:val="00BB3984"/>
    <w:rsid w:val="00BB3D66"/>
    <w:rsid w:val="00BB4EEC"/>
    <w:rsid w:val="00BB5FF0"/>
    <w:rsid w:val="00BB78DD"/>
    <w:rsid w:val="00BB7C35"/>
    <w:rsid w:val="00BC016C"/>
    <w:rsid w:val="00BC0D7F"/>
    <w:rsid w:val="00BC180F"/>
    <w:rsid w:val="00BC1D2C"/>
    <w:rsid w:val="00BC2231"/>
    <w:rsid w:val="00BC23A3"/>
    <w:rsid w:val="00BC3115"/>
    <w:rsid w:val="00BC4A89"/>
    <w:rsid w:val="00BC4FD8"/>
    <w:rsid w:val="00BC643A"/>
    <w:rsid w:val="00BC64FF"/>
    <w:rsid w:val="00BC6580"/>
    <w:rsid w:val="00BC674E"/>
    <w:rsid w:val="00BC6AF3"/>
    <w:rsid w:val="00BC6F9B"/>
    <w:rsid w:val="00BD068B"/>
    <w:rsid w:val="00BD1337"/>
    <w:rsid w:val="00BD25F7"/>
    <w:rsid w:val="00BF18CF"/>
    <w:rsid w:val="00BF2563"/>
    <w:rsid w:val="00BF32D5"/>
    <w:rsid w:val="00BF38EE"/>
    <w:rsid w:val="00BF52B9"/>
    <w:rsid w:val="00BF5493"/>
    <w:rsid w:val="00BF7867"/>
    <w:rsid w:val="00BF7AD5"/>
    <w:rsid w:val="00C01DA6"/>
    <w:rsid w:val="00C03D08"/>
    <w:rsid w:val="00C05282"/>
    <w:rsid w:val="00C10291"/>
    <w:rsid w:val="00C13A6A"/>
    <w:rsid w:val="00C14279"/>
    <w:rsid w:val="00C15F52"/>
    <w:rsid w:val="00C168BD"/>
    <w:rsid w:val="00C17761"/>
    <w:rsid w:val="00C202D9"/>
    <w:rsid w:val="00C21B43"/>
    <w:rsid w:val="00C21E00"/>
    <w:rsid w:val="00C2227F"/>
    <w:rsid w:val="00C23233"/>
    <w:rsid w:val="00C23727"/>
    <w:rsid w:val="00C23883"/>
    <w:rsid w:val="00C2481D"/>
    <w:rsid w:val="00C25EDE"/>
    <w:rsid w:val="00C26EBD"/>
    <w:rsid w:val="00C314EE"/>
    <w:rsid w:val="00C329E4"/>
    <w:rsid w:val="00C34C1C"/>
    <w:rsid w:val="00C4108D"/>
    <w:rsid w:val="00C41ED7"/>
    <w:rsid w:val="00C473FE"/>
    <w:rsid w:val="00C51239"/>
    <w:rsid w:val="00C51567"/>
    <w:rsid w:val="00C55528"/>
    <w:rsid w:val="00C55B65"/>
    <w:rsid w:val="00C55BB6"/>
    <w:rsid w:val="00C57607"/>
    <w:rsid w:val="00C6052C"/>
    <w:rsid w:val="00C62059"/>
    <w:rsid w:val="00C622CF"/>
    <w:rsid w:val="00C62C8B"/>
    <w:rsid w:val="00C6549F"/>
    <w:rsid w:val="00C65EAD"/>
    <w:rsid w:val="00C66020"/>
    <w:rsid w:val="00C70909"/>
    <w:rsid w:val="00C72869"/>
    <w:rsid w:val="00C74836"/>
    <w:rsid w:val="00C74DEC"/>
    <w:rsid w:val="00C76CFD"/>
    <w:rsid w:val="00C81E52"/>
    <w:rsid w:val="00C8512D"/>
    <w:rsid w:val="00C87840"/>
    <w:rsid w:val="00C93ECD"/>
    <w:rsid w:val="00C95268"/>
    <w:rsid w:val="00C95C5C"/>
    <w:rsid w:val="00C95D11"/>
    <w:rsid w:val="00C962EA"/>
    <w:rsid w:val="00C96E4C"/>
    <w:rsid w:val="00C97927"/>
    <w:rsid w:val="00CA25F4"/>
    <w:rsid w:val="00CA717E"/>
    <w:rsid w:val="00CA73D5"/>
    <w:rsid w:val="00CA7764"/>
    <w:rsid w:val="00CA7BD7"/>
    <w:rsid w:val="00CA7BDC"/>
    <w:rsid w:val="00CB013A"/>
    <w:rsid w:val="00CB13F7"/>
    <w:rsid w:val="00CB14C3"/>
    <w:rsid w:val="00CB1596"/>
    <w:rsid w:val="00CB1D0A"/>
    <w:rsid w:val="00CB2180"/>
    <w:rsid w:val="00CB3C39"/>
    <w:rsid w:val="00CB682D"/>
    <w:rsid w:val="00CB72AB"/>
    <w:rsid w:val="00CB7DE2"/>
    <w:rsid w:val="00CB7EAD"/>
    <w:rsid w:val="00CC0094"/>
    <w:rsid w:val="00CC22D8"/>
    <w:rsid w:val="00CC2811"/>
    <w:rsid w:val="00CC475B"/>
    <w:rsid w:val="00CC5FA1"/>
    <w:rsid w:val="00CC6C07"/>
    <w:rsid w:val="00CD1508"/>
    <w:rsid w:val="00CD1939"/>
    <w:rsid w:val="00CD2B94"/>
    <w:rsid w:val="00CD406F"/>
    <w:rsid w:val="00CD4FFF"/>
    <w:rsid w:val="00CE0F24"/>
    <w:rsid w:val="00CE1AC5"/>
    <w:rsid w:val="00CE24C9"/>
    <w:rsid w:val="00CE3E03"/>
    <w:rsid w:val="00CE4236"/>
    <w:rsid w:val="00CE4532"/>
    <w:rsid w:val="00CE4741"/>
    <w:rsid w:val="00CF013F"/>
    <w:rsid w:val="00CF1C8A"/>
    <w:rsid w:val="00CF22C7"/>
    <w:rsid w:val="00CF3046"/>
    <w:rsid w:val="00CF30E7"/>
    <w:rsid w:val="00CF42ED"/>
    <w:rsid w:val="00CF5272"/>
    <w:rsid w:val="00D003BE"/>
    <w:rsid w:val="00D023F8"/>
    <w:rsid w:val="00D02E26"/>
    <w:rsid w:val="00D04090"/>
    <w:rsid w:val="00D04D1C"/>
    <w:rsid w:val="00D050C5"/>
    <w:rsid w:val="00D068E9"/>
    <w:rsid w:val="00D072BC"/>
    <w:rsid w:val="00D107A8"/>
    <w:rsid w:val="00D118DB"/>
    <w:rsid w:val="00D21933"/>
    <w:rsid w:val="00D22A46"/>
    <w:rsid w:val="00D22BD8"/>
    <w:rsid w:val="00D22E89"/>
    <w:rsid w:val="00D2302A"/>
    <w:rsid w:val="00D26CDC"/>
    <w:rsid w:val="00D31A43"/>
    <w:rsid w:val="00D36E85"/>
    <w:rsid w:val="00D409B7"/>
    <w:rsid w:val="00D41301"/>
    <w:rsid w:val="00D41701"/>
    <w:rsid w:val="00D42294"/>
    <w:rsid w:val="00D4246C"/>
    <w:rsid w:val="00D4327E"/>
    <w:rsid w:val="00D44522"/>
    <w:rsid w:val="00D46173"/>
    <w:rsid w:val="00D47901"/>
    <w:rsid w:val="00D51283"/>
    <w:rsid w:val="00D5161D"/>
    <w:rsid w:val="00D51F15"/>
    <w:rsid w:val="00D539D4"/>
    <w:rsid w:val="00D54D99"/>
    <w:rsid w:val="00D56FFC"/>
    <w:rsid w:val="00D605B5"/>
    <w:rsid w:val="00D624B0"/>
    <w:rsid w:val="00D637DB"/>
    <w:rsid w:val="00D637F4"/>
    <w:rsid w:val="00D67602"/>
    <w:rsid w:val="00D700B8"/>
    <w:rsid w:val="00D750D3"/>
    <w:rsid w:val="00D7682B"/>
    <w:rsid w:val="00D81947"/>
    <w:rsid w:val="00D8394B"/>
    <w:rsid w:val="00D83E57"/>
    <w:rsid w:val="00D8605D"/>
    <w:rsid w:val="00D87947"/>
    <w:rsid w:val="00D90FB8"/>
    <w:rsid w:val="00D93014"/>
    <w:rsid w:val="00D96A86"/>
    <w:rsid w:val="00D97ACB"/>
    <w:rsid w:val="00D97F2F"/>
    <w:rsid w:val="00DA05C8"/>
    <w:rsid w:val="00DA09AD"/>
    <w:rsid w:val="00DA22A4"/>
    <w:rsid w:val="00DA3177"/>
    <w:rsid w:val="00DA3AFB"/>
    <w:rsid w:val="00DA4AD0"/>
    <w:rsid w:val="00DA588C"/>
    <w:rsid w:val="00DA6336"/>
    <w:rsid w:val="00DB0112"/>
    <w:rsid w:val="00DB0DA1"/>
    <w:rsid w:val="00DB154C"/>
    <w:rsid w:val="00DB25E5"/>
    <w:rsid w:val="00DB283C"/>
    <w:rsid w:val="00DB619A"/>
    <w:rsid w:val="00DC0630"/>
    <w:rsid w:val="00DC1255"/>
    <w:rsid w:val="00DC30DA"/>
    <w:rsid w:val="00DC6043"/>
    <w:rsid w:val="00DC695D"/>
    <w:rsid w:val="00DC7ECD"/>
    <w:rsid w:val="00DD1294"/>
    <w:rsid w:val="00DD1AA9"/>
    <w:rsid w:val="00DD1ED4"/>
    <w:rsid w:val="00DD2406"/>
    <w:rsid w:val="00DD2F65"/>
    <w:rsid w:val="00DD3109"/>
    <w:rsid w:val="00DD431A"/>
    <w:rsid w:val="00DD4A8A"/>
    <w:rsid w:val="00DD585A"/>
    <w:rsid w:val="00DE0491"/>
    <w:rsid w:val="00DE10C4"/>
    <w:rsid w:val="00DE1831"/>
    <w:rsid w:val="00DE1F2E"/>
    <w:rsid w:val="00DE283F"/>
    <w:rsid w:val="00DE443E"/>
    <w:rsid w:val="00DE651F"/>
    <w:rsid w:val="00DE658D"/>
    <w:rsid w:val="00DE7A96"/>
    <w:rsid w:val="00DE7E69"/>
    <w:rsid w:val="00DF078C"/>
    <w:rsid w:val="00DF21E3"/>
    <w:rsid w:val="00DF2318"/>
    <w:rsid w:val="00DF2CE6"/>
    <w:rsid w:val="00DF3B20"/>
    <w:rsid w:val="00DF4AB4"/>
    <w:rsid w:val="00DF67D6"/>
    <w:rsid w:val="00DF746E"/>
    <w:rsid w:val="00E02C43"/>
    <w:rsid w:val="00E02CF4"/>
    <w:rsid w:val="00E0718C"/>
    <w:rsid w:val="00E10513"/>
    <w:rsid w:val="00E105A3"/>
    <w:rsid w:val="00E14B25"/>
    <w:rsid w:val="00E152D9"/>
    <w:rsid w:val="00E16316"/>
    <w:rsid w:val="00E20A63"/>
    <w:rsid w:val="00E20E28"/>
    <w:rsid w:val="00E219E7"/>
    <w:rsid w:val="00E22DF1"/>
    <w:rsid w:val="00E23E2B"/>
    <w:rsid w:val="00E24766"/>
    <w:rsid w:val="00E24A27"/>
    <w:rsid w:val="00E26520"/>
    <w:rsid w:val="00E26636"/>
    <w:rsid w:val="00E26A6F"/>
    <w:rsid w:val="00E27123"/>
    <w:rsid w:val="00E3010B"/>
    <w:rsid w:val="00E33E94"/>
    <w:rsid w:val="00E35E07"/>
    <w:rsid w:val="00E40998"/>
    <w:rsid w:val="00E40B8C"/>
    <w:rsid w:val="00E40C94"/>
    <w:rsid w:val="00E4366F"/>
    <w:rsid w:val="00E52A21"/>
    <w:rsid w:val="00E556F6"/>
    <w:rsid w:val="00E562C3"/>
    <w:rsid w:val="00E56760"/>
    <w:rsid w:val="00E642AA"/>
    <w:rsid w:val="00E64A17"/>
    <w:rsid w:val="00E6598E"/>
    <w:rsid w:val="00E65C0B"/>
    <w:rsid w:val="00E66DB5"/>
    <w:rsid w:val="00E67F41"/>
    <w:rsid w:val="00E72B45"/>
    <w:rsid w:val="00E7387A"/>
    <w:rsid w:val="00E738C0"/>
    <w:rsid w:val="00E73F82"/>
    <w:rsid w:val="00E745F4"/>
    <w:rsid w:val="00E74FB6"/>
    <w:rsid w:val="00E76D2D"/>
    <w:rsid w:val="00E77A99"/>
    <w:rsid w:val="00E77F48"/>
    <w:rsid w:val="00E80D61"/>
    <w:rsid w:val="00E829F5"/>
    <w:rsid w:val="00E84418"/>
    <w:rsid w:val="00E87D07"/>
    <w:rsid w:val="00E906E9"/>
    <w:rsid w:val="00E92BD1"/>
    <w:rsid w:val="00E96EA8"/>
    <w:rsid w:val="00E97119"/>
    <w:rsid w:val="00EA061F"/>
    <w:rsid w:val="00EA1BDC"/>
    <w:rsid w:val="00EA2798"/>
    <w:rsid w:val="00EA3FC9"/>
    <w:rsid w:val="00EA6366"/>
    <w:rsid w:val="00EB13C3"/>
    <w:rsid w:val="00EB33DB"/>
    <w:rsid w:val="00EB61F5"/>
    <w:rsid w:val="00EB6C9D"/>
    <w:rsid w:val="00EC0B36"/>
    <w:rsid w:val="00EC111B"/>
    <w:rsid w:val="00EC1611"/>
    <w:rsid w:val="00EC17B8"/>
    <w:rsid w:val="00EC35A7"/>
    <w:rsid w:val="00EC57A1"/>
    <w:rsid w:val="00ED0054"/>
    <w:rsid w:val="00ED3638"/>
    <w:rsid w:val="00ED44AC"/>
    <w:rsid w:val="00ED4F4A"/>
    <w:rsid w:val="00ED63B2"/>
    <w:rsid w:val="00ED66E0"/>
    <w:rsid w:val="00ED68DB"/>
    <w:rsid w:val="00ED6A2B"/>
    <w:rsid w:val="00EE236D"/>
    <w:rsid w:val="00EE3992"/>
    <w:rsid w:val="00EF0CDC"/>
    <w:rsid w:val="00EF2184"/>
    <w:rsid w:val="00EF2ED3"/>
    <w:rsid w:val="00EF3DE0"/>
    <w:rsid w:val="00EF43D0"/>
    <w:rsid w:val="00EF5147"/>
    <w:rsid w:val="00EF5C73"/>
    <w:rsid w:val="00EF671D"/>
    <w:rsid w:val="00F0238F"/>
    <w:rsid w:val="00F030A6"/>
    <w:rsid w:val="00F0477B"/>
    <w:rsid w:val="00F05E71"/>
    <w:rsid w:val="00F07FE0"/>
    <w:rsid w:val="00F116A4"/>
    <w:rsid w:val="00F15FFD"/>
    <w:rsid w:val="00F1708F"/>
    <w:rsid w:val="00F17551"/>
    <w:rsid w:val="00F2007E"/>
    <w:rsid w:val="00F219CF"/>
    <w:rsid w:val="00F229DF"/>
    <w:rsid w:val="00F244CE"/>
    <w:rsid w:val="00F25370"/>
    <w:rsid w:val="00F26B10"/>
    <w:rsid w:val="00F32A00"/>
    <w:rsid w:val="00F33A94"/>
    <w:rsid w:val="00F34F12"/>
    <w:rsid w:val="00F408CB"/>
    <w:rsid w:val="00F444C5"/>
    <w:rsid w:val="00F45D2E"/>
    <w:rsid w:val="00F4765B"/>
    <w:rsid w:val="00F51AFE"/>
    <w:rsid w:val="00F546B0"/>
    <w:rsid w:val="00F56B4C"/>
    <w:rsid w:val="00F56BE5"/>
    <w:rsid w:val="00F573A3"/>
    <w:rsid w:val="00F60518"/>
    <w:rsid w:val="00F6279C"/>
    <w:rsid w:val="00F62AFA"/>
    <w:rsid w:val="00F62D92"/>
    <w:rsid w:val="00F65B53"/>
    <w:rsid w:val="00F66EB8"/>
    <w:rsid w:val="00F72FCA"/>
    <w:rsid w:val="00F77943"/>
    <w:rsid w:val="00F821E6"/>
    <w:rsid w:val="00F82A31"/>
    <w:rsid w:val="00F838CA"/>
    <w:rsid w:val="00F860F6"/>
    <w:rsid w:val="00F90326"/>
    <w:rsid w:val="00F90601"/>
    <w:rsid w:val="00F90A86"/>
    <w:rsid w:val="00F918CB"/>
    <w:rsid w:val="00F91C0C"/>
    <w:rsid w:val="00F936A0"/>
    <w:rsid w:val="00F93914"/>
    <w:rsid w:val="00F9741D"/>
    <w:rsid w:val="00F978AA"/>
    <w:rsid w:val="00FA17E6"/>
    <w:rsid w:val="00FA4052"/>
    <w:rsid w:val="00FB05E2"/>
    <w:rsid w:val="00FB06A1"/>
    <w:rsid w:val="00FB28FB"/>
    <w:rsid w:val="00FB4CE3"/>
    <w:rsid w:val="00FB4E79"/>
    <w:rsid w:val="00FB64EA"/>
    <w:rsid w:val="00FB7D21"/>
    <w:rsid w:val="00FC27C1"/>
    <w:rsid w:val="00FC4B75"/>
    <w:rsid w:val="00FC681C"/>
    <w:rsid w:val="00FD0E24"/>
    <w:rsid w:val="00FD24E0"/>
    <w:rsid w:val="00FD35BB"/>
    <w:rsid w:val="00FD6A1F"/>
    <w:rsid w:val="00FE04B5"/>
    <w:rsid w:val="00FE193C"/>
    <w:rsid w:val="00FE26D7"/>
    <w:rsid w:val="00FE29A1"/>
    <w:rsid w:val="00FF01F2"/>
    <w:rsid w:val="00FF056C"/>
    <w:rsid w:val="00FF17D8"/>
    <w:rsid w:val="00FF3E32"/>
    <w:rsid w:val="00FF4F1A"/>
    <w:rsid w:val="00FF7630"/>
    <w:rsid w:val="00FF79B8"/>
    <w:rsid w:val="08275E38"/>
    <w:rsid w:val="0A7C2746"/>
    <w:rsid w:val="0AE277BF"/>
    <w:rsid w:val="29EE2DA6"/>
    <w:rsid w:val="301F1542"/>
    <w:rsid w:val="30474338"/>
    <w:rsid w:val="465B42AE"/>
    <w:rsid w:val="4E40420A"/>
    <w:rsid w:val="514D4100"/>
    <w:rsid w:val="601A731A"/>
    <w:rsid w:val="663D7AC6"/>
    <w:rsid w:val="707D3EDD"/>
    <w:rsid w:val="70BE70F5"/>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a0"/>
    <w:uiPriority w:val="99"/>
    <w:unhideWhenUsed/>
    <w:qFormat/>
    <w:pPr>
      <w:jc w:val="left"/>
    </w:pPr>
  </w:style>
  <w:style w:type="paragraph" w:styleId="BalloonText">
    <w:name w:val="Balloon Text"/>
    <w:basedOn w:val="Normal"/>
    <w:link w:val="a"/>
    <w:uiPriority w:val="99"/>
    <w:semiHidden/>
    <w:unhideWhenUsed/>
    <w:qFormat/>
    <w:rPr>
      <w:sz w:val="18"/>
      <w:szCs w:val="18"/>
    </w:rPr>
  </w:style>
  <w:style w:type="paragraph" w:styleId="Footer">
    <w:name w:val="footer"/>
    <w:basedOn w:val="Normal"/>
    <w:link w:val="a3"/>
    <w:uiPriority w:val="99"/>
    <w:unhideWhenUsed/>
    <w:qFormat/>
    <w:pPr>
      <w:tabs>
        <w:tab w:val="center" w:pos="4153"/>
        <w:tab w:val="right" w:pos="8306"/>
      </w:tabs>
      <w:snapToGrid w:val="0"/>
      <w:jc w:val="left"/>
    </w:pPr>
    <w:rPr>
      <w:sz w:val="18"/>
      <w:szCs w:val="18"/>
    </w:rPr>
  </w:style>
  <w:style w:type="paragraph" w:styleId="Header">
    <w:name w:val="header"/>
    <w:basedOn w:val="Normal"/>
    <w:link w:val="a2"/>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1"/>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CommentReference">
    <w:name w:val="annotation reference"/>
    <w:basedOn w:val="DefaultParagraphFont"/>
    <w:uiPriority w:val="99"/>
    <w:semiHidden/>
    <w:unhideWhenUsed/>
    <w:qFormat/>
    <w:rPr>
      <w:sz w:val="21"/>
      <w:szCs w:val="21"/>
    </w:rPr>
  </w:style>
  <w:style w:type="character" w:customStyle="1" w:styleId="a">
    <w:name w:val="批注框文本 字符"/>
    <w:basedOn w:val="DefaultParagraphFont"/>
    <w:link w:val="BalloonText"/>
    <w:uiPriority w:val="99"/>
    <w:semiHidden/>
    <w:qFormat/>
    <w:rPr>
      <w:sz w:val="18"/>
      <w:szCs w:val="18"/>
    </w:rPr>
  </w:style>
  <w:style w:type="character" w:customStyle="1" w:styleId="a0">
    <w:name w:val="批注文字 字符"/>
    <w:basedOn w:val="DefaultParagraphFont"/>
    <w:link w:val="CommentText"/>
    <w:uiPriority w:val="99"/>
    <w:qFormat/>
  </w:style>
  <w:style w:type="character" w:customStyle="1" w:styleId="a1">
    <w:name w:val="批注主题 字符"/>
    <w:basedOn w:val="a0"/>
    <w:link w:val="CommentSubject"/>
    <w:uiPriority w:val="99"/>
    <w:semiHidden/>
    <w:qFormat/>
    <w:rPr>
      <w:b/>
      <w:bCs/>
    </w:rPr>
  </w:style>
  <w:style w:type="character" w:customStyle="1" w:styleId="a2">
    <w:name w:val="页眉 字符"/>
    <w:basedOn w:val="DefaultParagraphFont"/>
    <w:link w:val="Header"/>
    <w:uiPriority w:val="99"/>
    <w:qFormat/>
    <w:rPr>
      <w:sz w:val="18"/>
      <w:szCs w:val="18"/>
    </w:rPr>
  </w:style>
  <w:style w:type="character" w:customStyle="1" w:styleId="a3">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 w:type="paragraph" w:customStyle="1" w:styleId="YJH-nei">
    <w:name w:val="YJH-nei"/>
    <w:basedOn w:val="Normal"/>
    <w:qFormat/>
    <w:pPr>
      <w:spacing w:line="600" w:lineRule="exact"/>
      <w:ind w:firstLine="200" w:firstLineChars="200"/>
    </w:pPr>
    <w:rPr>
      <w:rFonts w:ascii="仿宋_GB2312" w:eastAsia="仿宋_GB2312" w:hAnsi="宋体" w:cs="宋体" w:hint="eastAsia"/>
      <w:kern w:val="0"/>
      <w:sz w:val="30"/>
      <w:szCs w:val="30"/>
    </w:rPr>
  </w:style>
  <w:style w:type="paragraph" w:customStyle="1" w:styleId="1">
    <w:name w:val="修订1"/>
    <w:hidden/>
    <w:uiPriority w:val="99"/>
    <w:semiHidden/>
    <w:qFormat/>
    <w:rPr>
      <w:rFonts w:asciiTheme="minorHAnsi" w:eastAsiaTheme="minorEastAsia" w:hAnsiTheme="minorHAnsi" w:cstheme="minorBidi"/>
      <w:kern w:val="2"/>
      <w:sz w:val="21"/>
      <w:szCs w:val="22"/>
      <w:lang w:val="en-US" w:eastAsia="zh-CN" w:bidi="ar-SA"/>
    </w:rPr>
  </w:style>
  <w:style w:type="character" w:customStyle="1" w:styleId="sect2title1">
    <w:name w:val="sect2title1"/>
    <w:qFormat/>
    <w:rPr>
      <w:rFonts w:ascii="微软雅黑" w:eastAsia="微软雅黑" w:hAnsi="微软雅黑" w:hint="eastAsia"/>
      <w:b/>
      <w:bCs/>
      <w:sz w:val="21"/>
      <w:szCs w:val="21"/>
    </w:rPr>
  </w:style>
  <w:style w:type="character" w:customStyle="1" w:styleId="title1">
    <w:name w:val="title1"/>
    <w:qFormat/>
    <w:rPr>
      <w:rFonts w:ascii="微软雅黑" w:eastAsia="微软雅黑" w:hAnsi="微软雅黑" w:hint="eastAsia"/>
      <w:sz w:val="21"/>
      <w:szCs w:val="21"/>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qFormat/>
    <w:pPr>
      <w:widowControl/>
    </w:pPr>
    <w:rPr>
      <w:rFonts w:ascii="Times New Roman" w:eastAsia="宋体" w:hAnsi="Times New Roman" w:cs="Times New Roman"/>
      <w:kern w:val="0"/>
      <w:szCs w:val="21"/>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Revision">
    <w:name w:val="Revision"/>
    <w:hidden/>
    <w:uiPriority w:val="99"/>
    <w:semiHidden/>
    <w:qFormat/>
    <w:rPr>
      <w:rFonts w:asciiTheme="minorHAnsi" w:eastAsiaTheme="minorEastAsia" w:hAnsiTheme="minorHAnsi" w:cstheme="minorBidi"/>
      <w:kern w:val="2"/>
      <w:sz w:val="21"/>
      <w:szCs w:val="22"/>
      <w:lang w:val="en-US" w:eastAsia="zh-CN" w:bidi="ar-SA"/>
    </w:rPr>
  </w:style>
  <w:style w:type="table" w:customStyle="1" w:styleId="TableGrid0">
    <w:name w:val="Table Grid_0"/>
    <w:basedOn w:val="TableNormal"/>
    <w:uiPriority w:val="39"/>
    <w:qFormat/>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2CD5C-E12D-4322-9EB5-E12061CA56F8}">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20</Pages>
  <Words>3305</Words>
  <Characters>18841</Characters>
  <Application>Microsoft Office Word</Application>
  <DocSecurity>0</DocSecurity>
  <Lines>157</Lines>
  <Paragraphs>44</Paragraphs>
  <ScaleCrop>false</ScaleCrop>
  <Company>nbcb</Company>
  <LinksUpToDate>false</LinksUpToDate>
  <CharactersWithSpaces>22102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吴威</dc:creator>
  <cp:lastModifiedBy>Administrator</cp:lastModifiedBy>
  <cp:revision>4</cp:revision>
  <cp:lastPrinted>2020-06-01T05:48:00Z</cp:lastPrinted>
  <dcterms:created xsi:type="dcterms:W3CDTF">2022-11-29T06:46:00Z</dcterms:created>
  <dcterms:modified xsi:type="dcterms:W3CDTF">2026-04-28T00:21:56Z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F322FFB298D74609B61E27B8EDC9F7A0</vt:lpwstr>
  </property>
  <property fmtid="{D5CDD505-2E9C-101B-9397-08002B2CF9AE}" pid="3" name="KSOProductBuildVer">
    <vt:lpwstr>2052-11.8.2.11718</vt:lpwstr>
  </property>
</Properties>
</file>