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DAFE9C">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7E95649">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14:paraId="66AC9FD6">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4F500C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A59B977">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28CEA430">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7006F406">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3D5683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4A9580F">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4326FC6A">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14:paraId="53D5B325">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670705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7427869C">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37D7EB93">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14:paraId="7595AB2C">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43866F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5A59849">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092759F5">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14:paraId="4EC5A27F">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0F9963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A1986DF">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03DD2438">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14:paraId="301ACAAD">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32F31EA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3FF5C6C6">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3CADBFE1">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14:paraId="53627964">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4354BE11">
      <w:pPr>
        <w:widowControl/>
        <w:spacing w:line="360" w:lineRule="auto"/>
        <w:jc w:val="left"/>
        <w:rPr>
          <w:rFonts w:ascii="黑体" w:hAnsi="黑体" w:eastAsia="黑体"/>
          <w:b/>
          <w:szCs w:val="21"/>
        </w:rPr>
      </w:pPr>
      <w:r>
        <w:rPr>
          <w:rFonts w:hint="eastAsia" w:ascii="黑体" w:hAnsi="黑体" w:eastAsia="黑体"/>
          <w:b/>
          <w:szCs w:val="21"/>
        </w:rPr>
        <w:t>郑重提示：</w:t>
      </w:r>
    </w:p>
    <w:p w14:paraId="67398EFE">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2E97221B">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2C4597F8">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49EBCC4F">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740F43DF">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5DE4B849">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6E625053">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6592853A">
      <w:pPr>
        <w:tabs>
          <w:tab w:val="left" w:pos="6660"/>
        </w:tabs>
        <w:spacing w:line="360" w:lineRule="auto"/>
        <w:jc w:val="center"/>
        <w:rPr>
          <w:rFonts w:ascii="黑体" w:hAnsi="黑体" w:eastAsia="黑体"/>
          <w:kern w:val="0"/>
          <w:szCs w:val="21"/>
        </w:rPr>
      </w:pPr>
    </w:p>
    <w:p w14:paraId="2A9ADF3D">
      <w:pPr>
        <w:tabs>
          <w:tab w:val="left" w:pos="6660"/>
        </w:tabs>
        <w:spacing w:line="360" w:lineRule="auto"/>
        <w:jc w:val="center"/>
        <w:rPr>
          <w:bCs/>
          <w:sz w:val="44"/>
        </w:rPr>
      </w:pPr>
    </w:p>
    <w:p w14:paraId="2731AD40">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3436A43A">
      <w:pPr>
        <w:tabs>
          <w:tab w:val="left" w:pos="6660"/>
        </w:tabs>
        <w:spacing w:line="360" w:lineRule="auto"/>
        <w:jc w:val="center"/>
        <w:rPr>
          <w:bCs/>
          <w:sz w:val="44"/>
        </w:rPr>
      </w:pPr>
    </w:p>
    <w:p w14:paraId="7B118F61">
      <w:pPr>
        <w:spacing w:line="360" w:lineRule="auto"/>
        <w:jc w:val="center"/>
        <w:rPr>
          <w:b/>
          <w:sz w:val="52"/>
        </w:rPr>
      </w:pPr>
    </w:p>
    <w:p w14:paraId="0F1E42F0">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AA9180C">
      <w:pPr>
        <w:spacing w:line="360" w:lineRule="auto"/>
        <w:jc w:val="center"/>
        <w:rPr>
          <w:b/>
          <w:sz w:val="52"/>
        </w:rPr>
      </w:pPr>
    </w:p>
    <w:p w14:paraId="34A95BB1">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14:paraId="09FBFDFC">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5BCEB39B">
      <w:pPr>
        <w:spacing w:line="360" w:lineRule="auto"/>
        <w:jc w:val="center"/>
        <w:rPr>
          <w:b/>
          <w:sz w:val="28"/>
          <w:szCs w:val="28"/>
        </w:rPr>
      </w:pPr>
    </w:p>
    <w:p w14:paraId="669F1FC5">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4CEEE405">
      <w:pPr>
        <w:spacing w:line="360" w:lineRule="auto"/>
        <w:jc w:val="center"/>
        <w:rPr>
          <w:b/>
          <w:sz w:val="28"/>
          <w:szCs w:val="28"/>
        </w:rPr>
      </w:pPr>
    </w:p>
    <w:p w14:paraId="45C74C5D">
      <w:pPr>
        <w:spacing w:line="360" w:lineRule="auto"/>
        <w:jc w:val="center"/>
        <w:rPr>
          <w:b/>
          <w:sz w:val="28"/>
          <w:szCs w:val="28"/>
        </w:rPr>
      </w:pPr>
    </w:p>
    <w:p w14:paraId="4E8688F5">
      <w:pPr>
        <w:adjustRightInd w:val="0"/>
        <w:spacing w:line="360" w:lineRule="auto"/>
        <w:jc w:val="center"/>
        <w:rPr>
          <w:rStyle w:val="10"/>
          <w:rFonts w:ascii="宋体" w:hAnsi="宋体"/>
          <w:sz w:val="28"/>
          <w:szCs w:val="28"/>
        </w:rPr>
      </w:pPr>
      <w:bookmarkStart w:id="0" w:name="_Toc123701383"/>
      <w:bookmarkStart w:id="1" w:name="_Toc139992301"/>
      <w:bookmarkStart w:id="2" w:name="_Toc123112263"/>
      <w:bookmarkStart w:id="3" w:name="_Toc123112224"/>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030B0647">
      <w:pPr>
        <w:adjustRightInd w:val="0"/>
        <w:spacing w:line="360" w:lineRule="auto"/>
        <w:jc w:val="center"/>
        <w:rPr>
          <w:rStyle w:val="10"/>
          <w:rFonts w:ascii="黑体" w:hAnsi="黑体" w:eastAsia="黑体" w:cs="宋体"/>
          <w:sz w:val="28"/>
          <w:szCs w:val="28"/>
        </w:rPr>
      </w:pPr>
      <w:bookmarkStart w:id="5" w:name="_Toc123701384"/>
      <w:bookmarkStart w:id="6" w:name="_Toc139991727"/>
      <w:bookmarkStart w:id="7" w:name="_Toc139992302"/>
      <w:bookmarkStart w:id="8" w:name="_Toc123112264"/>
      <w:bookmarkStart w:id="9" w:name="_Toc123112225"/>
    </w:p>
    <w:bookmarkEnd w:id="5"/>
    <w:bookmarkEnd w:id="6"/>
    <w:bookmarkEnd w:id="7"/>
    <w:bookmarkEnd w:id="8"/>
    <w:bookmarkEnd w:id="9"/>
    <w:p w14:paraId="5D164F9F">
      <w:pPr>
        <w:adjustRightInd w:val="0"/>
        <w:spacing w:line="360" w:lineRule="auto"/>
        <w:jc w:val="center"/>
        <w:rPr>
          <w:rStyle w:val="10"/>
          <w:rFonts w:ascii="黑体" w:hAnsi="黑体" w:eastAsia="黑体" w:cs="宋体"/>
          <w:sz w:val="28"/>
          <w:szCs w:val="28"/>
        </w:rPr>
      </w:pPr>
    </w:p>
    <w:p w14:paraId="6CC51528">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6756265E">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1F6EA3FF">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25F0BD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072B4747">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74BC17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0153EA4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E0A294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3C3DCE0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422E85CF">
            <w:pPr>
              <w:pStyle w:val="6"/>
              <w:snapToGrid w:val="0"/>
              <w:spacing w:before="0" w:beforeAutospacing="0" w:after="0" w:afterAutospacing="0" w:line="360" w:lineRule="auto"/>
              <w:jc w:val="both"/>
              <w:rPr>
                <w:rFonts w:ascii="黑体" w:hAnsi="黑体" w:eastAsia="黑体"/>
                <w:bCs/>
                <w:sz w:val="18"/>
                <w:szCs w:val="18"/>
              </w:rPr>
            </w:pPr>
          </w:p>
          <w:p w14:paraId="24D972B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7B57272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007F77EC">
            <w:pPr>
              <w:pStyle w:val="6"/>
              <w:snapToGrid w:val="0"/>
              <w:spacing w:before="0" w:beforeAutospacing="0" w:after="0" w:afterAutospacing="0" w:line="360" w:lineRule="auto"/>
              <w:jc w:val="both"/>
              <w:rPr>
                <w:rFonts w:ascii="黑体" w:hAnsi="黑体" w:eastAsia="黑体"/>
                <w:bCs/>
                <w:sz w:val="18"/>
                <w:szCs w:val="18"/>
              </w:rPr>
            </w:pPr>
          </w:p>
          <w:p w14:paraId="2A1CACD3">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5EB8AFB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3CAA1B47">
            <w:pPr>
              <w:pStyle w:val="6"/>
              <w:snapToGrid w:val="0"/>
              <w:spacing w:before="0" w:beforeAutospacing="0" w:after="0" w:afterAutospacing="0" w:line="360" w:lineRule="auto"/>
              <w:jc w:val="both"/>
              <w:rPr>
                <w:rFonts w:ascii="黑体" w:hAnsi="黑体" w:eastAsia="黑体"/>
                <w:bCs/>
                <w:sz w:val="18"/>
                <w:szCs w:val="18"/>
              </w:rPr>
            </w:pPr>
          </w:p>
          <w:p w14:paraId="74B2288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4B5A03B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135222EC">
            <w:pPr>
              <w:pStyle w:val="6"/>
              <w:snapToGrid w:val="0"/>
              <w:spacing w:before="0" w:beforeAutospacing="0" w:after="0" w:afterAutospacing="0" w:line="360" w:lineRule="auto"/>
              <w:jc w:val="both"/>
              <w:rPr>
                <w:rFonts w:ascii="黑体" w:hAnsi="黑体" w:eastAsia="黑体"/>
                <w:bCs/>
                <w:sz w:val="18"/>
                <w:szCs w:val="18"/>
              </w:rPr>
            </w:pPr>
          </w:p>
          <w:p w14:paraId="45360E4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7B0DF0BD">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5D051ED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32FB0A8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4255259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76EA450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0C38710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4556D4D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7AE1E89E">
            <w:pPr>
              <w:pStyle w:val="6"/>
              <w:snapToGrid w:val="0"/>
              <w:spacing w:before="0" w:beforeAutospacing="0" w:after="0" w:afterAutospacing="0" w:line="360" w:lineRule="auto"/>
              <w:jc w:val="both"/>
              <w:rPr>
                <w:rFonts w:ascii="黑体" w:hAnsi="黑体" w:eastAsia="黑体"/>
                <w:bCs/>
                <w:sz w:val="18"/>
                <w:szCs w:val="18"/>
              </w:rPr>
            </w:pPr>
          </w:p>
          <w:p w14:paraId="4FAB5B0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46CEE62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7956577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1F80371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1DFA1467">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5BCA9454">
            <w:pPr>
              <w:pStyle w:val="6"/>
              <w:snapToGrid w:val="0"/>
              <w:spacing w:before="0" w:beforeAutospacing="0" w:after="0" w:afterAutospacing="0" w:line="360" w:lineRule="auto"/>
              <w:jc w:val="both"/>
              <w:rPr>
                <w:rFonts w:ascii="黑体" w:hAnsi="黑体" w:eastAsia="黑体"/>
                <w:bCs/>
                <w:sz w:val="18"/>
                <w:szCs w:val="18"/>
              </w:rPr>
            </w:pPr>
          </w:p>
          <w:p w14:paraId="0F172B9A">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79774B99">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56881473">
            <w:pPr>
              <w:pStyle w:val="6"/>
              <w:snapToGrid w:val="0"/>
              <w:spacing w:before="0" w:beforeAutospacing="0" w:after="0" w:afterAutospacing="0"/>
              <w:jc w:val="both"/>
              <w:rPr>
                <w:rFonts w:ascii="黑体" w:hAnsi="黑体" w:eastAsia="黑体"/>
                <w:bCs/>
                <w:sz w:val="18"/>
                <w:szCs w:val="18"/>
              </w:rPr>
            </w:pPr>
          </w:p>
          <w:p w14:paraId="4BE8E2E6">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662B38D1">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0E600B66">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27"/>
      <w:bookmarkStart w:id="12" w:name="_Toc139991729"/>
      <w:bookmarkStart w:id="13" w:name="_Toc123112266"/>
    </w:p>
    <w:p w14:paraId="36D246BD">
      <w:pPr>
        <w:widowControl/>
        <w:jc w:val="left"/>
        <w:rPr>
          <w:rFonts w:ascii="宋体" w:hAnsi="宋体" w:cs="仿宋_GB2312"/>
          <w:b/>
          <w:kern w:val="0"/>
          <w:sz w:val="18"/>
          <w:szCs w:val="18"/>
        </w:rPr>
      </w:pPr>
      <w:r>
        <w:rPr>
          <w:rFonts w:ascii="宋体" w:hAnsi="宋体" w:cs="仿宋_GB2312"/>
          <w:b/>
          <w:kern w:val="0"/>
          <w:sz w:val="18"/>
          <w:szCs w:val="18"/>
        </w:rPr>
        <w:br w:type="page"/>
      </w:r>
    </w:p>
    <w:p w14:paraId="5C3EDC99">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187955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26FF2268">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000FCF08">
            <w:pPr>
              <w:pStyle w:val="4"/>
              <w:spacing w:line="360" w:lineRule="auto"/>
              <w:rPr>
                <w:rFonts w:ascii="宋体" w:hAnsi="宋体"/>
                <w:b/>
                <w:bCs/>
                <w:sz w:val="28"/>
                <w:szCs w:val="28"/>
              </w:rPr>
            </w:pPr>
          </w:p>
        </w:tc>
      </w:tr>
      <w:tr w14:paraId="44AC07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604C7EA5">
            <w:pPr>
              <w:pStyle w:val="4"/>
              <w:spacing w:line="360" w:lineRule="auto"/>
              <w:rPr>
                <w:rFonts w:ascii="宋体" w:hAnsi="宋体"/>
                <w:b/>
                <w:bCs/>
                <w:sz w:val="28"/>
                <w:szCs w:val="28"/>
              </w:rPr>
            </w:pPr>
          </w:p>
        </w:tc>
      </w:tr>
      <w:tr w14:paraId="15DDDC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2F4490B5">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725AD718">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491980BD">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3C9BEF04">
            <w:pPr>
              <w:spacing w:line="360" w:lineRule="auto"/>
              <w:jc w:val="left"/>
              <w:rPr>
                <w:rFonts w:ascii="宋体" w:hAnsi="宋体"/>
                <w:bCs/>
                <w:sz w:val="18"/>
                <w:szCs w:val="18"/>
              </w:rPr>
            </w:pPr>
          </w:p>
        </w:tc>
      </w:tr>
      <w:tr w14:paraId="7E13DE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3F407CF">
            <w:pPr>
              <w:spacing w:line="360" w:lineRule="auto"/>
              <w:jc w:val="left"/>
              <w:rPr>
                <w:rFonts w:ascii="宋体" w:hAnsi="宋体"/>
                <w:b/>
                <w:bCs/>
                <w:sz w:val="18"/>
                <w:szCs w:val="18"/>
              </w:rPr>
            </w:pPr>
          </w:p>
        </w:tc>
        <w:tc>
          <w:tcPr>
            <w:tcW w:w="708" w:type="dxa"/>
            <w:vMerge w:val="continue"/>
            <w:shd w:val="solid" w:color="FFFFFF" w:fill="FFFFFF"/>
            <w:vAlign w:val="center"/>
          </w:tcPr>
          <w:p w14:paraId="34C73AC4">
            <w:pPr>
              <w:spacing w:line="360" w:lineRule="auto"/>
              <w:jc w:val="left"/>
              <w:rPr>
                <w:rFonts w:ascii="宋体" w:hAnsi="宋体"/>
                <w:bCs/>
                <w:sz w:val="18"/>
                <w:szCs w:val="18"/>
              </w:rPr>
            </w:pPr>
          </w:p>
        </w:tc>
        <w:tc>
          <w:tcPr>
            <w:tcW w:w="982" w:type="dxa"/>
            <w:shd w:val="solid" w:color="FFFFFF" w:fill="FFFFFF"/>
            <w:vAlign w:val="center"/>
          </w:tcPr>
          <w:p w14:paraId="20E9BDF6">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01092E9F">
            <w:pPr>
              <w:spacing w:line="360" w:lineRule="auto"/>
              <w:jc w:val="left"/>
              <w:rPr>
                <w:rFonts w:ascii="宋体" w:hAnsi="宋体"/>
                <w:bCs/>
                <w:sz w:val="18"/>
                <w:szCs w:val="18"/>
              </w:rPr>
            </w:pPr>
          </w:p>
        </w:tc>
        <w:tc>
          <w:tcPr>
            <w:tcW w:w="1417" w:type="dxa"/>
            <w:shd w:val="solid" w:color="FFFFFF" w:fill="FFFFFF"/>
            <w:vAlign w:val="center"/>
          </w:tcPr>
          <w:p w14:paraId="264609D0">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47432B05">
            <w:pPr>
              <w:spacing w:line="360" w:lineRule="auto"/>
              <w:jc w:val="left"/>
              <w:rPr>
                <w:rFonts w:ascii="宋体" w:hAnsi="宋体"/>
                <w:bCs/>
                <w:sz w:val="18"/>
                <w:szCs w:val="18"/>
              </w:rPr>
            </w:pPr>
          </w:p>
        </w:tc>
      </w:tr>
      <w:tr w14:paraId="3633A3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93CB31B">
            <w:pPr>
              <w:spacing w:line="360" w:lineRule="auto"/>
              <w:jc w:val="left"/>
              <w:rPr>
                <w:rFonts w:ascii="宋体" w:hAnsi="宋体"/>
                <w:b/>
                <w:bCs/>
                <w:sz w:val="18"/>
                <w:szCs w:val="18"/>
              </w:rPr>
            </w:pPr>
          </w:p>
        </w:tc>
        <w:tc>
          <w:tcPr>
            <w:tcW w:w="708" w:type="dxa"/>
            <w:vMerge w:val="continue"/>
            <w:shd w:val="solid" w:color="FFFFFF" w:fill="FFFFFF"/>
            <w:vAlign w:val="center"/>
          </w:tcPr>
          <w:p w14:paraId="3D648E2C">
            <w:pPr>
              <w:spacing w:line="360" w:lineRule="auto"/>
              <w:jc w:val="left"/>
              <w:rPr>
                <w:rFonts w:ascii="宋体" w:hAnsi="宋体"/>
                <w:bCs/>
                <w:sz w:val="18"/>
                <w:szCs w:val="18"/>
              </w:rPr>
            </w:pPr>
          </w:p>
        </w:tc>
        <w:tc>
          <w:tcPr>
            <w:tcW w:w="982" w:type="dxa"/>
            <w:shd w:val="solid" w:color="FFFFFF" w:fill="FFFFFF"/>
            <w:vAlign w:val="center"/>
          </w:tcPr>
          <w:p w14:paraId="75801FF3">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239B274F">
            <w:pPr>
              <w:spacing w:line="360" w:lineRule="auto"/>
              <w:jc w:val="left"/>
              <w:rPr>
                <w:rFonts w:ascii="宋体" w:hAnsi="宋体"/>
                <w:bCs/>
                <w:sz w:val="18"/>
                <w:szCs w:val="18"/>
              </w:rPr>
            </w:pPr>
          </w:p>
        </w:tc>
        <w:tc>
          <w:tcPr>
            <w:tcW w:w="1417" w:type="dxa"/>
            <w:shd w:val="solid" w:color="FFFFFF" w:fill="FFFFFF"/>
            <w:vAlign w:val="center"/>
          </w:tcPr>
          <w:p w14:paraId="6063B274">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3965FE90">
            <w:pPr>
              <w:spacing w:line="360" w:lineRule="auto"/>
              <w:jc w:val="left"/>
              <w:rPr>
                <w:rFonts w:ascii="宋体" w:hAnsi="宋体"/>
                <w:bCs/>
                <w:sz w:val="18"/>
                <w:szCs w:val="18"/>
              </w:rPr>
            </w:pPr>
          </w:p>
        </w:tc>
      </w:tr>
      <w:tr w14:paraId="36123F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AB20494">
            <w:pPr>
              <w:spacing w:line="360" w:lineRule="auto"/>
              <w:jc w:val="left"/>
              <w:rPr>
                <w:rFonts w:ascii="宋体" w:hAnsi="宋体"/>
                <w:b/>
                <w:bCs/>
                <w:sz w:val="18"/>
                <w:szCs w:val="18"/>
              </w:rPr>
            </w:pPr>
          </w:p>
        </w:tc>
        <w:tc>
          <w:tcPr>
            <w:tcW w:w="708" w:type="dxa"/>
            <w:vMerge w:val="continue"/>
            <w:shd w:val="solid" w:color="FFFFFF" w:fill="FFFFFF"/>
            <w:vAlign w:val="center"/>
          </w:tcPr>
          <w:p w14:paraId="6B346E38">
            <w:pPr>
              <w:spacing w:line="360" w:lineRule="auto"/>
              <w:jc w:val="left"/>
              <w:rPr>
                <w:rFonts w:ascii="宋体" w:hAnsi="宋体"/>
                <w:bCs/>
                <w:sz w:val="18"/>
                <w:szCs w:val="18"/>
              </w:rPr>
            </w:pPr>
          </w:p>
        </w:tc>
        <w:tc>
          <w:tcPr>
            <w:tcW w:w="982" w:type="dxa"/>
            <w:shd w:val="solid" w:color="FFFFFF" w:fill="FFFFFF"/>
            <w:vAlign w:val="center"/>
          </w:tcPr>
          <w:p w14:paraId="70B59576">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310204A6">
            <w:pPr>
              <w:spacing w:line="360" w:lineRule="auto"/>
              <w:jc w:val="left"/>
              <w:rPr>
                <w:rFonts w:ascii="宋体" w:hAnsi="宋体"/>
                <w:bCs/>
                <w:sz w:val="18"/>
                <w:szCs w:val="18"/>
              </w:rPr>
            </w:pPr>
          </w:p>
        </w:tc>
      </w:tr>
      <w:tr w14:paraId="514E2A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3310A784">
            <w:pPr>
              <w:spacing w:line="360" w:lineRule="auto"/>
              <w:jc w:val="left"/>
              <w:rPr>
                <w:rFonts w:ascii="宋体" w:hAnsi="宋体"/>
                <w:b/>
                <w:bCs/>
                <w:sz w:val="18"/>
                <w:szCs w:val="18"/>
              </w:rPr>
            </w:pPr>
          </w:p>
        </w:tc>
        <w:tc>
          <w:tcPr>
            <w:tcW w:w="708" w:type="dxa"/>
            <w:vMerge w:val="continue"/>
            <w:shd w:val="solid" w:color="FFFFFF" w:fill="FFFFFF"/>
            <w:vAlign w:val="center"/>
          </w:tcPr>
          <w:p w14:paraId="2E841B31">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299C9A93">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75FAAFD3">
            <w:pPr>
              <w:spacing w:line="360" w:lineRule="auto"/>
              <w:jc w:val="left"/>
              <w:rPr>
                <w:rFonts w:ascii="宋体" w:hAnsi="宋体"/>
                <w:bCs/>
                <w:sz w:val="18"/>
                <w:szCs w:val="18"/>
              </w:rPr>
            </w:pPr>
          </w:p>
        </w:tc>
      </w:tr>
      <w:tr w14:paraId="69911C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B9DF69D">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095EA478">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60148B1">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E82EB31">
            <w:pPr>
              <w:spacing w:line="360" w:lineRule="auto"/>
              <w:jc w:val="left"/>
              <w:rPr>
                <w:rFonts w:ascii="宋体" w:hAnsi="宋体"/>
                <w:bCs/>
                <w:sz w:val="18"/>
                <w:szCs w:val="18"/>
              </w:rPr>
            </w:pPr>
          </w:p>
        </w:tc>
      </w:tr>
      <w:tr w14:paraId="24D887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4AFC608">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8303FD1">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A40107E">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74ACE1D">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5D55742">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21E2C87">
            <w:pPr>
              <w:spacing w:line="360" w:lineRule="auto"/>
              <w:jc w:val="left"/>
              <w:rPr>
                <w:rFonts w:ascii="宋体" w:hAnsi="宋体"/>
                <w:bCs/>
                <w:sz w:val="18"/>
                <w:szCs w:val="18"/>
              </w:rPr>
            </w:pPr>
          </w:p>
        </w:tc>
      </w:tr>
      <w:tr w14:paraId="4D4181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0B193E8">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C0CFF2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F48F1BB">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0C9463A">
            <w:pPr>
              <w:spacing w:line="360" w:lineRule="auto"/>
              <w:jc w:val="left"/>
              <w:rPr>
                <w:rFonts w:ascii="宋体" w:hAnsi="宋体"/>
                <w:bCs/>
                <w:sz w:val="18"/>
                <w:szCs w:val="18"/>
              </w:rPr>
            </w:pPr>
          </w:p>
        </w:tc>
      </w:tr>
      <w:tr w14:paraId="70B7CB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7EC0B5D">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4E394B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755B795">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CFBAB2">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F23BE8D">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1A0731B">
            <w:pPr>
              <w:spacing w:line="360" w:lineRule="auto"/>
              <w:jc w:val="left"/>
              <w:rPr>
                <w:rFonts w:ascii="宋体" w:hAnsi="宋体"/>
                <w:bCs/>
                <w:sz w:val="18"/>
                <w:szCs w:val="18"/>
              </w:rPr>
            </w:pPr>
          </w:p>
        </w:tc>
      </w:tr>
      <w:tr w14:paraId="77F9A9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BFC3645">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746A77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CA4EC42">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9D181F4">
            <w:pPr>
              <w:spacing w:line="360" w:lineRule="auto"/>
              <w:jc w:val="left"/>
              <w:rPr>
                <w:rFonts w:ascii="宋体" w:hAnsi="宋体"/>
                <w:bCs/>
                <w:sz w:val="18"/>
                <w:szCs w:val="18"/>
              </w:rPr>
            </w:pPr>
          </w:p>
        </w:tc>
      </w:tr>
      <w:tr w14:paraId="3839A7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7BF6D702">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381C110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38860FD">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77EC3F4">
            <w:pPr>
              <w:spacing w:line="360" w:lineRule="auto"/>
              <w:jc w:val="left"/>
              <w:rPr>
                <w:rFonts w:ascii="宋体" w:hAnsi="宋体"/>
                <w:bCs/>
                <w:sz w:val="18"/>
                <w:szCs w:val="18"/>
              </w:rPr>
            </w:pPr>
          </w:p>
        </w:tc>
      </w:tr>
      <w:tr w14:paraId="77D42E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302AB67">
            <w:pPr>
              <w:pStyle w:val="4"/>
              <w:pBdr>
                <w:bottom w:val="none" w:color="auto" w:sz="0" w:space="0"/>
              </w:pBdr>
              <w:spacing w:line="360" w:lineRule="auto"/>
              <w:rPr>
                <w:rFonts w:ascii="宋体" w:hAnsi="宋体"/>
                <w:b/>
                <w:bCs/>
                <w:szCs w:val="18"/>
              </w:rPr>
            </w:pPr>
          </w:p>
        </w:tc>
      </w:tr>
      <w:tr w14:paraId="65CA18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79F6CA03">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6D7A04FB">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27AD488E">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784C3B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2694BEE2">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4153F5A9">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0A7C0CF4">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6AA3E3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9E54855">
            <w:pPr>
              <w:spacing w:line="360" w:lineRule="auto"/>
              <w:jc w:val="left"/>
              <w:rPr>
                <w:rFonts w:ascii="宋体" w:hAnsi="宋体"/>
                <w:bCs/>
                <w:sz w:val="18"/>
                <w:szCs w:val="18"/>
              </w:rPr>
            </w:pPr>
          </w:p>
        </w:tc>
      </w:tr>
      <w:tr w14:paraId="1AC52C4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55FEB428">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62750379">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2A6E32F4">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【兴银理财稳利安盈封闭式2026年459期固收类理财产品】</w:t>
            </w:r>
          </w:p>
        </w:tc>
      </w:tr>
      <w:tr w14:paraId="25B730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3E47453C">
            <w:pPr>
              <w:spacing w:line="360" w:lineRule="auto"/>
              <w:jc w:val="left"/>
              <w:rPr>
                <w:rFonts w:ascii="宋体" w:hAnsi="宋体"/>
                <w:b/>
                <w:bCs/>
                <w:sz w:val="18"/>
                <w:szCs w:val="18"/>
              </w:rPr>
            </w:pPr>
          </w:p>
        </w:tc>
        <w:tc>
          <w:tcPr>
            <w:tcW w:w="1690" w:type="dxa"/>
            <w:gridSpan w:val="2"/>
            <w:shd w:val="solid" w:color="FFFFFF" w:fill="FFFFFF"/>
            <w:vAlign w:val="center"/>
          </w:tcPr>
          <w:p w14:paraId="1A9BABEF">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5C3CCB6A">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【稳利安盈2026年459期A】 (适用【A】类份额)</w:t>
            </w:r>
            <w:r>
              <w:rPr>
                <w:rFonts w:ascii="宋体" w:hAnsi="宋体" w:eastAsia="宋体" w:cs="宋体"/>
                <w:sz w:val="18"/>
              </w:rPr>
              <w:br w:type="textWrapping"/>
            </w:r>
            <w:r>
              <w:rPr>
                <w:rFonts w:ascii="宋体" w:hAnsi="宋体" w:eastAsia="宋体" w:cs="宋体"/>
                <w:sz w:val="18"/>
              </w:rPr>
              <w:t>【稳利安盈2026年459期B】 (适用【B】类份额)</w:t>
            </w:r>
            <w:r>
              <w:rPr>
                <w:rFonts w:ascii="宋体" w:hAnsi="宋体" w:eastAsia="宋体" w:cs="宋体"/>
                <w:sz w:val="18"/>
              </w:rPr>
              <w:br w:type="textWrapping"/>
            </w:r>
            <w:r>
              <w:rPr>
                <w:rFonts w:ascii="宋体" w:hAnsi="宋体" w:eastAsia="宋体" w:cs="宋体"/>
                <w:sz w:val="18"/>
              </w:rPr>
              <w:t>【稳利安盈2026年459期C】 (适用【C】类份额)</w:t>
            </w:r>
            <w:r>
              <w:rPr>
                <w:rFonts w:ascii="宋体" w:hAnsi="宋体" w:eastAsia="宋体" w:cs="宋体"/>
                <w:sz w:val="18"/>
              </w:rPr>
              <w:br w:type="textWrapping"/>
            </w:r>
            <w:r>
              <w:rPr>
                <w:rFonts w:ascii="宋体" w:hAnsi="宋体" w:eastAsia="宋体" w:cs="宋体"/>
                <w:sz w:val="18"/>
              </w:rPr>
              <w:t>【稳利安盈2026年459期F】 (适用【F】类份额)</w:t>
            </w:r>
          </w:p>
        </w:tc>
      </w:tr>
      <w:tr w14:paraId="337B1A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310E4C42">
            <w:pPr>
              <w:spacing w:line="360" w:lineRule="auto"/>
              <w:jc w:val="left"/>
              <w:rPr>
                <w:rFonts w:ascii="宋体" w:hAnsi="宋体"/>
                <w:b/>
                <w:bCs/>
                <w:sz w:val="18"/>
                <w:szCs w:val="18"/>
              </w:rPr>
            </w:pPr>
          </w:p>
        </w:tc>
        <w:tc>
          <w:tcPr>
            <w:tcW w:w="1690" w:type="dxa"/>
            <w:gridSpan w:val="2"/>
            <w:shd w:val="solid" w:color="FFFFFF" w:fill="FFFFFF"/>
          </w:tcPr>
          <w:p w14:paraId="28F5A174">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0A26365C">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Z7002025001977</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14:paraId="5D593F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7A5F47EE">
            <w:pPr>
              <w:spacing w:line="360" w:lineRule="auto"/>
              <w:jc w:val="left"/>
              <w:rPr>
                <w:rFonts w:ascii="宋体" w:hAnsi="宋体"/>
                <w:b/>
                <w:bCs/>
                <w:sz w:val="18"/>
                <w:szCs w:val="18"/>
              </w:rPr>
            </w:pPr>
          </w:p>
        </w:tc>
        <w:tc>
          <w:tcPr>
            <w:tcW w:w="1690" w:type="dxa"/>
            <w:gridSpan w:val="2"/>
            <w:shd w:val="solid" w:color="FFFFFF" w:fill="FFFFFF"/>
            <w:vAlign w:val="center"/>
          </w:tcPr>
          <w:p w14:paraId="5E55D9F4">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762C77FC">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【9A264590】</w:t>
            </w:r>
          </w:p>
        </w:tc>
      </w:tr>
      <w:tr w14:paraId="14A72D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6FDEE35A">
            <w:pPr>
              <w:spacing w:line="360" w:lineRule="auto"/>
              <w:jc w:val="left"/>
              <w:rPr>
                <w:rFonts w:ascii="宋体" w:hAnsi="宋体"/>
                <w:b/>
                <w:bCs/>
                <w:sz w:val="18"/>
                <w:szCs w:val="18"/>
              </w:rPr>
            </w:pPr>
          </w:p>
        </w:tc>
        <w:tc>
          <w:tcPr>
            <w:tcW w:w="1690" w:type="dxa"/>
            <w:gridSpan w:val="2"/>
            <w:shd w:val="solid" w:color="FFFFFF" w:fill="FFFFFF"/>
            <w:vAlign w:val="center"/>
          </w:tcPr>
          <w:p w14:paraId="03A2CEAA">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1BD749C4">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【9A26459A】 (适用【A】类份额)</w:t>
            </w:r>
            <w:r>
              <w:rPr>
                <w:rFonts w:ascii="宋体" w:hAnsi="宋体" w:eastAsia="宋体" w:cs="宋体"/>
                <w:sz w:val="18"/>
              </w:rPr>
              <w:br w:type="textWrapping"/>
            </w:r>
            <w:r>
              <w:rPr>
                <w:rFonts w:ascii="宋体" w:hAnsi="宋体" w:eastAsia="宋体" w:cs="宋体"/>
                <w:sz w:val="18"/>
              </w:rPr>
              <w:t>【9A26459B】 (适用【B】类份额)</w:t>
            </w:r>
            <w:r>
              <w:rPr>
                <w:rFonts w:ascii="宋体" w:hAnsi="宋体" w:eastAsia="宋体" w:cs="宋体"/>
                <w:sz w:val="18"/>
              </w:rPr>
              <w:br w:type="textWrapping"/>
            </w:r>
            <w:r>
              <w:rPr>
                <w:rFonts w:ascii="宋体" w:hAnsi="宋体" w:eastAsia="宋体" w:cs="宋体"/>
                <w:sz w:val="18"/>
              </w:rPr>
              <w:t>【9A26459C】 (适用【C】类份额)</w:t>
            </w:r>
            <w:r>
              <w:rPr>
                <w:rFonts w:ascii="宋体" w:hAnsi="宋体" w:eastAsia="宋体" w:cs="宋体"/>
                <w:sz w:val="18"/>
              </w:rPr>
              <w:br w:type="textWrapping"/>
            </w:r>
            <w:r>
              <w:rPr>
                <w:rFonts w:ascii="宋体" w:hAnsi="宋体" w:eastAsia="宋体" w:cs="宋体"/>
                <w:sz w:val="18"/>
              </w:rPr>
              <w:t>【9A26459F】 (适用【F】类份额)</w:t>
            </w:r>
          </w:p>
        </w:tc>
      </w:tr>
      <w:tr w14:paraId="66689B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D9EF702">
            <w:pPr>
              <w:spacing w:line="360" w:lineRule="auto"/>
              <w:jc w:val="left"/>
              <w:rPr>
                <w:rFonts w:ascii="宋体" w:hAnsi="宋体"/>
                <w:b/>
                <w:bCs/>
                <w:sz w:val="18"/>
                <w:szCs w:val="18"/>
              </w:rPr>
            </w:pPr>
          </w:p>
        </w:tc>
      </w:tr>
      <w:tr w14:paraId="551B63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25885C35">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40FA2BCF">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4D3D1308">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0448201E">
          <w:pPr>
            <w:pStyle w:val="13"/>
            <w:spacing w:line="360" w:lineRule="auto"/>
            <w:jc w:val="center"/>
          </w:pPr>
          <w:r>
            <w:rPr>
              <w:rFonts w:hint="eastAsia"/>
              <w:lang w:val="zh-CN"/>
            </w:rPr>
            <w:t>目录</w:t>
          </w:r>
        </w:p>
        <w:p w14:paraId="3DC86FE4">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76056A00">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242D13AA">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5B8B3296">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79B6C9A0">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1B4CB42F">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338DBD7D">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2F1DE027">
          <w:pPr>
            <w:spacing w:line="360" w:lineRule="auto"/>
          </w:pPr>
          <w:r>
            <w:rPr>
              <w:bCs/>
              <w:lang w:val="zh-CN"/>
            </w:rPr>
            <w:fldChar w:fldCharType="end"/>
          </w:r>
        </w:p>
      </w:sdtContent>
    </w:sdt>
    <w:p w14:paraId="7A8C4EE4">
      <w:pPr>
        <w:widowControl/>
        <w:jc w:val="left"/>
        <w:rPr>
          <w:rFonts w:ascii="宋体" w:hAnsi="宋体" w:cs="仿宋_GB2312"/>
          <w:b/>
          <w:kern w:val="0"/>
          <w:sz w:val="18"/>
          <w:szCs w:val="18"/>
        </w:rPr>
      </w:pPr>
      <w:r>
        <w:rPr>
          <w:rFonts w:ascii="宋体" w:hAnsi="宋体" w:cs="仿宋_GB2312"/>
          <w:b/>
          <w:kern w:val="0"/>
          <w:sz w:val="18"/>
          <w:szCs w:val="18"/>
        </w:rPr>
        <w:br w:type="page"/>
      </w:r>
    </w:p>
    <w:p w14:paraId="79F453AE">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3B65C9C1">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4BE1475C">
      <w:pPr>
        <w:spacing w:line="360" w:lineRule="auto"/>
      </w:pPr>
    </w:p>
    <w:bookmarkEnd w:id="10"/>
    <w:bookmarkEnd w:id="11"/>
    <w:bookmarkEnd w:id="12"/>
    <w:bookmarkEnd w:id="13"/>
    <w:p w14:paraId="451B2761">
      <w:pPr>
        <w:pStyle w:val="2"/>
        <w:spacing w:before="0" w:after="0"/>
        <w:jc w:val="center"/>
        <w:rPr>
          <w:rFonts w:ascii="Times New Roman"/>
          <w:color w:val="auto"/>
          <w:sz w:val="30"/>
        </w:rPr>
      </w:pPr>
      <w:bookmarkStart w:id="14" w:name="_Toc6306"/>
      <w:bookmarkStart w:id="15" w:name="_Toc123112229"/>
      <w:bookmarkStart w:id="16" w:name="_Toc139991730"/>
      <w:bookmarkStart w:id="17" w:name="_Toc26897"/>
      <w:bookmarkStart w:id="18" w:name="_Toc8727"/>
      <w:bookmarkStart w:id="19" w:name="_Toc29629"/>
      <w:bookmarkStart w:id="20" w:name="_Toc141703880"/>
      <w:bookmarkStart w:id="21" w:name="_Toc123112268"/>
      <w:bookmarkStart w:id="22" w:name="_Toc32639"/>
      <w:bookmarkStart w:id="23" w:name="_Toc15517"/>
      <w:bookmarkStart w:id="24" w:name="_Toc30935"/>
      <w:bookmarkStart w:id="25" w:name="_Toc123701389"/>
      <w:bookmarkStart w:id="26" w:name="_Toc4867"/>
      <w:bookmarkStart w:id="27" w:name="_Toc23386"/>
      <w:bookmarkStart w:id="28" w:name="_Toc496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819"/>
      <w:bookmarkStart w:id="34" w:name="_Toc15067"/>
      <w:bookmarkStart w:id="35" w:name="_Toc21301"/>
      <w:bookmarkStart w:id="36" w:name="_Toc19592"/>
      <w:bookmarkStart w:id="37" w:name="_Toc3224"/>
      <w:bookmarkStart w:id="38" w:name="_Toc24860"/>
      <w:bookmarkStart w:id="39" w:name="_Toc258829399"/>
      <w:bookmarkStart w:id="40" w:name="_Toc22864"/>
      <w:bookmarkStart w:id="41" w:name="_Toc13020"/>
      <w:bookmarkStart w:id="42" w:name="_Toc6617"/>
      <w:r>
        <w:rPr>
          <w:rFonts w:hint="eastAsia" w:ascii="Times New Roman"/>
          <w:color w:val="auto"/>
          <w:sz w:val="30"/>
        </w:rPr>
        <w:t>前言</w:t>
      </w:r>
      <w:bookmarkEnd w:id="29"/>
    </w:p>
    <w:p w14:paraId="6FB99CC1">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232364E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671BBFC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26926F6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0962FA8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3AFB947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0173CF76">
      <w:pPr>
        <w:widowControl/>
        <w:spacing w:line="360" w:lineRule="auto"/>
        <w:jc w:val="left"/>
      </w:pPr>
      <w:r>
        <w:br w:type="page"/>
      </w:r>
    </w:p>
    <w:p w14:paraId="6F4AD977">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60098C05">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7B19B63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0610A9B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3E7B2E6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77EE609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19904F1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5963BB3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2A98500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6ABA7F5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6220725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7BDE1AF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2A7A704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50905549">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61E3B16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02E850D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1BB93AF5">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7671471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77784B0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4883388C">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43C93F7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773DFC1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32A8B87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59A0F35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044C98C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179704B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26112AB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7D54F2C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606ECF5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77345DB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3EBA25A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6E23DE6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4823DEC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3978C19C">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595595CA">
      <w:pPr>
        <w:pStyle w:val="2"/>
        <w:spacing w:before="0" w:after="0"/>
        <w:jc w:val="center"/>
        <w:rPr>
          <w:rFonts w:ascii="Times New Roman"/>
          <w:sz w:val="30"/>
        </w:rPr>
      </w:pPr>
      <w:bookmarkStart w:id="46" w:name="_Toc706"/>
      <w:bookmarkStart w:id="47" w:name="_Toc733"/>
      <w:bookmarkStart w:id="48" w:name="_Toc18631"/>
      <w:bookmarkStart w:id="49" w:name="_Toc545"/>
      <w:bookmarkStart w:id="50" w:name="_Toc6149"/>
      <w:bookmarkStart w:id="51" w:name="_Toc20627"/>
      <w:bookmarkStart w:id="52" w:name="_Toc24571"/>
      <w:bookmarkStart w:id="53" w:name="_Toc6683"/>
      <w:bookmarkStart w:id="54" w:name="_Toc13288"/>
      <w:bookmarkStart w:id="55" w:name="_Toc22708"/>
      <w:bookmarkStart w:id="56" w:name="_Toc74065740"/>
      <w:bookmarkStart w:id="57" w:name="_Toc20318"/>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32AE5A0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06326576">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48CC10B1">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53BDD94F">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124FE68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6F00398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49920AD9">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6CDD1304">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44A5D8DD">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50BEBAD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9BBDCD5">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2AD1E184">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6281D3F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0F33633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5287988A">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217FA3AA">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6AF08C00">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14945078">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7A5AAA34">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5051B27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731C6F9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3EAAB4B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1850E33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5E52EEC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75C0BE23">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4E3119F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53C0C711">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2DC1A2A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792C459">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303FACF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7442038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4804BD3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1E47A84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6F769A1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6ACDF87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0471901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397FD76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75ADC3D">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379332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0F7B504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2A7516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302D7145">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7F280E93">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5F1753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3D46055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7D0BF41D">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698A23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0DC39E61">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026D7ED9">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6D0EC3A7">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14684E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30A06F8">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3F332D2E">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43A476A2">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38FF336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FCFB5D8">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0E26BAB4">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01B9792A">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68F258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70C2C29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41F172DA">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566D6A33">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7F02B4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51F0428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075F63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3CCD6E94">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44049CB9">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778F769D">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070B8B03">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490506F6">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5572CC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0E18BC69">
            <w:pPr>
              <w:spacing w:line="360" w:lineRule="auto"/>
              <w:jc w:val="center"/>
              <w:rPr>
                <w:b/>
                <w:sz w:val="18"/>
                <w:szCs w:val="18"/>
              </w:rPr>
            </w:pPr>
            <w:r>
              <w:rPr>
                <w:rFonts w:hint="eastAsia"/>
                <w:b/>
                <w:sz w:val="18"/>
                <w:szCs w:val="18"/>
              </w:rPr>
              <w:t>投资者签署栏</w:t>
            </w:r>
          </w:p>
        </w:tc>
        <w:tc>
          <w:tcPr>
            <w:tcW w:w="851" w:type="dxa"/>
            <w:gridSpan w:val="2"/>
          </w:tcPr>
          <w:p w14:paraId="7AB67ED9">
            <w:pPr>
              <w:spacing w:line="360" w:lineRule="auto"/>
              <w:rPr>
                <w:sz w:val="18"/>
                <w:szCs w:val="18"/>
              </w:rPr>
            </w:pPr>
            <w:r>
              <w:rPr>
                <w:rFonts w:hint="eastAsia"/>
                <w:sz w:val="18"/>
                <w:szCs w:val="18"/>
              </w:rPr>
              <w:t>个人投资者适用</w:t>
            </w:r>
          </w:p>
        </w:tc>
        <w:tc>
          <w:tcPr>
            <w:tcW w:w="6998" w:type="dxa"/>
            <w:gridSpan w:val="2"/>
          </w:tcPr>
          <w:p w14:paraId="539369D8">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7DCAFE86">
            <w:pPr>
              <w:spacing w:line="360" w:lineRule="auto"/>
              <w:rPr>
                <w:b/>
                <w:sz w:val="18"/>
                <w:szCs w:val="18"/>
              </w:rPr>
            </w:pPr>
          </w:p>
          <w:p w14:paraId="62738922">
            <w:pPr>
              <w:spacing w:line="360" w:lineRule="auto"/>
              <w:rPr>
                <w:b/>
                <w:sz w:val="18"/>
                <w:szCs w:val="18"/>
              </w:rPr>
            </w:pPr>
            <w:r>
              <w:rPr>
                <w:rFonts w:hint="eastAsia"/>
                <w:sz w:val="18"/>
                <w:szCs w:val="18"/>
              </w:rPr>
              <w:t>日期：</w:t>
            </w:r>
          </w:p>
        </w:tc>
      </w:tr>
      <w:tr w14:paraId="7870644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6EAACB77">
            <w:pPr>
              <w:spacing w:line="360" w:lineRule="auto"/>
              <w:rPr>
                <w:b/>
                <w:sz w:val="18"/>
                <w:szCs w:val="18"/>
              </w:rPr>
            </w:pPr>
          </w:p>
        </w:tc>
        <w:tc>
          <w:tcPr>
            <w:tcW w:w="851" w:type="dxa"/>
            <w:gridSpan w:val="2"/>
          </w:tcPr>
          <w:p w14:paraId="1F1E1E32">
            <w:pPr>
              <w:spacing w:line="360" w:lineRule="auto"/>
              <w:rPr>
                <w:sz w:val="18"/>
                <w:szCs w:val="18"/>
              </w:rPr>
            </w:pPr>
            <w:r>
              <w:rPr>
                <w:rFonts w:hint="eastAsia"/>
                <w:sz w:val="18"/>
                <w:szCs w:val="18"/>
              </w:rPr>
              <w:t>机构投资者适用</w:t>
            </w:r>
          </w:p>
        </w:tc>
        <w:tc>
          <w:tcPr>
            <w:tcW w:w="6998" w:type="dxa"/>
            <w:gridSpan w:val="2"/>
          </w:tcPr>
          <w:p w14:paraId="03859E54">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37765942">
            <w:pPr>
              <w:spacing w:line="360" w:lineRule="auto"/>
              <w:rPr>
                <w:rFonts w:cs="Arial"/>
                <w:sz w:val="18"/>
                <w:szCs w:val="18"/>
              </w:rPr>
            </w:pPr>
          </w:p>
          <w:p w14:paraId="32047CF5">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3206AED9">
            <w:pPr>
              <w:spacing w:line="360" w:lineRule="auto"/>
              <w:rPr>
                <w:sz w:val="18"/>
                <w:szCs w:val="18"/>
              </w:rPr>
            </w:pPr>
            <w:r>
              <w:rPr>
                <w:rFonts w:hint="eastAsia"/>
                <w:sz w:val="18"/>
                <w:szCs w:val="18"/>
              </w:rPr>
              <w:t>日期：</w:t>
            </w:r>
          </w:p>
        </w:tc>
      </w:tr>
    </w:tbl>
    <w:p w14:paraId="5E99B952">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60D56D0C">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1A135CC6">
      <w:pPr>
        <w:pStyle w:val="14"/>
        <w:spacing w:line="360" w:lineRule="auto"/>
        <w:rPr>
          <w:rFonts w:hAnsi="宋体"/>
          <w:sz w:val="18"/>
          <w:szCs w:val="18"/>
        </w:rPr>
      </w:pPr>
    </w:p>
    <w:p w14:paraId="06759AE8">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3F3B6A27">
      <w:pPr>
        <w:adjustRightInd w:val="0"/>
        <w:spacing w:line="360" w:lineRule="auto"/>
        <w:jc w:val="center"/>
        <w:rPr>
          <w:rStyle w:val="10"/>
          <w:rFonts w:ascii="宋体" w:hAnsi="宋体"/>
          <w:sz w:val="32"/>
          <w:szCs w:val="32"/>
        </w:rPr>
      </w:pPr>
    </w:p>
    <w:p w14:paraId="48F6710E">
      <w:pPr>
        <w:adjustRightInd w:val="0"/>
        <w:spacing w:line="360" w:lineRule="auto"/>
        <w:jc w:val="center"/>
        <w:rPr>
          <w:rStyle w:val="10"/>
          <w:rFonts w:ascii="宋体" w:hAnsi="宋体"/>
          <w:sz w:val="32"/>
          <w:szCs w:val="32"/>
        </w:rPr>
      </w:pPr>
    </w:p>
    <w:p w14:paraId="4B9CCC18">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929E80B">
      <w:pPr>
        <w:adjustRightInd w:val="0"/>
        <w:spacing w:line="360" w:lineRule="auto"/>
        <w:jc w:val="center"/>
        <w:rPr>
          <w:rStyle w:val="10"/>
          <w:rFonts w:ascii="宋体" w:hAnsi="宋体"/>
          <w:sz w:val="32"/>
          <w:szCs w:val="32"/>
        </w:rPr>
      </w:pPr>
    </w:p>
    <w:p w14:paraId="2D28FA96">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兴银理财【稳利安盈封闭式】理财产品</w:t>
      </w:r>
    </w:p>
    <w:p w14:paraId="30692BA4">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14:paraId="459D9DDC">
      <w:pPr>
        <w:adjustRightInd w:val="0"/>
        <w:spacing w:line="360" w:lineRule="auto"/>
        <w:jc w:val="center"/>
        <w:rPr>
          <w:rStyle w:val="10"/>
          <w:rFonts w:ascii="宋体" w:hAnsi="宋体"/>
          <w:sz w:val="32"/>
          <w:szCs w:val="32"/>
        </w:rPr>
      </w:pPr>
    </w:p>
    <w:p w14:paraId="47C536BC">
      <w:pPr>
        <w:adjustRightInd w:val="0"/>
        <w:spacing w:line="360" w:lineRule="auto"/>
        <w:jc w:val="center"/>
        <w:rPr>
          <w:rStyle w:val="10"/>
          <w:rFonts w:ascii="黑体" w:hAnsi="黑体" w:eastAsia="黑体"/>
          <w:bCs w:val="0"/>
          <w:sz w:val="28"/>
          <w:szCs w:val="28"/>
        </w:rPr>
      </w:pPr>
    </w:p>
    <w:p w14:paraId="6F601F85">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14:paraId="01484BC6">
      <w:pPr>
        <w:adjustRightInd w:val="0"/>
        <w:spacing w:line="360" w:lineRule="auto"/>
        <w:jc w:val="center"/>
        <w:rPr>
          <w:rStyle w:val="10"/>
          <w:rFonts w:ascii="宋体" w:hAnsi="宋体"/>
          <w:sz w:val="32"/>
          <w:szCs w:val="32"/>
        </w:rPr>
      </w:pPr>
    </w:p>
    <w:p w14:paraId="7B14A1F7">
      <w:pPr>
        <w:adjustRightInd w:val="0"/>
        <w:spacing w:line="360" w:lineRule="auto"/>
        <w:jc w:val="center"/>
        <w:rPr>
          <w:rStyle w:val="10"/>
          <w:rFonts w:ascii="宋体" w:hAnsi="宋体"/>
          <w:sz w:val="32"/>
          <w:szCs w:val="32"/>
        </w:rPr>
      </w:pPr>
    </w:p>
    <w:p w14:paraId="0737832D">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【2026】年【3】月</w:t>
      </w:r>
    </w:p>
    <w:p w14:paraId="6C3D6C37">
      <w:pPr>
        <w:adjustRightInd w:val="0"/>
        <w:spacing w:line="360" w:lineRule="auto"/>
        <w:jc w:val="center"/>
        <w:rPr>
          <w:rStyle w:val="10"/>
          <w:rFonts w:ascii="宋体" w:hAnsi="宋体"/>
          <w:sz w:val="32"/>
          <w:szCs w:val="32"/>
        </w:rPr>
      </w:pPr>
    </w:p>
    <w:p w14:paraId="393DA28C">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4D72D5CC">
          <w:pPr>
            <w:pStyle w:val="15"/>
            <w:spacing w:line="360" w:lineRule="auto"/>
            <w:jc w:val="center"/>
          </w:pPr>
          <w:bookmarkStart w:id="66" w:name="_Toc78276587"/>
          <w:r>
            <w:rPr>
              <w:lang w:val="zh-CN"/>
            </w:rPr>
            <w:t>目录</w:t>
          </w:r>
        </w:p>
        <w:p w14:paraId="7FBB57D4">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18</w:t>
          </w:r>
          <w:r>
            <w:fldChar w:fldCharType="end"/>
          </w:r>
          <w:r>
            <w:fldChar w:fldCharType="end"/>
          </w:r>
        </w:p>
        <w:p w14:paraId="66C79618">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23</w:t>
          </w:r>
          <w:r>
            <w:fldChar w:fldCharType="end"/>
          </w:r>
          <w:r>
            <w:fldChar w:fldCharType="end"/>
          </w:r>
        </w:p>
        <w:p w14:paraId="2D74C6A6">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30</w:t>
          </w:r>
          <w:r>
            <w:fldChar w:fldCharType="end"/>
          </w:r>
          <w:r>
            <w:fldChar w:fldCharType="end"/>
          </w:r>
        </w:p>
        <w:p w14:paraId="4FF7BB8B">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32</w:t>
          </w:r>
          <w:r>
            <w:fldChar w:fldCharType="end"/>
          </w:r>
          <w:r>
            <w:fldChar w:fldCharType="end"/>
          </w:r>
        </w:p>
        <w:p w14:paraId="41D6D5AD">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33</w:t>
          </w:r>
          <w:r>
            <w:fldChar w:fldCharType="end"/>
          </w:r>
          <w:r>
            <w:fldChar w:fldCharType="end"/>
          </w:r>
        </w:p>
        <w:p w14:paraId="5EC77F20">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36</w:t>
          </w:r>
          <w:r>
            <w:fldChar w:fldCharType="end"/>
          </w:r>
          <w:r>
            <w:fldChar w:fldCharType="end"/>
          </w:r>
        </w:p>
        <w:p w14:paraId="668E4BA0">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37</w:t>
          </w:r>
          <w:r>
            <w:fldChar w:fldCharType="end"/>
          </w:r>
          <w:r>
            <w:fldChar w:fldCharType="end"/>
          </w:r>
        </w:p>
        <w:p w14:paraId="282869F8">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41</w:t>
          </w:r>
          <w:r>
            <w:fldChar w:fldCharType="end"/>
          </w:r>
          <w:r>
            <w:fldChar w:fldCharType="end"/>
          </w:r>
        </w:p>
        <w:p w14:paraId="793B274C">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42</w:t>
          </w:r>
          <w:r>
            <w:fldChar w:fldCharType="end"/>
          </w:r>
          <w:r>
            <w:fldChar w:fldCharType="end"/>
          </w:r>
        </w:p>
        <w:p w14:paraId="49FFAFCF">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45</w:t>
          </w:r>
          <w:r>
            <w:fldChar w:fldCharType="end"/>
          </w:r>
          <w:r>
            <w:fldChar w:fldCharType="end"/>
          </w:r>
        </w:p>
        <w:p w14:paraId="228FF5D3">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47</w:t>
          </w:r>
          <w:r>
            <w:fldChar w:fldCharType="end"/>
          </w:r>
          <w:r>
            <w:fldChar w:fldCharType="end"/>
          </w:r>
        </w:p>
        <w:p w14:paraId="3C43BBF5">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49</w:t>
          </w:r>
          <w:r>
            <w:fldChar w:fldCharType="end"/>
          </w:r>
          <w:r>
            <w:fldChar w:fldCharType="end"/>
          </w:r>
        </w:p>
        <w:p w14:paraId="77F0A23B">
          <w:pPr>
            <w:spacing w:line="360" w:lineRule="auto"/>
          </w:pPr>
          <w:r>
            <w:fldChar w:fldCharType="end"/>
          </w:r>
        </w:p>
      </w:sdtContent>
    </w:sdt>
    <w:p w14:paraId="28D44012">
      <w:pPr>
        <w:rPr>
          <w:rFonts w:ascii="Times New Roman"/>
          <w:sz w:val="30"/>
        </w:rPr>
      </w:pPr>
      <w:r>
        <w:rPr>
          <w:rFonts w:ascii="Times New Roman"/>
          <w:sz w:val="30"/>
        </w:rPr>
        <w:br w:type="page"/>
      </w:r>
    </w:p>
    <w:p w14:paraId="3A7E2AF9">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14:paraId="4CB2E67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46F285C0">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01466D5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2EBFEE9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14:paraId="37C1790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7868C05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5A1046AF">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14:paraId="3AAB9189">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7AD6BEEE">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3684487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4BBE8351">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4B634320">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（6）专业投资者：根据监管规定，指符合下列条件之一的投资者：</w:t>
      </w:r>
    </w:p>
    <w:p w14:paraId="0FB5AB05">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1）银行业金融机构、保险业金融机构、金融控股公司、证券基金期货经营机构、私募基金管理人；</w:t>
      </w:r>
    </w:p>
    <w:p w14:paraId="1380DCBE">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2）上述机构面向投资者发行的金融产品，信托公司管理的资产服务信托、公益慈善信托；</w:t>
      </w:r>
    </w:p>
    <w:p w14:paraId="57F45DDD">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3）社会保障基金、企业年金、职业年金等养老基金，慈善基金等社会公益基金，合格境外机构投资者（QFII）、人民币合格境外机构投资者（RQFII）。</w:t>
      </w:r>
    </w:p>
    <w:p w14:paraId="4ADB25D3">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（7）普通投资者：专业投资者之外的投资者为普通投资者。</w:t>
      </w:r>
    </w:p>
    <w:p w14:paraId="1BE1AF6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8</w:t>
      </w:r>
      <w:r>
        <w:rPr>
          <w:rFonts w:hint="eastAsia" w:asciiTheme="majorEastAsia" w:hAnsiTheme="majorEastAsia" w:eastAsiaTheme="majorEastAsia"/>
          <w:bCs/>
          <w:color w:val="auto"/>
          <w:sz w:val="18"/>
          <w:szCs w:val="18"/>
        </w:rPr>
        <w:t>）全国银行业理财信息登记系统：指供商业银行及商业银行理财公司进行理财产品电子化报告和信息登记的电子信息系统。</w:t>
      </w:r>
    </w:p>
    <w:p w14:paraId="0DB0185A">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3CB61E10">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709F4BF1">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】理财产品投资协议书》，以及对该文件的有效修改或补充。</w:t>
      </w:r>
    </w:p>
    <w:p w14:paraId="60497C18">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】理财产品产品说明书》，以及对该文件的有效修改或补充。</w:t>
      </w:r>
    </w:p>
    <w:p w14:paraId="7996FFE2">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14:paraId="31F265CC">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】理财产品风险揭示书》（文件名称以代理销售机构实际编制为准），以及对该文件的有效修改或补充。</w:t>
      </w:r>
    </w:p>
    <w:p w14:paraId="57CDD0B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14:paraId="69B74306">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0C296EF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6EB0E5F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4D4BF5C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14:paraId="7CD4129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3D74778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4773F5A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14:paraId="1568EBC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350C940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253CA31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594CE5F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1A2265A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14:paraId="2E22A14F">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41FFBFA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40079938">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0B035A2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1D269E6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14:paraId="053C61EB">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14:paraId="57D2D063">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14:paraId="4D7CD8C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14:paraId="51B39B3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14:paraId="0F01BC2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14:paraId="63E0A2A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14:paraId="3660AA5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14:paraId="5773E09E">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14:paraId="3173B361">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4D63F77F">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48A8F0C7">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14:paraId="49054BDC">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7ACF496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0735B4A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2231A0D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14:paraId="52FF6F92">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14:paraId="711EEE7A">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14:paraId="627AAD7A">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30DBC6E7">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4FA55058">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5652DA3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62C4AE0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2D3EFAC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5720A014">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55F8A0DF">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2FBF1FD5">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38DDB8A4">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14:paraId="0EC955D6">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4E465A32">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7431384F">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14:paraId="32CEE0F2">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3B07284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7F73918A">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14:paraId="7E205C35">
      <w:pPr>
        <w:pStyle w:val="2"/>
        <w:spacing w:before="0" w:after="0" w:line="360" w:lineRule="auto"/>
        <w:jc w:val="center"/>
        <w:rPr>
          <w:rFonts w:hAnsi="宋体"/>
          <w:sz w:val="28"/>
          <w:szCs w:val="28"/>
        </w:rPr>
      </w:pPr>
      <w:bookmarkStart w:id="68" w:name="_Toc176189754"/>
      <w:bookmarkStart w:id="69" w:name="_Toc79154665"/>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451244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6F285CCA">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vAlign w:val="top"/>
          </w:tcPr>
          <w:p w14:paraId="3B3A8D42">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0"/>
                <w:sz w:val="18"/>
                <w:szCs w:val="18"/>
                <w:lang w:val="en-US" w:eastAsia="zh-CN" w:bidi="ar"/>
              </w:rPr>
              <w:t>【兴银理财稳利安盈封闭式2026年459期固收类理财产品】</w:t>
            </w:r>
          </w:p>
        </w:tc>
      </w:tr>
      <w:tr w14:paraId="5D1E5C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61C1A2B3">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vAlign w:val="top"/>
          </w:tcPr>
          <w:p w14:paraId="3FD9E166">
            <w:pPr>
              <w:keepNext w:val="0"/>
              <w:keepLines w:val="0"/>
              <w:widowControl/>
              <w:suppressLineNumbers w:val="0"/>
              <w:spacing w:before="0" w:beforeAutospacing="0" w:after="0" w:afterAutospacing="0" w:line="360" w:lineRule="auto"/>
              <w:ind w:left="0" w:leftChars="0" w:right="0" w:rightChars="0"/>
              <w:jc w:val="left"/>
              <w:rPr>
                <w:rFonts w:ascii="宋体" w:hAnsi="宋体"/>
                <w:kern w:val="0"/>
                <w:sz w:val="22"/>
              </w:rPr>
            </w:pPr>
            <w:r>
              <w:rPr>
                <w:rFonts w:ascii="宋体" w:hAnsi="宋体" w:eastAsia="宋体" w:cs="宋体"/>
                <w:sz w:val="18"/>
              </w:rPr>
              <w:t>【稳利安盈2026年459期A】 (适用【A】类份额)</w:t>
            </w:r>
            <w:r>
              <w:rPr>
                <w:rFonts w:ascii="宋体" w:hAnsi="宋体" w:eastAsia="宋体" w:cs="宋体"/>
                <w:sz w:val="18"/>
              </w:rPr>
              <w:br w:type="textWrapping"/>
            </w:r>
            <w:r>
              <w:rPr>
                <w:rFonts w:ascii="宋体" w:hAnsi="宋体" w:eastAsia="宋体" w:cs="宋体"/>
                <w:sz w:val="18"/>
              </w:rPr>
              <w:t>【稳利安盈2026年459期B】 (适用【B】类份额)</w:t>
            </w:r>
            <w:r>
              <w:rPr>
                <w:rFonts w:ascii="宋体" w:hAnsi="宋体" w:eastAsia="宋体" w:cs="宋体"/>
                <w:sz w:val="18"/>
              </w:rPr>
              <w:br w:type="textWrapping"/>
            </w:r>
            <w:r>
              <w:rPr>
                <w:rFonts w:ascii="宋体" w:hAnsi="宋体" w:eastAsia="宋体" w:cs="宋体"/>
                <w:sz w:val="18"/>
              </w:rPr>
              <w:t>【稳利安盈2026年459期C】 (适用【C】类份额)</w:t>
            </w:r>
            <w:r>
              <w:rPr>
                <w:rFonts w:ascii="宋体" w:hAnsi="宋体" w:eastAsia="宋体" w:cs="宋体"/>
                <w:sz w:val="18"/>
              </w:rPr>
              <w:br w:type="textWrapping"/>
            </w:r>
            <w:r>
              <w:rPr>
                <w:rFonts w:ascii="宋体" w:hAnsi="宋体" w:eastAsia="宋体" w:cs="宋体"/>
                <w:sz w:val="18"/>
              </w:rPr>
              <w:t>【稳利安盈2026年459期F】 (适用【F】类份额)</w:t>
            </w:r>
          </w:p>
        </w:tc>
      </w:tr>
      <w:tr w14:paraId="45E19B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33CD9DB9">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vAlign w:val="top"/>
          </w:tcPr>
          <w:p w14:paraId="65186263">
            <w:pPr>
              <w:keepNext w:val="0"/>
              <w:keepLines w:val="0"/>
              <w:suppressLineNumbers w:val="0"/>
              <w:spacing w:before="0" w:beforeAutospacing="0" w:after="0" w:afterAutospacing="0" w:line="360" w:lineRule="auto"/>
              <w:ind w:left="0" w:leftChars="0" w:right="0" w:rightChars="0"/>
              <w:jc w:val="left"/>
              <w:rPr>
                <w:rFonts w:ascii="宋体" w:hAnsi="宋体"/>
                <w:b/>
                <w:sz w:val="18"/>
                <w:szCs w:val="18"/>
              </w:rPr>
            </w:pPr>
            <w:r>
              <w:rPr>
                <w:rFonts w:hint="eastAsia" w:asciiTheme="minorEastAsia" w:hAnsiTheme="minorEastAsia"/>
                <w:sz w:val="18"/>
                <w:szCs w:val="18"/>
              </w:rPr>
              <w:t>【</w:t>
            </w:r>
            <w:r>
              <w:rPr>
                <w:rFonts w:hint="eastAsia" w:asciiTheme="minorEastAsia" w:hAnsiTheme="minorEastAsia"/>
                <w:sz w:val="18"/>
                <w:szCs w:val="18"/>
                <w:lang w:val="en-US" w:eastAsia="zh-CN"/>
              </w:rPr>
              <w:t>Z7002025001977</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hint="default" w:asciiTheme="majorEastAsia" w:hAnsiTheme="majorEastAsia" w:eastAsiaTheme="majorEastAsia"/>
                <w:sz w:val="18"/>
                <w:szCs w:val="18"/>
              </w:rPr>
              <w:t>(</w:t>
            </w:r>
            <w:r>
              <w:rPr>
                <w:rFonts w:hint="default"/>
              </w:rPr>
              <w:fldChar w:fldCharType="begin"/>
            </w:r>
            <w:r>
              <w:rPr>
                <w:rFonts w:hint="default"/>
              </w:rPr>
              <w:instrText xml:space="preserve"> HYPERLINK "http://www.chinawealth.com.cn" </w:instrText>
            </w:r>
            <w:r>
              <w:rPr>
                <w:rFonts w:hint="default"/>
              </w:rPr>
              <w:fldChar w:fldCharType="separate"/>
            </w:r>
            <w:r>
              <w:rPr>
                <w:rFonts w:hint="default" w:asciiTheme="majorEastAsia" w:hAnsiTheme="majorEastAsia" w:eastAsiaTheme="majorEastAsia"/>
                <w:sz w:val="18"/>
                <w:szCs w:val="18"/>
              </w:rPr>
              <w:t>www.chinawealth.com.cn</w:t>
            </w:r>
            <w:r>
              <w:rPr>
                <w:rFonts w:hint="default" w:asciiTheme="majorEastAsia" w:hAnsiTheme="majorEastAsia" w:eastAsiaTheme="majorEastAsia"/>
                <w:sz w:val="18"/>
                <w:szCs w:val="18"/>
              </w:rPr>
              <w:fldChar w:fldCharType="end"/>
            </w:r>
            <w:r>
              <w:rPr>
                <w:rFonts w:hint="default"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14:paraId="39B09E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F6EBF2E">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14:paraId="3DBC1134">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【9A264590】</w:t>
            </w:r>
          </w:p>
        </w:tc>
      </w:tr>
      <w:tr w14:paraId="1F6BAC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099BAE15">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vAlign w:val="top"/>
          </w:tcPr>
          <w:p w14:paraId="56F93E1D">
            <w:pPr>
              <w:keepNext w:val="0"/>
              <w:keepLines w:val="0"/>
              <w:widowControl w:val="0"/>
              <w:suppressLineNumbers w:val="0"/>
              <w:spacing w:before="0" w:beforeAutospacing="0" w:after="0" w:afterAutospacing="0" w:line="360" w:lineRule="auto"/>
              <w:ind w:left="0" w:leftChars="0" w:right="0" w:rightChars="0"/>
              <w:jc w:val="left"/>
              <w:rPr>
                <w:rFonts w:hAnsi="宋体"/>
                <w:sz w:val="18"/>
                <w:szCs w:val="18"/>
              </w:rPr>
            </w:pPr>
            <w:r>
              <w:rPr>
                <w:rFonts w:ascii="宋体" w:hAnsi="宋体" w:eastAsia="宋体" w:cs="宋体"/>
                <w:sz w:val="18"/>
              </w:rPr>
              <w:t>【9A26459A】 (适用【A】类份额)</w:t>
            </w:r>
            <w:r>
              <w:rPr>
                <w:rFonts w:ascii="宋体" w:hAnsi="宋体" w:eastAsia="宋体" w:cs="宋体"/>
                <w:sz w:val="18"/>
              </w:rPr>
              <w:br w:type="textWrapping"/>
            </w:r>
            <w:r>
              <w:rPr>
                <w:rFonts w:ascii="宋体" w:hAnsi="宋体" w:eastAsia="宋体" w:cs="宋体"/>
                <w:sz w:val="18"/>
              </w:rPr>
              <w:t>【9A26459B】 (适用【B】类份额)</w:t>
            </w:r>
            <w:r>
              <w:rPr>
                <w:rFonts w:ascii="宋体" w:hAnsi="宋体" w:eastAsia="宋体" w:cs="宋体"/>
                <w:sz w:val="18"/>
              </w:rPr>
              <w:br w:type="textWrapping"/>
            </w:r>
            <w:r>
              <w:rPr>
                <w:rFonts w:ascii="宋体" w:hAnsi="宋体" w:eastAsia="宋体" w:cs="宋体"/>
                <w:sz w:val="18"/>
              </w:rPr>
              <w:t>【9A26459C】 (适用【C】类份额)</w:t>
            </w:r>
            <w:r>
              <w:rPr>
                <w:rFonts w:ascii="宋体" w:hAnsi="宋体" w:eastAsia="宋体" w:cs="宋体"/>
                <w:sz w:val="18"/>
              </w:rPr>
              <w:br w:type="textWrapping"/>
            </w:r>
            <w:r>
              <w:rPr>
                <w:rFonts w:ascii="宋体" w:hAnsi="宋体" w:eastAsia="宋体" w:cs="宋体"/>
                <w:sz w:val="18"/>
              </w:rPr>
              <w:t>【9A26459F】 (适用【F】类份额)</w:t>
            </w:r>
          </w:p>
        </w:tc>
      </w:tr>
      <w:tr w14:paraId="4E3B45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45C789EF">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14:paraId="2331906C">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5C5C6704">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14:paraId="2FCAE603">
            <w:pPr>
              <w:spacing w:line="360" w:lineRule="auto"/>
              <w:rPr>
                <w:rFonts w:ascii="宋体" w:hAnsi="宋体"/>
                <w:bCs/>
                <w:sz w:val="18"/>
                <w:szCs w:val="18"/>
              </w:rPr>
            </w:pPr>
            <w:r>
              <w:rPr>
                <w:rFonts w:hint="eastAsia" w:ascii="宋体" w:hAnsi="宋体"/>
                <w:bCs/>
                <w:sz w:val="18"/>
                <w:szCs w:val="18"/>
              </w:rPr>
              <w:t>（1）销售名称</w:t>
            </w:r>
          </w:p>
          <w:p w14:paraId="47055EA7">
            <w:pPr>
              <w:spacing w:line="360" w:lineRule="auto"/>
              <w:rPr>
                <w:rFonts w:ascii="宋体" w:hAnsi="宋体"/>
                <w:bCs/>
                <w:sz w:val="18"/>
                <w:szCs w:val="18"/>
              </w:rPr>
            </w:pPr>
            <w:r>
              <w:rPr>
                <w:rFonts w:hint="eastAsia" w:ascii="宋体" w:hAnsi="宋体"/>
                <w:bCs/>
                <w:sz w:val="18"/>
                <w:szCs w:val="18"/>
              </w:rPr>
              <w:t>（2）收费方式</w:t>
            </w:r>
          </w:p>
          <w:p w14:paraId="4EBBE2F1">
            <w:pPr>
              <w:spacing w:line="360" w:lineRule="auto"/>
              <w:rPr>
                <w:rFonts w:ascii="宋体" w:hAnsi="宋体"/>
                <w:bCs/>
                <w:sz w:val="18"/>
                <w:szCs w:val="18"/>
              </w:rPr>
            </w:pPr>
            <w:r>
              <w:rPr>
                <w:rFonts w:hint="eastAsia" w:ascii="宋体" w:hAnsi="宋体"/>
                <w:bCs/>
                <w:sz w:val="18"/>
                <w:szCs w:val="18"/>
              </w:rPr>
              <w:t>（3）销售服务费</w:t>
            </w:r>
          </w:p>
          <w:p w14:paraId="7D9221C0">
            <w:pPr>
              <w:spacing w:line="360" w:lineRule="auto"/>
              <w:rPr>
                <w:rFonts w:ascii="宋体" w:hAnsi="宋体"/>
                <w:bCs/>
                <w:sz w:val="18"/>
                <w:szCs w:val="18"/>
              </w:rPr>
            </w:pPr>
            <w:r>
              <w:rPr>
                <w:rFonts w:hint="eastAsia" w:ascii="宋体" w:hAnsi="宋体"/>
                <w:bCs/>
                <w:sz w:val="18"/>
                <w:szCs w:val="18"/>
              </w:rPr>
              <w:t>（4）销售代码</w:t>
            </w:r>
          </w:p>
          <w:p w14:paraId="739CD15E">
            <w:pPr>
              <w:spacing w:line="360" w:lineRule="auto"/>
              <w:rPr>
                <w:rFonts w:ascii="宋体" w:hAnsi="宋体"/>
                <w:bCs/>
                <w:sz w:val="18"/>
                <w:szCs w:val="18"/>
              </w:rPr>
            </w:pPr>
            <w:r>
              <w:rPr>
                <w:rFonts w:hint="eastAsia" w:ascii="宋体" w:hAnsi="宋体"/>
                <w:bCs/>
                <w:sz w:val="18"/>
                <w:szCs w:val="18"/>
              </w:rPr>
              <w:t>（5）销售对象</w:t>
            </w:r>
          </w:p>
          <w:p w14:paraId="5D3CD2E0">
            <w:pPr>
              <w:spacing w:line="360" w:lineRule="auto"/>
              <w:rPr>
                <w:rFonts w:ascii="宋体" w:hAnsi="宋体"/>
                <w:bCs/>
                <w:sz w:val="18"/>
                <w:szCs w:val="18"/>
              </w:rPr>
            </w:pPr>
            <w:r>
              <w:rPr>
                <w:rFonts w:hint="eastAsia" w:ascii="宋体" w:hAnsi="宋体"/>
                <w:bCs/>
                <w:sz w:val="18"/>
                <w:szCs w:val="18"/>
              </w:rPr>
              <w:t>（6）销售起点金额（认购、申购的起点金额）</w:t>
            </w:r>
          </w:p>
          <w:p w14:paraId="2C8BDF9B">
            <w:pPr>
              <w:spacing w:line="360" w:lineRule="auto"/>
              <w:rPr>
                <w:rFonts w:ascii="宋体" w:hAnsi="宋体"/>
                <w:bCs/>
                <w:sz w:val="18"/>
                <w:szCs w:val="18"/>
              </w:rPr>
            </w:pPr>
            <w:r>
              <w:rPr>
                <w:rFonts w:hint="eastAsia" w:ascii="宋体" w:hAnsi="宋体"/>
                <w:bCs/>
                <w:sz w:val="18"/>
                <w:szCs w:val="18"/>
              </w:rPr>
              <w:t>（7）投资者认购、申购和赎回的数量限制</w:t>
            </w:r>
          </w:p>
          <w:p w14:paraId="06DBDEC8">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1A03D822">
            <w:pPr>
              <w:spacing w:line="360" w:lineRule="auto"/>
              <w:rPr>
                <w:rFonts w:ascii="宋体" w:hAnsi="宋体"/>
                <w:bCs/>
                <w:sz w:val="18"/>
                <w:szCs w:val="18"/>
              </w:rPr>
            </w:pPr>
            <w:r>
              <w:rPr>
                <w:rFonts w:hint="eastAsia" w:ascii="宋体" w:hAnsi="宋体"/>
                <w:bCs/>
                <w:sz w:val="18"/>
                <w:szCs w:val="18"/>
              </w:rPr>
              <w:t>（9）分别计算和公告产品份额净值</w:t>
            </w:r>
          </w:p>
          <w:p w14:paraId="744B7AB7">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617C8E1A">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14:paraId="4A850C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03EAE96">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14:paraId="12A286F0">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4EFCC4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8E8F088">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14:paraId="3C6A6648">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68A250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832CFA5">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14:paraId="241BB20B">
            <w:pPr>
              <w:spacing w:line="360" w:lineRule="auto"/>
              <w:rPr>
                <w:rFonts w:ascii="宋体" w:hAnsi="宋体"/>
                <w:bCs/>
                <w:sz w:val="18"/>
                <w:szCs w:val="18"/>
              </w:rPr>
            </w:pPr>
            <w:r>
              <w:rPr>
                <w:rFonts w:hint="eastAsia" w:ascii="宋体" w:hAnsi="宋体"/>
                <w:bCs/>
                <w:sz w:val="18"/>
                <w:szCs w:val="18"/>
              </w:rPr>
              <w:t>封闭式</w:t>
            </w:r>
          </w:p>
        </w:tc>
      </w:tr>
      <w:tr w14:paraId="1F4944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1C6E0E6">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14:paraId="4BA9E561">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14:paraId="342CD8BB">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14:paraId="71FF59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A633188">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14:paraId="4313E1D3">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14:paraId="124FA941">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14:paraId="03B6974D">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14:paraId="7E6AFA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CE8FD1">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14:paraId="5B365F9A">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4E2C3E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D97864C">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14:paraId="6CA7A846">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w:t>
            </w:r>
            <w:r>
              <w:rPr>
                <w:rFonts w:hint="eastAsia" w:ascii="黑体" w:hAnsi="黑体" w:eastAsia="黑体" w:cs="黑体"/>
                <w:bCs/>
                <w:sz w:val="18"/>
                <w:szCs w:val="18"/>
              </w:rPr>
              <w:t xml:space="preserve"> R1、□ R2、□ R3、□ R4、□ R5】理财产品。</w:t>
            </w:r>
          </w:p>
          <w:p w14:paraId="68C5153D">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3353F205">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r>
              <w:rPr>
                <w:rFonts w:hint="eastAsia" w:ascii="黑体" w:hAnsi="黑体" w:eastAsia="黑体"/>
                <w:bCs/>
                <w:sz w:val="18"/>
                <w:szCs w:val="18"/>
              </w:rPr>
              <w:t>本产品存续期内，产品风险评级可能会根据实际情况进行调整。</w:t>
            </w:r>
          </w:p>
        </w:tc>
      </w:tr>
      <w:tr w14:paraId="74B9F1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D4F4645">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14:paraId="01B325C2">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 (适用【A</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/B/C/F</w:t>
            </w:r>
            <w:r>
              <w:rPr>
                <w:rFonts w:asciiTheme="majorEastAsia" w:hAnsiTheme="majorEastAsia" w:eastAsiaTheme="majorEastAsia"/>
                <w:bCs/>
                <w:color w:val="000000" w:themeColor="text1"/>
                <w:sz w:val="18"/>
                <w:szCs w:val="18"/>
                <w14:textFill>
                  <w14:solidFill>
                    <w14:schemeClr w14:val="tx1"/>
                  </w14:solidFill>
                </w14:textFill>
              </w:rPr>
              <w:t>】类份额)</w:t>
            </w:r>
          </w:p>
          <w:p w14:paraId="2883B6C9">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■个人投资者</w:t>
            </w:r>
          </w:p>
          <w:p w14:paraId="2CBDFCD5">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■机构投资者</w:t>
            </w:r>
          </w:p>
        </w:tc>
      </w:tr>
      <w:tr w14:paraId="1025C1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BE5173F">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14:paraId="7FE576F3">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0C904E39">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0513AA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03B5D95">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14:paraId="76DC8A7D">
            <w:pPr>
              <w:spacing w:line="360" w:lineRule="auto"/>
              <w:jc w:val="left"/>
              <w:rPr>
                <w:rFonts w:ascii="宋体" w:hAnsi="宋体"/>
                <w:sz w:val="18"/>
                <w:szCs w:val="18"/>
              </w:rPr>
            </w:pPr>
            <w:r>
              <w:rPr>
                <w:rFonts w:hint="eastAsia" w:ascii="宋体" w:hAnsi="宋体"/>
                <w:sz w:val="18"/>
                <w:szCs w:val="18"/>
              </w:rPr>
              <w:t>□ 直销适用</w:t>
            </w:r>
          </w:p>
          <w:p w14:paraId="54EE8B1B">
            <w:pPr>
              <w:spacing w:line="360" w:lineRule="auto"/>
              <w:jc w:val="left"/>
              <w:rPr>
                <w:rFonts w:ascii="宋体" w:hAnsi="宋体"/>
                <w:sz w:val="18"/>
                <w:szCs w:val="18"/>
              </w:rPr>
            </w:pPr>
            <w:r>
              <w:rPr>
                <w:rFonts w:hint="eastAsia" w:ascii="宋体" w:hAnsi="宋体"/>
                <w:sz w:val="18"/>
                <w:szCs w:val="18"/>
              </w:rPr>
              <w:t>本产品由产品管理人销售。</w:t>
            </w:r>
          </w:p>
          <w:p w14:paraId="7EC74963">
            <w:pPr>
              <w:spacing w:line="360" w:lineRule="auto"/>
              <w:jc w:val="left"/>
              <w:rPr>
                <w:rFonts w:ascii="宋体" w:hAnsi="宋体"/>
                <w:sz w:val="18"/>
                <w:szCs w:val="18"/>
              </w:rPr>
            </w:pPr>
            <w:r>
              <w:rPr>
                <w:rFonts w:hint="eastAsia" w:ascii="宋体" w:hAnsi="宋体"/>
                <w:sz w:val="18"/>
                <w:szCs w:val="18"/>
              </w:rPr>
              <w:t>■ 代销适用</w:t>
            </w:r>
          </w:p>
          <w:p w14:paraId="345AF32D">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4E01FC73">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4C518C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4535129">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14:paraId="4229EBB0">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14:paraId="625637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2D20379">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14:paraId="3A809AD1">
            <w:pPr>
              <w:spacing w:line="360" w:lineRule="auto"/>
              <w:rPr>
                <w:rFonts w:asciiTheme="majorEastAsia" w:hAnsiTheme="majorEastAsia" w:eastAsiaTheme="majorEastAsia"/>
                <w:bCs/>
                <w:sz w:val="18"/>
                <w:szCs w:val="18"/>
              </w:rPr>
            </w:pPr>
            <w:r>
              <w:rPr>
                <w:rFonts w:hint="eastAsia"/>
              </w:rPr>
              <w:t>兴业银行股份有限公司</w:t>
            </w:r>
          </w:p>
        </w:tc>
      </w:tr>
      <w:tr w14:paraId="18F0BA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918256">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14:paraId="7E36EA4A">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规模为【8】亿元，最小成立规模为【1.2】亿元。</w:t>
            </w:r>
          </w:p>
          <w:p w14:paraId="6314CC0C">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14:paraId="062C39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8F37CBF">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14:paraId="55F99335">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■有固定期限:【125天】</w:t>
            </w:r>
          </w:p>
          <w:p w14:paraId="5569E419">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□无固定期限</w:t>
            </w:r>
          </w:p>
          <w:p w14:paraId="3BF7AEF9">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14:paraId="7F6F8E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2C41DA7">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14:paraId="431437A3">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lang w:val="en-US" w:eastAsia="zh-CN"/>
              </w:rPr>
              <w:t>【2026年03月18日】【09:00】至【2026年03月25日】【17:00】</w:t>
            </w:r>
            <w:r>
              <w:rPr>
                <w:rFonts w:asciiTheme="majorEastAsia" w:hAnsiTheme="majorEastAsia" w:eastAsiaTheme="majorEastAsia"/>
                <w:sz w:val="18"/>
                <w:szCs w:val="18"/>
              </w:rPr>
              <w:t>。</w:t>
            </w:r>
          </w:p>
          <w:p w14:paraId="017834AA">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14:paraId="60AC6A8F">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sz w:val="18"/>
              </w:rPr>
              <w:t>。</w:t>
            </w:r>
          </w:p>
          <w:p w14:paraId="68F81F22">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14:paraId="039860EF">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69E105CD">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14:paraId="47E627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07B3532">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14:paraId="1339D0BF">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0399B9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026A0BB">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14:paraId="7095CEDA">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2026年03月26日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3891A3E2">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14:paraId="68831E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261E608">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14:paraId="2E7A2C20">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2026年07月29日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2579788C">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14:paraId="5B2B5A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6D3F2C2">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14:paraId="0C0D641C">
            <w:pPr>
              <w:spacing w:line="360" w:lineRule="auto"/>
              <w:rPr>
                <w:rFonts w:hint="eastAsia" w:asciiTheme="majorEastAsia" w:hAnsiTheme="majorEastAsia" w:eastAsiaTheme="majorEastAsia"/>
                <w:sz w:val="18"/>
                <w:szCs w:val="18"/>
              </w:rPr>
            </w:pPr>
            <w:r>
              <w:rPr>
                <w:rFonts w:ascii="宋体" w:hAnsi="宋体" w:eastAsia="宋体" w:cs="宋体"/>
                <w:sz w:val="18"/>
              </w:rPr>
              <w:t>每笔购买起点金额为【1】元; 超出起点金额的部分以【0.01】元的整数倍递增。（适用【A】类份额)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超出起点金额的部分以【0.01】元的整数倍递增。（适用【B】类份额)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超出起点金额的部分以【0.01】元的整数倍递增。（适用【C】类份额)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超出起点金额的部分以【0.01】元的整数倍递增。（适用【F】类份额)</w:t>
            </w:r>
          </w:p>
          <w:p w14:paraId="2575B5DB">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14:paraId="758B61CA">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14:paraId="5ADA4E35">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14:paraId="1C6AFC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5E9D1BC">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14:paraId="556288CA">
            <w:pPr>
              <w:pStyle w:val="14"/>
              <w:spacing w:line="360" w:lineRule="auto"/>
              <w:rPr>
                <w:rFonts w:hint="eastAsia" w:hAnsi="宋体"/>
                <w:bCs/>
                <w:sz w:val="18"/>
                <w:szCs w:val="18"/>
                <w:lang w:val="en-US" w:eastAsia="zh-CN"/>
              </w:rPr>
            </w:pPr>
            <w:r>
              <w:rPr>
                <w:rFonts w:ascii="宋体" w:hAnsi="宋体" w:eastAsia="宋体" w:cs="宋体"/>
                <w:sz w:val="18"/>
              </w:rPr>
              <w:t>认购的数量限制</w:t>
            </w:r>
            <w:r>
              <w:rPr>
                <w:rFonts w:ascii="宋体" w:hAnsi="宋体" w:eastAsia="宋体" w:cs="宋体"/>
                <w:sz w:val="18"/>
              </w:rPr>
              <w:br w:type="textWrapping"/>
            </w:r>
            <w:r>
              <w:rPr>
                <w:rFonts w:ascii="宋体" w:hAnsi="宋体" w:eastAsia="宋体" w:cs="宋体"/>
                <w:sz w:val="18"/>
              </w:rPr>
              <w:t>（1）单一投资者认购上限为【/】元。（适用【A】类份额)</w:t>
            </w:r>
            <w:r>
              <w:rPr>
                <w:rFonts w:ascii="宋体" w:hAnsi="宋体" w:eastAsia="宋体" w:cs="宋体"/>
                <w:sz w:val="18"/>
              </w:rPr>
              <w:br w:type="textWrapping"/>
            </w:r>
            <w:r>
              <w:rPr>
                <w:rFonts w:ascii="宋体" w:hAnsi="宋体" w:eastAsia="宋体" w:cs="宋体"/>
                <w:sz w:val="18"/>
              </w:rPr>
              <w:t xml:space="preserve">     单一投资者认购上限为【/】元。（适用【B】类份额)</w:t>
            </w:r>
            <w:r>
              <w:rPr>
                <w:rFonts w:ascii="宋体" w:hAnsi="宋体" w:eastAsia="宋体" w:cs="宋体"/>
                <w:sz w:val="18"/>
              </w:rPr>
              <w:br w:type="textWrapping"/>
            </w:r>
            <w:r>
              <w:rPr>
                <w:rFonts w:ascii="宋体" w:hAnsi="宋体" w:eastAsia="宋体" w:cs="宋体"/>
                <w:sz w:val="18"/>
              </w:rPr>
              <w:t xml:space="preserve">     单一投资者认购上限为【/】元。（适用【C】类份额)</w:t>
            </w:r>
            <w:r>
              <w:rPr>
                <w:rFonts w:ascii="宋体" w:hAnsi="宋体" w:eastAsia="宋体" w:cs="宋体"/>
                <w:sz w:val="18"/>
              </w:rPr>
              <w:br w:type="textWrapping"/>
            </w:r>
            <w:r>
              <w:rPr>
                <w:rFonts w:ascii="宋体" w:hAnsi="宋体" w:eastAsia="宋体" w:cs="宋体"/>
                <w:sz w:val="18"/>
              </w:rPr>
              <w:t xml:space="preserve">     单一投资者认购上限为【/】元。（适用【F】类份额)</w:t>
            </w:r>
            <w:r>
              <w:rPr>
                <w:rFonts w:ascii="宋体" w:hAnsi="宋体" w:eastAsia="宋体" w:cs="宋体"/>
                <w:sz w:val="18"/>
              </w:rPr>
              <w:br w:type="textWrapping"/>
            </w:r>
            <w:r>
              <w:rPr>
                <w:rFonts w:ascii="宋体" w:hAnsi="宋体" w:eastAsia="宋体" w:cs="宋体"/>
                <w:sz w:val="18"/>
              </w:rPr>
              <w:t>（2）产品存续期间，单一投资者最高持有份额上限为【/】份，符合产品管理人流动性管理的稳定资金除外。（适用【A】类份额)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产品存续期间，单一投资者最高持有份额上限为【/】份，符合产品管理人流动性管理的稳定资金除外。（适用【B】类份额)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产品存续期间，单一投资者最高持有份额上限为【/】份，符合产品管理人流动性管理的稳定资金除外。（适用【C】类份额)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产品存续期间，单一投资者最高持有份额上限为【/】份，符合产品管理人流动性管理的稳定资金除外。（适用【F】类份额)</w:t>
            </w:r>
          </w:p>
          <w:p w14:paraId="59AD7431">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14:paraId="5765CEA9">
            <w:pPr>
              <w:spacing w:line="360" w:lineRule="auto"/>
              <w:rPr>
                <w:rFonts w:asciiTheme="minorEastAsia" w:hAnsiTheme="minorEastAsia" w:eastAsiaTheme="minorEastAsia"/>
                <w:sz w:val="18"/>
                <w:szCs w:val="18"/>
              </w:rPr>
            </w:pPr>
            <w:r>
              <w:rPr>
                <w:rFonts w:ascii="黑体" w:hAnsi="黑体" w:eastAsia="黑体" w:cs="黑体"/>
                <w:sz w:val="18"/>
              </w:rPr>
              <w:t>注：本产品单一投资者持有份额不得超过产品总份额50%。</w:t>
            </w:r>
            <w:r>
              <w:rPr>
                <w:rFonts w:ascii="黑体" w:hAnsi="黑体" w:eastAsia="黑体" w:cs="黑体"/>
                <w:sz w:val="18"/>
              </w:rPr>
              <w:br w:type="textWrapping"/>
            </w:r>
            <w:r>
              <w:rPr>
                <w:rFonts w:ascii="黑体" w:hAnsi="黑体" w:eastAsia="黑体" w:cs="黑体"/>
                <w:sz w:val="18"/>
              </w:rPr>
              <w:t>（1）投资者认购或申购确认后可能导致其持有份额超过产品总份额50%的，管理人有权拒绝或暂停认购、申购。</w:t>
            </w:r>
            <w:r>
              <w:rPr>
                <w:rFonts w:ascii="黑体" w:hAnsi="黑体" w:eastAsia="黑体" w:cs="黑体"/>
                <w:sz w:val="18"/>
              </w:rPr>
              <w:br w:type="textWrapping"/>
            </w:r>
            <w:r>
              <w:rPr>
                <w:rFonts w:ascii="黑体" w:hAnsi="黑体" w:eastAsia="黑体" w:cs="黑体"/>
                <w:sz w:val="18"/>
              </w:rPr>
              <w:t>（2）非因管理人主观因素导致突破该比例限制的，在单一投资者持有比例降至50%以下之前，管理人不再接受该投资者对本产品的认购、申购申请。</w:t>
            </w:r>
          </w:p>
        </w:tc>
      </w:tr>
      <w:tr w14:paraId="0742F1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C45E165">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14:paraId="76918AC6">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4EED35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E14E3B">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14:paraId="019247B6">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583069EC">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14:paraId="0C389E14">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14:paraId="64D173F0">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14:paraId="47DFD7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0924C50D">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14:paraId="4273668B">
            <w:pPr>
              <w:spacing w:line="360" w:lineRule="auto"/>
              <w:jc w:val="left"/>
              <w:rPr>
                <w:rFonts w:hint="eastAsia" w:hAnsi="宋体"/>
                <w:sz w:val="18"/>
                <w:szCs w:val="18"/>
              </w:rPr>
            </w:pPr>
            <w:r>
              <w:rPr>
                <w:rFonts w:ascii="宋体" w:hAnsi="宋体" w:eastAsia="宋体" w:cs="宋体"/>
                <w:sz w:val="18"/>
              </w:rPr>
              <w:t>1.业绩比较基准的设置</w:t>
            </w:r>
            <w:r>
              <w:rPr>
                <w:rFonts w:ascii="宋体" w:hAnsi="宋体" w:eastAsia="宋体" w:cs="宋体"/>
                <w:sz w:val="18"/>
              </w:rPr>
              <w:br w:type="textWrapping"/>
            </w:r>
            <w:r>
              <w:rPr>
                <w:rFonts w:ascii="宋体" w:hAnsi="宋体" w:eastAsia="宋体" w:cs="宋体"/>
                <w:sz w:val="18"/>
              </w:rPr>
              <w:t>■ 产品管理人设置业绩比较基准。</w:t>
            </w:r>
            <w:r>
              <w:rPr>
                <w:rFonts w:ascii="宋体" w:hAnsi="宋体" w:eastAsia="宋体" w:cs="宋体"/>
                <w:sz w:val="18"/>
              </w:rPr>
              <w:br w:type="textWrapping"/>
            </w:r>
            <w:r>
              <w:rPr>
                <w:rFonts w:ascii="宋体" w:hAnsi="宋体" w:eastAsia="宋体" w:cs="宋体"/>
                <w:sz w:val="18"/>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rPr>
              <w:br w:type="textWrapping"/>
            </w:r>
            <w:r>
              <w:rPr>
                <w:rFonts w:ascii="宋体" w:hAnsi="宋体" w:eastAsia="宋体" w:cs="宋体"/>
                <w:sz w:val="18"/>
              </w:rPr>
              <w:t>（2）业绩比较基准的设定：管理人对本产品设定业绩比较基准：</w:t>
            </w:r>
            <w:r>
              <w:rPr>
                <w:rFonts w:ascii="宋体" w:hAnsi="宋体" w:eastAsia="宋体" w:cs="宋体"/>
                <w:sz w:val="18"/>
              </w:rPr>
              <w:br w:type="textWrapping"/>
            </w:r>
            <w:r>
              <w:rPr>
                <w:rFonts w:ascii="宋体" w:hAnsi="宋体" w:eastAsia="宋体" w:cs="宋体"/>
                <w:sz w:val="18"/>
              </w:rPr>
              <w:t>年化【1.88%】。（适用【A】类份额)</w:t>
            </w:r>
            <w:r>
              <w:rPr>
                <w:rFonts w:ascii="宋体" w:hAnsi="宋体" w:eastAsia="宋体" w:cs="宋体"/>
                <w:sz w:val="18"/>
              </w:rPr>
              <w:br w:type="textWrapping"/>
            </w:r>
            <w:r>
              <w:rPr>
                <w:rFonts w:ascii="宋体" w:hAnsi="宋体" w:eastAsia="宋体" w:cs="宋体"/>
                <w:sz w:val="18"/>
              </w:rPr>
              <w:t>年化【1.83%】。（适用【B】类份额)</w:t>
            </w:r>
            <w:r>
              <w:rPr>
                <w:rFonts w:ascii="宋体" w:hAnsi="宋体" w:eastAsia="宋体" w:cs="宋体"/>
                <w:sz w:val="18"/>
              </w:rPr>
              <w:br w:type="textWrapping"/>
            </w:r>
            <w:r>
              <w:rPr>
                <w:rFonts w:ascii="宋体" w:hAnsi="宋体" w:eastAsia="宋体" w:cs="宋体"/>
                <w:sz w:val="18"/>
              </w:rPr>
              <w:t>年化【1.73%】。（适用【C】类份额)</w:t>
            </w:r>
            <w:r>
              <w:rPr>
                <w:rFonts w:ascii="宋体" w:hAnsi="宋体" w:eastAsia="宋体" w:cs="宋体"/>
                <w:sz w:val="18"/>
              </w:rPr>
              <w:br w:type="textWrapping"/>
            </w:r>
            <w:r>
              <w:rPr>
                <w:rFonts w:ascii="宋体" w:hAnsi="宋体" w:eastAsia="宋体" w:cs="宋体"/>
                <w:sz w:val="18"/>
              </w:rPr>
              <w:t>年化【1.63%】。（适用【F】类份额)</w:t>
            </w:r>
            <w:r>
              <w:rPr>
                <w:rFonts w:ascii="宋体" w:hAnsi="宋体" w:eastAsia="宋体" w:cs="宋体"/>
                <w:sz w:val="18"/>
              </w:rPr>
              <w:br w:type="textWrapping"/>
            </w:r>
            <w:r>
              <w:rPr>
                <w:rFonts w:ascii="宋体" w:hAnsi="宋体" w:eastAsia="宋体" w:cs="宋体"/>
                <w:sz w:val="18"/>
              </w:rPr>
              <w:t>□ 产品管理人不设置业绩比较基准。</w:t>
            </w:r>
          </w:p>
          <w:p w14:paraId="66558896">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14:paraId="26AF5A6B">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14:paraId="551108F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E5CC88D">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14:paraId="29C81B4D">
            <w:pPr>
              <w:spacing w:line="360" w:lineRule="auto"/>
              <w:jc w:val="left"/>
              <w:rPr>
                <w:rFonts w:hint="eastAsia" w:hAnsi="宋体"/>
                <w:bCs/>
                <w:sz w:val="18"/>
                <w:szCs w:val="18"/>
              </w:rPr>
            </w:pPr>
            <w:r>
              <w:rPr>
                <w:rFonts w:ascii="宋体" w:hAnsi="宋体" w:eastAsia="宋体" w:cs="宋体"/>
                <w:sz w:val="18"/>
              </w:rPr>
              <w:t>1.业绩报酬计提基准的设置</w:t>
            </w:r>
            <w:r>
              <w:rPr>
                <w:rFonts w:ascii="宋体" w:hAnsi="宋体" w:eastAsia="宋体" w:cs="宋体"/>
                <w:sz w:val="18"/>
              </w:rPr>
              <w:br w:type="textWrapping"/>
            </w:r>
            <w:r>
              <w:rPr>
                <w:rFonts w:ascii="宋体" w:hAnsi="宋体" w:eastAsia="宋体" w:cs="宋体"/>
                <w:sz w:val="18"/>
              </w:rPr>
              <w:t>■ 产品管理人设置业绩报酬计提基准。</w:t>
            </w:r>
            <w:r>
              <w:rPr>
                <w:rFonts w:ascii="宋体" w:hAnsi="宋体" w:eastAsia="宋体" w:cs="宋体"/>
                <w:sz w:val="18"/>
              </w:rPr>
              <w:br w:type="textWrapping"/>
            </w:r>
            <w:r>
              <w:rPr>
                <w:rFonts w:ascii="宋体" w:hAnsi="宋体" w:eastAsia="宋体" w:cs="宋体"/>
                <w:sz w:val="18"/>
              </w:rPr>
              <w:t>业绩报酬计提基准的设定：管理人对本产品设定业绩报酬计提基准：</w:t>
            </w:r>
            <w:r>
              <w:rPr>
                <w:rFonts w:ascii="宋体" w:hAnsi="宋体" w:eastAsia="宋体" w:cs="宋体"/>
                <w:sz w:val="18"/>
              </w:rPr>
              <w:br w:type="textWrapping"/>
            </w:r>
            <w:r>
              <w:rPr>
                <w:rFonts w:ascii="宋体" w:hAnsi="宋体" w:eastAsia="宋体" w:cs="宋体"/>
                <w:sz w:val="18"/>
              </w:rPr>
              <w:t>年化【1.88%】。（适用【A】类份额)</w:t>
            </w:r>
            <w:r>
              <w:rPr>
                <w:rFonts w:ascii="宋体" w:hAnsi="宋体" w:eastAsia="宋体" w:cs="宋体"/>
                <w:sz w:val="18"/>
              </w:rPr>
              <w:br w:type="textWrapping"/>
            </w:r>
            <w:r>
              <w:rPr>
                <w:rFonts w:ascii="宋体" w:hAnsi="宋体" w:eastAsia="宋体" w:cs="宋体"/>
                <w:sz w:val="18"/>
              </w:rPr>
              <w:t>年化【1.83%】。（适用【B】类份额)</w:t>
            </w:r>
            <w:r>
              <w:rPr>
                <w:rFonts w:ascii="宋体" w:hAnsi="宋体" w:eastAsia="宋体" w:cs="宋体"/>
                <w:sz w:val="18"/>
              </w:rPr>
              <w:br w:type="textWrapping"/>
            </w:r>
            <w:r>
              <w:rPr>
                <w:rFonts w:ascii="宋体" w:hAnsi="宋体" w:eastAsia="宋体" w:cs="宋体"/>
                <w:sz w:val="18"/>
              </w:rPr>
              <w:t>年化【1.73%】。（适用【C】类份额)</w:t>
            </w:r>
            <w:r>
              <w:rPr>
                <w:rFonts w:ascii="宋体" w:hAnsi="宋体" w:eastAsia="宋体" w:cs="宋体"/>
                <w:sz w:val="18"/>
              </w:rPr>
              <w:br w:type="textWrapping"/>
            </w:r>
            <w:r>
              <w:rPr>
                <w:rFonts w:ascii="宋体" w:hAnsi="宋体" w:eastAsia="宋体" w:cs="宋体"/>
                <w:sz w:val="18"/>
              </w:rPr>
              <w:t>年化【1.63%】。（适用【F】类份额)</w:t>
            </w:r>
            <w:r>
              <w:rPr>
                <w:rFonts w:ascii="宋体" w:hAnsi="宋体" w:eastAsia="宋体" w:cs="宋体"/>
                <w:sz w:val="18"/>
              </w:rPr>
              <w:br w:type="textWrapping"/>
            </w:r>
            <w:r>
              <w:rPr>
                <w:rFonts w:ascii="宋体" w:hAnsi="宋体" w:eastAsia="宋体" w:cs="宋体"/>
                <w:sz w:val="18"/>
              </w:rPr>
              <w:t>□ 产品管理人不设置业绩报酬计提基准。</w:t>
            </w:r>
          </w:p>
          <w:p w14:paraId="730CD1DD">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14:paraId="5392A5CE">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14:paraId="0BE57121">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5AF75A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34AC1AEC">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14:paraId="41816DE6">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14:paraId="0C344C0F">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14:paraId="36EC18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6B2F218">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14:paraId="1EC12217">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ascii="黑体" w:hAnsi="黑体" w:eastAsia="黑体" w:cs="黑体"/>
                <w:sz w:val="18"/>
              </w:rPr>
              <w:t>1.理财产品的费率标准</w:t>
            </w:r>
            <w:r>
              <w:rPr>
                <w:rFonts w:ascii="黑体" w:hAnsi="黑体" w:eastAsia="黑体" w:cs="黑体"/>
                <w:sz w:val="18"/>
              </w:rPr>
              <w:br w:type="textWrapping"/>
            </w:r>
            <w:r>
              <w:rPr>
                <w:rFonts w:ascii="黑体" w:hAnsi="黑体" w:eastAsia="黑体" w:cs="黑体"/>
                <w:sz w:val="18"/>
              </w:rPr>
              <w:t>（1）认购费：</w:t>
            </w:r>
            <w:r>
              <w:rPr>
                <w:rFonts w:ascii="黑体" w:hAnsi="黑体" w:eastAsia="黑体" w:cs="黑体"/>
                <w:sz w:val="18"/>
              </w:rPr>
              <w:br w:type="textWrapping"/>
            </w:r>
            <w:r>
              <w:rPr>
                <w:rFonts w:ascii="黑体" w:hAnsi="黑体" w:eastAsia="黑体" w:cs="黑体"/>
                <w:sz w:val="18"/>
              </w:rPr>
              <w:t>【/】。（适用【A】类份额）</w:t>
            </w:r>
            <w:r>
              <w:rPr>
                <w:rFonts w:ascii="黑体" w:hAnsi="黑体" w:eastAsia="黑体" w:cs="黑体"/>
                <w:sz w:val="18"/>
              </w:rPr>
              <w:br w:type="textWrapping"/>
            </w:r>
            <w:r>
              <w:rPr>
                <w:rFonts w:ascii="黑体" w:hAnsi="黑体" w:eastAsia="黑体" w:cs="黑体"/>
                <w:sz w:val="18"/>
              </w:rPr>
              <w:t>【/】。（适用【B】类份额）</w:t>
            </w:r>
            <w:r>
              <w:rPr>
                <w:rFonts w:ascii="黑体" w:hAnsi="黑体" w:eastAsia="黑体" w:cs="黑体"/>
                <w:sz w:val="18"/>
              </w:rPr>
              <w:br w:type="textWrapping"/>
            </w:r>
            <w:r>
              <w:rPr>
                <w:rFonts w:ascii="黑体" w:hAnsi="黑体" w:eastAsia="黑体" w:cs="黑体"/>
                <w:sz w:val="18"/>
              </w:rPr>
              <w:t>【/】。（适用【C】类份额）</w:t>
            </w:r>
            <w:r>
              <w:rPr>
                <w:rFonts w:ascii="黑体" w:hAnsi="黑体" w:eastAsia="黑体" w:cs="黑体"/>
                <w:sz w:val="18"/>
              </w:rPr>
              <w:br w:type="textWrapping"/>
            </w:r>
            <w:r>
              <w:rPr>
                <w:rFonts w:ascii="黑体" w:hAnsi="黑体" w:eastAsia="黑体" w:cs="黑体"/>
                <w:sz w:val="18"/>
              </w:rPr>
              <w:t>【/】。（适用【F】类份额）</w:t>
            </w:r>
            <w:r>
              <w:rPr>
                <w:rFonts w:ascii="黑体" w:hAnsi="黑体" w:eastAsia="黑体" w:cs="黑体"/>
                <w:sz w:val="18"/>
              </w:rPr>
              <w:br w:type="textWrapping"/>
            </w:r>
            <w:r>
              <w:rPr>
                <w:rFonts w:ascii="黑体" w:hAnsi="黑体" w:eastAsia="黑体" w:cs="黑体"/>
                <w:sz w:val="18"/>
              </w:rPr>
              <w:t>（2）销售服务费：</w:t>
            </w:r>
            <w:r>
              <w:rPr>
                <w:rFonts w:ascii="黑体" w:hAnsi="黑体" w:eastAsia="黑体" w:cs="黑体"/>
                <w:sz w:val="18"/>
              </w:rPr>
              <w:br w:type="textWrapping"/>
            </w:r>
            <w:r>
              <w:rPr>
                <w:rFonts w:ascii="黑体" w:hAnsi="黑体" w:eastAsia="黑体" w:cs="黑体"/>
                <w:sz w:val="18"/>
              </w:rPr>
              <w:t>年化费率【0.05%】。（适用【A】类份额）</w:t>
            </w:r>
            <w:r>
              <w:rPr>
                <w:rFonts w:ascii="黑体" w:hAnsi="黑体" w:eastAsia="黑体" w:cs="黑体"/>
                <w:sz w:val="18"/>
              </w:rPr>
              <w:br w:type="textWrapping"/>
            </w:r>
            <w:r>
              <w:rPr>
                <w:rFonts w:ascii="黑体" w:hAnsi="黑体" w:eastAsia="黑体" w:cs="黑体"/>
                <w:sz w:val="18"/>
              </w:rPr>
              <w:t>年化费率【0.1%】。（适用【B】类份额）</w:t>
            </w:r>
            <w:r>
              <w:rPr>
                <w:rFonts w:ascii="黑体" w:hAnsi="黑体" w:eastAsia="黑体" w:cs="黑体"/>
                <w:sz w:val="18"/>
              </w:rPr>
              <w:br w:type="textWrapping"/>
            </w:r>
            <w:r>
              <w:rPr>
                <w:rFonts w:ascii="黑体" w:hAnsi="黑体" w:eastAsia="黑体" w:cs="黑体"/>
                <w:sz w:val="18"/>
              </w:rPr>
              <w:t>年化费率【0.2%】。（适用【C】类份额）</w:t>
            </w:r>
            <w:r>
              <w:rPr>
                <w:rFonts w:ascii="黑体" w:hAnsi="黑体" w:eastAsia="黑体" w:cs="黑体"/>
                <w:sz w:val="18"/>
              </w:rPr>
              <w:br w:type="textWrapping"/>
            </w:r>
            <w:r>
              <w:rPr>
                <w:rFonts w:ascii="黑体" w:hAnsi="黑体" w:eastAsia="黑体" w:cs="黑体"/>
                <w:sz w:val="18"/>
              </w:rPr>
              <w:t>年化费率【0.3%】。（适用【F】类份额）</w:t>
            </w:r>
            <w:r>
              <w:rPr>
                <w:rFonts w:ascii="黑体" w:hAnsi="黑体" w:eastAsia="黑体" w:cs="黑体"/>
                <w:sz w:val="18"/>
              </w:rPr>
              <w:br w:type="textWrapping"/>
            </w:r>
            <w:r>
              <w:rPr>
                <w:rFonts w:ascii="黑体" w:hAnsi="黑体" w:eastAsia="黑体" w:cs="黑体"/>
                <w:sz w:val="18"/>
              </w:rPr>
              <w:t>（3）投资管理费：年化费率【0.01%】</w:t>
            </w:r>
            <w:r>
              <w:rPr>
                <w:rFonts w:ascii="黑体" w:hAnsi="黑体" w:eastAsia="黑体" w:cs="黑体"/>
                <w:sz w:val="18"/>
              </w:rPr>
              <w:br w:type="textWrapping"/>
            </w:r>
            <w:r>
              <w:rPr>
                <w:rFonts w:ascii="黑体" w:hAnsi="黑体" w:eastAsia="黑体" w:cs="黑体"/>
                <w:sz w:val="18"/>
              </w:rPr>
              <w:t>（4）产品托管费：年化费率【0.01%】</w:t>
            </w:r>
            <w:r>
              <w:rPr>
                <w:rFonts w:ascii="黑体" w:hAnsi="黑体" w:eastAsia="黑体" w:cs="黑体"/>
                <w:sz w:val="18"/>
              </w:rPr>
              <w:br w:type="textWrapping"/>
            </w:r>
            <w:r>
              <w:rPr>
                <w:rFonts w:ascii="黑体" w:hAnsi="黑体" w:eastAsia="黑体" w:cs="黑体"/>
                <w:sz w:val="18"/>
              </w:rPr>
              <w:t>（5）超额业绩报酬：</w:t>
            </w:r>
            <w:r>
              <w:rPr>
                <w:rFonts w:ascii="黑体" w:hAnsi="黑体" w:eastAsia="黑体" w:cs="黑体"/>
                <w:sz w:val="18"/>
              </w:rPr>
              <w:br w:type="textWrapping"/>
            </w:r>
            <w:r>
              <w:rPr>
                <w:rFonts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3A493ECE">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14:paraId="5C178B2E">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72AB56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9F27038">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14:paraId="5A45BE95">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14:paraId="5C5F82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A225931">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14:paraId="778E2A31">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7F5D09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6B88FEF">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14:paraId="0790722C">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4CAB33D4">
      <w:pPr>
        <w:pStyle w:val="14"/>
        <w:spacing w:line="360" w:lineRule="auto"/>
        <w:rPr>
          <w:rFonts w:hAnsi="宋体"/>
          <w:sz w:val="18"/>
          <w:szCs w:val="18"/>
        </w:rPr>
      </w:pPr>
    </w:p>
    <w:p w14:paraId="602199D2">
      <w:pPr>
        <w:widowControl/>
        <w:spacing w:line="360" w:lineRule="auto"/>
        <w:jc w:val="left"/>
        <w:rPr>
          <w:rFonts w:ascii="宋体" w:hAnsi="宋体"/>
          <w:color w:val="000000"/>
          <w:kern w:val="0"/>
          <w:sz w:val="18"/>
          <w:szCs w:val="18"/>
        </w:rPr>
      </w:pPr>
      <w:r>
        <w:rPr>
          <w:rFonts w:hAnsi="宋体"/>
          <w:sz w:val="18"/>
          <w:szCs w:val="18"/>
        </w:rPr>
        <w:br w:type="page"/>
      </w:r>
    </w:p>
    <w:p w14:paraId="409DE889">
      <w:pPr>
        <w:pStyle w:val="2"/>
        <w:spacing w:before="0" w:after="0" w:line="360" w:lineRule="auto"/>
        <w:jc w:val="center"/>
        <w:rPr>
          <w:rFonts w:ascii="Times New Roman"/>
          <w:sz w:val="30"/>
        </w:rPr>
      </w:pPr>
      <w:bookmarkStart w:id="70" w:name="_Toc176189755"/>
      <w:bookmarkStart w:id="71" w:name="_Toc79154666"/>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14:paraId="66BC23A9">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14:paraId="0D5A5FD1">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68B51A64">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7472C809">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0BC2971B">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0B1AD7DD">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69CF825D">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5060485A">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6AA49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3F7F38D9">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4FD48E69">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0CEF96D8">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231348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5A452ABD">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2E519CF9">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14:paraId="73C7B467">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4BC5B2B2">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14:paraId="6A3C1F4C">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08FB1A55">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31FC5811">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2676AB4E">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07ABF829">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14:paraId="4C8066B5">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252CC57E">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59E7BACC">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59B88D68">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0B4801C7">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238AF1DE">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14:paraId="37EB8FD0">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11A43C4E">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63159707">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076CCA4E">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58803A31">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p>
    <w:p w14:paraId="12388264">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2AB4B107">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04D575F8">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4EDC242F">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3A3560E3">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19D8ED17">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3A9765E7">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7258AD95">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07ECE5C3">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798C3BA6">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64D11A5C">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63F5CF10">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0579DA15">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11EF909E">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14:paraId="68CCF1CF">
      <w:pPr>
        <w:pStyle w:val="2"/>
        <w:spacing w:before="0" w:after="0" w:line="360" w:lineRule="auto"/>
        <w:jc w:val="center"/>
        <w:rPr>
          <w:rFonts w:ascii="Times New Roman"/>
          <w:sz w:val="30"/>
        </w:rPr>
      </w:pPr>
      <w:bookmarkStart w:id="75" w:name="_Toc176189756"/>
      <w:bookmarkStart w:id="76" w:name="_Toc4771"/>
      <w:bookmarkStart w:id="77" w:name="_Toc16265"/>
      <w:bookmarkStart w:id="78" w:name="_Toc90742688"/>
      <w:bookmarkStart w:id="79" w:name="_Toc90742390"/>
      <w:bookmarkStart w:id="80" w:name="_Toc15203"/>
      <w:bookmarkStart w:id="81" w:name="_Toc90742321"/>
      <w:bookmarkStart w:id="82" w:name="_Toc29784"/>
      <w:bookmarkStart w:id="83" w:name="_Toc79154668"/>
      <w:bookmarkStart w:id="84" w:name="_Toc74065741"/>
      <w:bookmarkStart w:id="85" w:name="_Toc27189"/>
      <w:bookmarkStart w:id="86" w:name="_Toc7151"/>
      <w:bookmarkStart w:id="87" w:name="_Toc29948"/>
      <w:bookmarkStart w:id="88" w:name="_Toc27226"/>
      <w:bookmarkStart w:id="89" w:name="_Toc3266"/>
      <w:bookmarkStart w:id="90" w:name="_Toc6714"/>
      <w:bookmarkStart w:id="91" w:name="_Toc22074"/>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14:paraId="4B5B5778">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14:paraId="2E4D1DD7">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48C42AF4">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252AD089">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0834813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14:paraId="558697CD">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64A93967">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59A706E4">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14:paraId="1060E09C">
      <w:pPr>
        <w:autoSpaceDE w:val="0"/>
        <w:autoSpaceDN w:val="0"/>
        <w:adjustRightInd w:val="0"/>
        <w:spacing w:line="360" w:lineRule="auto"/>
        <w:ind w:firstLine="360" w:firstLineChars="200"/>
        <w:jc w:val="left"/>
        <w:rPr>
          <w:rFonts w:hint="eastAsia" w:asciiTheme="majorEastAsia" w:hAnsiTheme="majorEastAsia" w:eastAsiaTheme="majorEastAsia"/>
          <w:bCs/>
          <w:color w:val="auto"/>
          <w:sz w:val="18"/>
          <w:szCs w:val="18"/>
        </w:rPr>
      </w:pPr>
      <w:r>
        <w:rPr>
          <w:rFonts w:ascii="宋体" w:hAnsi="宋体" w:eastAsia="宋体" w:cs="宋体"/>
          <w:sz w:val="18"/>
        </w:rPr>
        <w:t>（1）银行存款、债券逆回购、货币基金等货币市场工具及其它银行间和交易所资金融通工具；</w:t>
      </w:r>
      <w:r>
        <w:rPr>
          <w:rFonts w:ascii="宋体" w:hAnsi="宋体" w:eastAsia="宋体" w:cs="宋体"/>
          <w:sz w:val="18"/>
        </w:rPr>
        <w:br w:type="textWrapping"/>
      </w:r>
      <w:r>
        <w:rPr>
          <w:rFonts w:ascii="宋体" w:hAnsi="宋体" w:eastAsia="宋体" w:cs="宋体"/>
          <w:sz w:val="18"/>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r>
        <w:rPr>
          <w:rFonts w:ascii="宋体" w:hAnsi="宋体" w:eastAsia="宋体" w:cs="宋体"/>
          <w:sz w:val="18"/>
        </w:rPr>
        <w:br w:type="textWrapping"/>
      </w:r>
      <w:r>
        <w:rPr>
          <w:rFonts w:ascii="宋体" w:hAnsi="宋体" w:eastAsia="宋体" w:cs="宋体"/>
          <w:sz w:val="18"/>
        </w:rPr>
        <w:t>（3）符合监管要求的债权类资产；</w:t>
      </w:r>
      <w:r>
        <w:rPr>
          <w:rFonts w:ascii="宋体" w:hAnsi="宋体" w:eastAsia="宋体" w:cs="宋体"/>
          <w:sz w:val="18"/>
        </w:rPr>
        <w:br w:type="textWrapping"/>
      </w:r>
      <w:r>
        <w:rPr>
          <w:rFonts w:ascii="宋体" w:hAnsi="宋体" w:eastAsia="宋体" w:cs="宋体"/>
          <w:sz w:val="18"/>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rPr>
        <w:br w:type="textWrapping"/>
      </w:r>
      <w:r>
        <w:rPr>
          <w:rFonts w:ascii="宋体" w:hAnsi="宋体" w:eastAsia="宋体" w:cs="宋体"/>
          <w:sz w:val="18"/>
        </w:rPr>
        <w:t>（5）其他风险不高于前述资产的资产。</w:t>
      </w:r>
    </w:p>
    <w:p w14:paraId="5CABE8C2">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3464B219">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14:paraId="3E5CB83C">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r>
        <w:rPr>
          <w:rFonts w:ascii="宋体" w:hAnsi="宋体" w:eastAsia="宋体" w:cs="宋体"/>
          <w:sz w:val="18"/>
        </w:rPr>
        <w:t>（1）本产品投资于债权类资产的比例不低于产品总资产的80%。</w:t>
      </w:r>
      <w:r>
        <w:rPr>
          <w:rFonts w:ascii="宋体" w:hAnsi="宋体" w:eastAsia="宋体" w:cs="宋体"/>
          <w:sz w:val="18"/>
        </w:rPr>
        <w:br w:type="textWrapping"/>
      </w:r>
      <w:r>
        <w:rPr>
          <w:rFonts w:ascii="宋体" w:hAnsi="宋体" w:eastAsia="宋体" w:cs="宋体"/>
          <w:sz w:val="18"/>
        </w:rPr>
        <w:t>（2）符合监管要求的非标准化债权类资产低于产品净资产的50%。</w:t>
      </w:r>
      <w:r>
        <w:rPr>
          <w:rFonts w:ascii="宋体" w:hAnsi="宋体" w:eastAsia="宋体" w:cs="宋体"/>
          <w:sz w:val="18"/>
        </w:rPr>
        <w:br w:type="textWrapping"/>
      </w:r>
      <w:r>
        <w:rPr>
          <w:rFonts w:hint="eastAsia" w:ascii="宋体" w:hAnsi="宋体" w:cs="宋体"/>
          <w:sz w:val="18"/>
          <w:lang w:val="en-US" w:eastAsia="zh-CN"/>
        </w:rPr>
        <w:tab/>
      </w: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1A3C9A81">
      <w:pPr>
        <w:autoSpaceDE w:val="0"/>
        <w:autoSpaceDN w:val="0"/>
        <w:adjustRightInd w:val="0"/>
        <w:spacing w:line="360" w:lineRule="auto"/>
        <w:ind w:firstLine="361" w:firstLineChars="200"/>
        <w:jc w:val="left"/>
        <w:rPr>
          <w:rFonts w:hint="eastAsia" w:asciiTheme="majorEastAsia" w:hAnsiTheme="majorEastAsia" w:eastAsiaTheme="majorEastAsia"/>
          <w:b/>
          <w:bCs w:val="0"/>
          <w:kern w:val="0"/>
          <w:sz w:val="18"/>
          <w:szCs w:val="18"/>
        </w:rPr>
      </w:pPr>
      <w:r>
        <w:rPr>
          <w:rFonts w:hint="eastAsia" w:asciiTheme="majorEastAsia" w:hAnsiTheme="majorEastAsia" w:eastAsiaTheme="majorEastAsia"/>
          <w:b/>
          <w:bCs w:val="0"/>
          <w:kern w:val="0"/>
          <w:sz w:val="18"/>
          <w:szCs w:val="18"/>
        </w:rPr>
        <w:t>注：本产品可能投资不存在活跃交易市场，并且需要采用估值技术确定公允价值的资产，且投资上述资产的比例达到理财产品净资产50%以上。</w:t>
      </w:r>
    </w:p>
    <w:p w14:paraId="653DB1AC">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p>
    <w:p w14:paraId="0A1B1476">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06C27AA1">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14:paraId="52D550BD">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03B1FFDD">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07BCE2DF">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776D67F7">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14:paraId="0A17358D">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2B9F7059">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14:paraId="27F54A96">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3A5EF5CD">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（1）每只公募理财产品投资单只证券或者单只公募证券投资基金的市值不得超过该理财产品净资产的10%。</w:t>
      </w:r>
    </w:p>
    <w:p w14:paraId="2BA25FD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（2）全部公募理财产品持有单只证券或单只公募证券投资基金的市值，不得超过该证券市值或该公募证券投资基金市值的30%。</w:t>
      </w:r>
    </w:p>
    <w:p w14:paraId="12AF5B49">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（3）全部理财产品持有单一上市公司发行的股票，不得超过该上市公司可流通股票的30%。</w:t>
      </w:r>
    </w:p>
    <w:p w14:paraId="533D81E9">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（4）全部开放式公募理财产品投资单一上市公司发行的股票不得超过该上市公司可流通股票的15%。 </w:t>
      </w:r>
    </w:p>
    <w:p w14:paraId="35AD8CCE">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（5）本产品因为流动性需要可开展存单质押、债券正回购等融资业务，本产品总资产不超过净资产的200%。</w:t>
      </w:r>
    </w:p>
    <w:p w14:paraId="09B063D4">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（6）本产品投资于信用债券、银行存款、非标准化债权类资产融资人的信用评级均不得低于AA+。</w:t>
      </w:r>
    </w:p>
    <w:p w14:paraId="2C315DD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7D32CBE6">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53B4A5ED">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60E6DF35">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6C522FE3">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5DB3F07A">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4495DEC1">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44BF2687">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14:paraId="023DCABC">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28E962B6">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【产品采取绝对收益策略，追求资产长期稳定增值。】</w:t>
      </w:r>
    </w:p>
    <w:p w14:paraId="0C59BC64">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14:paraId="5FECB427">
      <w:pPr>
        <w:pStyle w:val="2"/>
        <w:spacing w:before="0" w:after="0" w:line="360" w:lineRule="auto"/>
        <w:jc w:val="center"/>
        <w:rPr>
          <w:rFonts w:ascii="Times New Roman"/>
          <w:sz w:val="30"/>
        </w:rPr>
      </w:pPr>
      <w:bookmarkStart w:id="93" w:name="_Toc74065742"/>
      <w:bookmarkStart w:id="94" w:name="_Toc26986"/>
      <w:bookmarkStart w:id="95" w:name="_Toc4741"/>
      <w:bookmarkStart w:id="96" w:name="_Toc18526"/>
      <w:bookmarkStart w:id="97" w:name="_Toc79154669"/>
      <w:bookmarkStart w:id="98" w:name="_Toc176189758"/>
      <w:bookmarkStart w:id="99" w:name="_Toc21988"/>
      <w:bookmarkStart w:id="100" w:name="_Toc18329"/>
      <w:bookmarkStart w:id="101" w:name="_Toc1823"/>
      <w:bookmarkStart w:id="102" w:name="_Toc18797"/>
      <w:bookmarkStart w:id="103" w:name="_Toc7848"/>
      <w:bookmarkStart w:id="104" w:name="_Toc17912"/>
      <w:bookmarkStart w:id="105" w:name="_Toc139991735"/>
      <w:bookmarkStart w:id="106" w:name="_Toc141703885"/>
      <w:bookmarkStart w:id="107" w:name="_Toc14893"/>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753F392F">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14:paraId="6E15585A">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0906F721">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07D94732">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2338959C">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3056010B">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389A203C">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0207B609">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14:paraId="2BEB860A">
      <w:pPr>
        <w:pStyle w:val="2"/>
        <w:spacing w:before="0" w:after="0" w:line="360" w:lineRule="auto"/>
        <w:jc w:val="center"/>
        <w:rPr>
          <w:rFonts w:ascii="Times New Roman"/>
          <w:sz w:val="30"/>
        </w:rPr>
      </w:pPr>
      <w:bookmarkStart w:id="109" w:name="_Toc98560352"/>
      <w:bookmarkStart w:id="110" w:name="_Toc10463"/>
      <w:bookmarkStart w:id="111" w:name="_Toc123102453"/>
      <w:bookmarkStart w:id="112" w:name="_Toc1270"/>
      <w:bookmarkStart w:id="113" w:name="_Toc1427"/>
      <w:bookmarkStart w:id="114" w:name="_Toc123112234"/>
      <w:bookmarkStart w:id="115" w:name="_Toc176189759"/>
      <w:bookmarkStart w:id="116" w:name="_Toc123051452"/>
      <w:bookmarkStart w:id="117" w:name="_Toc139991736"/>
      <w:bookmarkStart w:id="118" w:name="_Toc48649707"/>
      <w:bookmarkStart w:id="119" w:name="_Toc79392606"/>
      <w:bookmarkStart w:id="120" w:name="_Toc17244"/>
      <w:bookmarkStart w:id="121" w:name="_Toc23822"/>
      <w:bookmarkStart w:id="122" w:name="_Toc141703886"/>
      <w:bookmarkStart w:id="123" w:name="_Toc20733"/>
      <w:bookmarkStart w:id="124" w:name="_Toc7920"/>
      <w:bookmarkStart w:id="125" w:name="_Toc23261"/>
      <w:bookmarkStart w:id="126" w:name="_Toc4003"/>
      <w:bookmarkStart w:id="127" w:name="_Toc79154670"/>
      <w:bookmarkStart w:id="128" w:name="_Toc74065743"/>
      <w:bookmarkStart w:id="129" w:name="_Toc610"/>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547E0D67">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14:paraId="78CA9B6F">
      <w:pPr>
        <w:pStyle w:val="14"/>
        <w:spacing w:line="360" w:lineRule="auto"/>
        <w:ind w:firstLine="361" w:firstLineChars="200"/>
        <w:rPr>
          <w:rFonts w:hAnsi="宋体"/>
          <w:b/>
          <w:bCs/>
          <w:sz w:val="18"/>
          <w:szCs w:val="18"/>
        </w:rPr>
      </w:pPr>
      <w:r>
        <w:rPr>
          <w:rFonts w:hint="eastAsia" w:hAnsi="宋体"/>
          <w:b/>
          <w:bCs/>
          <w:sz w:val="18"/>
          <w:szCs w:val="18"/>
        </w:rPr>
        <w:t>（一）估值目的</w:t>
      </w:r>
    </w:p>
    <w:p w14:paraId="0CBEDC1C">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14:paraId="0878481A">
      <w:pPr>
        <w:pStyle w:val="14"/>
        <w:spacing w:line="360" w:lineRule="auto"/>
        <w:ind w:firstLine="361" w:firstLineChars="200"/>
        <w:rPr>
          <w:rFonts w:hAnsi="宋体"/>
          <w:b/>
          <w:bCs/>
          <w:sz w:val="18"/>
          <w:szCs w:val="18"/>
        </w:rPr>
      </w:pPr>
      <w:r>
        <w:rPr>
          <w:rFonts w:hint="eastAsia" w:hAnsi="宋体"/>
          <w:b/>
          <w:bCs/>
          <w:sz w:val="18"/>
          <w:szCs w:val="18"/>
        </w:rPr>
        <w:t>（二）估值频率</w:t>
      </w:r>
    </w:p>
    <w:p w14:paraId="1892510F">
      <w:pPr>
        <w:pStyle w:val="14"/>
        <w:spacing w:line="360" w:lineRule="auto"/>
        <w:ind w:firstLine="450" w:firstLineChars="250"/>
        <w:rPr>
          <w:sz w:val="18"/>
          <w:szCs w:val="18"/>
        </w:rPr>
      </w:pPr>
      <w:r>
        <w:rPr>
          <w:rFonts w:hint="eastAsia" w:hAnsi="宋体"/>
          <w:sz w:val="18"/>
          <w:szCs w:val="18"/>
        </w:rPr>
        <w:t>本产品存续期间，每【周】进行一次估值。如遇产品到期日、季度末、半年度末、年度末等时间节点管理人将增加估值日。</w:t>
      </w:r>
    </w:p>
    <w:p w14:paraId="2F789692">
      <w:pPr>
        <w:pStyle w:val="14"/>
        <w:spacing w:line="360" w:lineRule="auto"/>
        <w:ind w:firstLine="452" w:firstLineChars="250"/>
        <w:rPr>
          <w:rFonts w:hAnsi="宋体"/>
          <w:b/>
          <w:bCs/>
          <w:sz w:val="18"/>
          <w:szCs w:val="18"/>
        </w:rPr>
      </w:pPr>
      <w:r>
        <w:rPr>
          <w:rFonts w:hint="eastAsia" w:hAnsi="宋体"/>
          <w:b/>
          <w:bCs/>
          <w:sz w:val="18"/>
          <w:szCs w:val="18"/>
        </w:rPr>
        <w:t>（三）估值对象</w:t>
      </w:r>
    </w:p>
    <w:p w14:paraId="16FCC031">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14:paraId="0F4F9AC3">
      <w:pPr>
        <w:pStyle w:val="14"/>
        <w:spacing w:line="360" w:lineRule="auto"/>
        <w:ind w:firstLine="452" w:firstLineChars="250"/>
        <w:rPr>
          <w:rFonts w:hAnsi="宋体"/>
          <w:b/>
          <w:bCs/>
          <w:sz w:val="18"/>
          <w:szCs w:val="18"/>
        </w:rPr>
      </w:pPr>
      <w:r>
        <w:rPr>
          <w:rFonts w:hint="eastAsia" w:hAnsi="宋体"/>
          <w:b/>
          <w:bCs/>
          <w:sz w:val="18"/>
          <w:szCs w:val="18"/>
        </w:rPr>
        <w:t>（四）估值方法</w:t>
      </w:r>
    </w:p>
    <w:p w14:paraId="72791E05">
      <w:pPr>
        <w:pStyle w:val="14"/>
        <w:spacing w:line="360" w:lineRule="auto"/>
        <w:ind w:firstLine="360" w:firstLineChars="200"/>
        <w:rPr>
          <w:rFonts w:hAnsi="宋体"/>
          <w:bCs/>
          <w:sz w:val="18"/>
          <w:szCs w:val="18"/>
        </w:rPr>
      </w:pPr>
      <w:r>
        <w:rPr>
          <w:rFonts w:hAnsi="宋体"/>
          <w:bCs/>
          <w:sz w:val="18"/>
          <w:szCs w:val="18"/>
        </w:rPr>
        <w:t>1.标准化债权类资产估值</w:t>
      </w:r>
    </w:p>
    <w:p w14:paraId="3BE1F972">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33DDFAD2">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14:paraId="60380CCD">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14:paraId="58B1FEBB">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14:paraId="420B23DE">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14:paraId="73D285EF">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14:paraId="5111F6E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206E7A64">
      <w:pPr>
        <w:pStyle w:val="14"/>
        <w:spacing w:line="360" w:lineRule="auto"/>
        <w:ind w:firstLine="360" w:firstLineChars="200"/>
        <w:rPr>
          <w:rFonts w:hAnsi="宋体"/>
          <w:sz w:val="18"/>
          <w:szCs w:val="18"/>
        </w:rPr>
      </w:pPr>
      <w:r>
        <w:rPr>
          <w:rFonts w:hAnsi="宋体"/>
          <w:bCs/>
          <w:sz w:val="18"/>
          <w:szCs w:val="18"/>
        </w:rPr>
        <w:t>3.非标准化债权类资产</w:t>
      </w:r>
    </w:p>
    <w:p w14:paraId="5A123AA7">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429833B3">
      <w:pPr>
        <w:pStyle w:val="14"/>
        <w:spacing w:line="360" w:lineRule="auto"/>
        <w:ind w:firstLine="360" w:firstLineChars="200"/>
        <w:rPr>
          <w:rFonts w:hAnsi="宋体"/>
          <w:bCs/>
          <w:sz w:val="18"/>
          <w:szCs w:val="18"/>
        </w:rPr>
      </w:pPr>
      <w:r>
        <w:rPr>
          <w:rFonts w:hAnsi="宋体"/>
          <w:bCs/>
          <w:sz w:val="18"/>
          <w:szCs w:val="18"/>
        </w:rPr>
        <w:t>4.上市公司股票估值</w:t>
      </w:r>
    </w:p>
    <w:p w14:paraId="6A1A0598">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14:paraId="5CA315A7">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2259AC4B">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14:paraId="24782B22">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794D861D">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14:paraId="1C4C1925">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14:paraId="73FD76AF">
      <w:pPr>
        <w:pStyle w:val="14"/>
        <w:spacing w:line="360" w:lineRule="auto"/>
        <w:ind w:firstLine="360" w:firstLineChars="200"/>
        <w:rPr>
          <w:rFonts w:hAnsi="宋体"/>
          <w:bCs/>
          <w:sz w:val="18"/>
          <w:szCs w:val="18"/>
        </w:rPr>
      </w:pPr>
      <w:r>
        <w:rPr>
          <w:rFonts w:hAnsi="宋体"/>
          <w:bCs/>
          <w:sz w:val="18"/>
          <w:szCs w:val="18"/>
        </w:rPr>
        <w:t>5.未上市公司股权</w:t>
      </w:r>
    </w:p>
    <w:p w14:paraId="556ADF21">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14:paraId="0EFC764A">
      <w:pPr>
        <w:pStyle w:val="14"/>
        <w:spacing w:line="360" w:lineRule="auto"/>
        <w:ind w:firstLine="360" w:firstLineChars="200"/>
        <w:rPr>
          <w:rFonts w:hAnsi="宋体"/>
          <w:bCs/>
          <w:sz w:val="18"/>
          <w:szCs w:val="18"/>
        </w:rPr>
      </w:pPr>
      <w:r>
        <w:rPr>
          <w:rFonts w:hAnsi="宋体"/>
          <w:bCs/>
          <w:sz w:val="18"/>
          <w:szCs w:val="18"/>
        </w:rPr>
        <w:t>6.优先股</w:t>
      </w:r>
    </w:p>
    <w:p w14:paraId="07598111">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5B16F139">
      <w:pPr>
        <w:pStyle w:val="14"/>
        <w:spacing w:line="360" w:lineRule="auto"/>
        <w:ind w:firstLine="360" w:firstLineChars="200"/>
        <w:rPr>
          <w:rFonts w:hAnsi="宋体"/>
          <w:bCs/>
          <w:sz w:val="18"/>
          <w:szCs w:val="18"/>
        </w:rPr>
      </w:pPr>
      <w:r>
        <w:rPr>
          <w:rFonts w:hAnsi="宋体"/>
          <w:bCs/>
          <w:sz w:val="18"/>
          <w:szCs w:val="18"/>
        </w:rPr>
        <w:t>7.证券投资基金估值</w:t>
      </w:r>
    </w:p>
    <w:p w14:paraId="40A85697">
      <w:pPr>
        <w:pStyle w:val="14"/>
        <w:spacing w:line="360" w:lineRule="auto"/>
        <w:ind w:firstLine="360" w:firstLineChars="200"/>
        <w:rPr>
          <w:rFonts w:hAnsi="宋体"/>
          <w:sz w:val="18"/>
          <w:szCs w:val="18"/>
        </w:rPr>
      </w:pPr>
      <w:r>
        <w:rPr>
          <w:rFonts w:hint="eastAsia" w:hAnsi="宋体"/>
          <w:sz w:val="18"/>
          <w:szCs w:val="18"/>
        </w:rPr>
        <w:t>（1）非上市基金估值</w:t>
      </w:r>
    </w:p>
    <w:p w14:paraId="5404DB1D">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14:paraId="54420788">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14:paraId="2EC7ED18">
      <w:pPr>
        <w:pStyle w:val="14"/>
        <w:spacing w:line="360" w:lineRule="auto"/>
        <w:ind w:firstLine="360" w:firstLineChars="200"/>
        <w:rPr>
          <w:rFonts w:hAnsi="宋体"/>
          <w:sz w:val="18"/>
          <w:szCs w:val="18"/>
        </w:rPr>
      </w:pPr>
      <w:r>
        <w:rPr>
          <w:rFonts w:hint="eastAsia" w:hAnsi="宋体"/>
          <w:sz w:val="18"/>
          <w:szCs w:val="18"/>
        </w:rPr>
        <w:t>（2）上市基金估值</w:t>
      </w:r>
    </w:p>
    <w:p w14:paraId="299C3839">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14:paraId="02CE6995">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14:paraId="686549C2">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14:paraId="21C4CDCE">
      <w:pPr>
        <w:pStyle w:val="14"/>
        <w:spacing w:line="360" w:lineRule="auto"/>
        <w:ind w:firstLine="360" w:firstLineChars="200"/>
        <w:rPr>
          <w:rFonts w:hAnsi="宋体"/>
          <w:bCs/>
          <w:sz w:val="18"/>
          <w:szCs w:val="18"/>
        </w:rPr>
      </w:pPr>
      <w:r>
        <w:rPr>
          <w:rFonts w:hAnsi="宋体"/>
          <w:bCs/>
          <w:sz w:val="18"/>
          <w:szCs w:val="18"/>
        </w:rPr>
        <w:t>8.其他资产管理产品的估值</w:t>
      </w:r>
    </w:p>
    <w:p w14:paraId="49C938A2">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3BAA0537">
      <w:pPr>
        <w:pStyle w:val="14"/>
        <w:spacing w:line="360" w:lineRule="auto"/>
        <w:ind w:firstLine="360" w:firstLineChars="200"/>
        <w:rPr>
          <w:rFonts w:hAnsi="宋体"/>
          <w:bCs/>
          <w:sz w:val="18"/>
          <w:szCs w:val="18"/>
        </w:rPr>
      </w:pPr>
      <w:r>
        <w:rPr>
          <w:rFonts w:hAnsi="宋体"/>
          <w:bCs/>
          <w:sz w:val="18"/>
          <w:szCs w:val="18"/>
        </w:rPr>
        <w:t>9.衍生金融工具估值</w:t>
      </w:r>
    </w:p>
    <w:p w14:paraId="0F95733B">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669F17CF">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14:paraId="6A280A26">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14:paraId="61D13863">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14:paraId="046669E7">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6C501F85">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14:paraId="25B9D3C0">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14:paraId="07F092D6">
      <w:pPr>
        <w:pStyle w:val="14"/>
        <w:spacing w:line="360" w:lineRule="auto"/>
        <w:ind w:firstLine="361" w:firstLineChars="200"/>
        <w:rPr>
          <w:rFonts w:hAnsi="宋体"/>
          <w:b/>
          <w:bCs/>
          <w:sz w:val="18"/>
          <w:szCs w:val="18"/>
        </w:rPr>
      </w:pPr>
      <w:r>
        <w:rPr>
          <w:rFonts w:hint="eastAsia" w:hAnsi="宋体"/>
          <w:b/>
          <w:bCs/>
          <w:sz w:val="18"/>
          <w:szCs w:val="18"/>
        </w:rPr>
        <w:t>（五）估值程序</w:t>
      </w:r>
    </w:p>
    <w:p w14:paraId="3EF10375">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14:paraId="3E854088">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14:paraId="3D8E8C68">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5EDCD680">
      <w:pPr>
        <w:pStyle w:val="14"/>
        <w:spacing w:line="360" w:lineRule="auto"/>
        <w:ind w:firstLine="361" w:firstLineChars="200"/>
        <w:rPr>
          <w:rFonts w:hAnsi="宋体"/>
          <w:b/>
          <w:bCs/>
          <w:sz w:val="18"/>
          <w:szCs w:val="18"/>
        </w:rPr>
      </w:pPr>
      <w:r>
        <w:rPr>
          <w:rFonts w:hint="eastAsia" w:hAnsi="宋体"/>
          <w:b/>
          <w:bCs/>
          <w:sz w:val="18"/>
          <w:szCs w:val="18"/>
        </w:rPr>
        <w:t>（六）估值主体</w:t>
      </w:r>
    </w:p>
    <w:p w14:paraId="20FAC7A6">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1734E10E">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38E3F73D">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19DB258E">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14D206F2">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0E8EF077">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5C988D9D">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1CC7C489">
      <w:pPr>
        <w:widowControl/>
        <w:spacing w:line="360" w:lineRule="auto"/>
        <w:jc w:val="left"/>
        <w:rPr>
          <w:rFonts w:ascii="宋体" w:hAnsi="宋体"/>
          <w:kern w:val="0"/>
          <w:sz w:val="18"/>
          <w:szCs w:val="18"/>
        </w:rPr>
      </w:pPr>
      <w:r>
        <w:rPr>
          <w:rFonts w:hAnsi="宋体"/>
          <w:sz w:val="18"/>
          <w:szCs w:val="18"/>
        </w:rPr>
        <w:br w:type="page"/>
      </w:r>
    </w:p>
    <w:p w14:paraId="1B9657DD">
      <w:pPr>
        <w:pStyle w:val="2"/>
        <w:spacing w:before="0" w:after="0" w:line="360" w:lineRule="auto"/>
        <w:ind w:left="60" w:firstLine="10"/>
        <w:jc w:val="center"/>
        <w:rPr>
          <w:rFonts w:ascii="Times New Roman"/>
          <w:sz w:val="30"/>
        </w:rPr>
      </w:pPr>
      <w:bookmarkStart w:id="130" w:name="_Hlt70481650"/>
      <w:bookmarkEnd w:id="130"/>
      <w:bookmarkStart w:id="131" w:name="_Toc79154671"/>
      <w:bookmarkStart w:id="132" w:name="_Toc123051453"/>
      <w:bookmarkStart w:id="133" w:name="_Toc14835"/>
      <w:bookmarkStart w:id="134" w:name="_Toc141703887"/>
      <w:bookmarkStart w:id="135" w:name="_Toc31644"/>
      <w:bookmarkStart w:id="136" w:name="_Toc123102454"/>
      <w:bookmarkStart w:id="137" w:name="_Toc26207"/>
      <w:bookmarkStart w:id="138" w:name="_Toc139991737"/>
      <w:bookmarkStart w:id="139" w:name="_Toc6405"/>
      <w:bookmarkStart w:id="140" w:name="_Toc31235"/>
      <w:bookmarkStart w:id="141" w:name="_Toc31653"/>
      <w:bookmarkStart w:id="142" w:name="_Toc29251"/>
      <w:bookmarkStart w:id="143" w:name="_Toc74065744"/>
      <w:bookmarkStart w:id="144" w:name="_Toc15143"/>
      <w:bookmarkStart w:id="145" w:name="_Toc3601"/>
      <w:bookmarkStart w:id="146" w:name="_Toc12245"/>
      <w:bookmarkStart w:id="147" w:name="_Toc123112235"/>
      <w:bookmarkStart w:id="148" w:name="_Toc176189760"/>
      <w:bookmarkStart w:id="149" w:name="_Toc98560353"/>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23711668"/>
      <w:bookmarkStart w:id="153" w:name="_Toc79392580"/>
      <w:bookmarkStart w:id="154" w:name="_Toc57530239"/>
    </w:p>
    <w:p w14:paraId="4425DF2A">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3E9297DF">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14:paraId="0CF9B18F">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14:paraId="35A6F741">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2599E824">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3230407C">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5C933642">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27208CD5">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2B89A1B3">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14:paraId="0B65B65A">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76A5A98C">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47CBF97A">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279BE531">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2234B5EA">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5ED3EC8A">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497C691C">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2AFB6180">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0A5E1A94">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14:paraId="52246823">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14:paraId="4B99689A">
      <w:pPr>
        <w:pStyle w:val="2"/>
        <w:spacing w:before="0" w:after="0" w:line="360" w:lineRule="auto"/>
        <w:jc w:val="center"/>
        <w:rPr>
          <w:rFonts w:ascii="Times New Roman"/>
          <w:sz w:val="30"/>
        </w:rPr>
      </w:pPr>
      <w:bookmarkStart w:id="155" w:name="_Hlt88897298"/>
      <w:bookmarkEnd w:id="155"/>
      <w:bookmarkStart w:id="156" w:name="_Hlt88825574"/>
      <w:bookmarkEnd w:id="156"/>
      <w:bookmarkStart w:id="157" w:name="_Toc10650"/>
      <w:bookmarkStart w:id="158" w:name="_Toc6447"/>
      <w:bookmarkStart w:id="159" w:name="_Toc3771"/>
      <w:bookmarkStart w:id="160" w:name="_Toc79154672"/>
      <w:bookmarkStart w:id="161" w:name="_Toc11030"/>
      <w:bookmarkStart w:id="162" w:name="_Toc139991738"/>
      <w:bookmarkStart w:id="163" w:name="_Toc123051454"/>
      <w:bookmarkStart w:id="164" w:name="_Toc79392583"/>
      <w:bookmarkStart w:id="165" w:name="_Toc123112236"/>
      <w:bookmarkStart w:id="166" w:name="_Toc25783"/>
      <w:bookmarkStart w:id="167" w:name="_Toc176189761"/>
      <w:bookmarkStart w:id="168" w:name="_Toc4559"/>
      <w:bookmarkStart w:id="169" w:name="_Toc74065745"/>
      <w:bookmarkStart w:id="170" w:name="_Toc98560354"/>
      <w:bookmarkStart w:id="171" w:name="_Toc123102455"/>
      <w:bookmarkStart w:id="172" w:name="_Toc7058"/>
      <w:bookmarkStart w:id="173" w:name="_Toc9706"/>
      <w:bookmarkStart w:id="174" w:name="_Toc18567"/>
      <w:bookmarkStart w:id="175" w:name="_Toc3321"/>
      <w:bookmarkStart w:id="176" w:name="_Toc141703888"/>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63BCEA82">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14:paraId="5075867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2001DA3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11F452D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892785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5A41C6B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39C8387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73298AA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00A574F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667BE89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34822A1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6DDDEF7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7194C77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5C437EE8">
      <w:pPr>
        <w:pStyle w:val="14"/>
        <w:spacing w:line="360" w:lineRule="auto"/>
        <w:ind w:firstLine="360" w:firstLineChars="200"/>
        <w:rPr>
          <w:rFonts w:hint="eastAsia" w:ascii="黑体" w:hAnsi="黑体" w:eastAsia="黑体" w:cs="黑体"/>
          <w:kern w:val="0"/>
          <w:sz w:val="18"/>
          <w:szCs w:val="18"/>
        </w:rPr>
      </w:pPr>
      <w:r>
        <w:rPr>
          <w:rFonts w:ascii="宋体" w:hAnsi="宋体" w:eastAsia="宋体" w:cs="宋体"/>
          <w:sz w:val="18"/>
        </w:rPr>
        <w:t>本产品的销售服务费按前一日理财资产净值与销售服务费每日费率每日计提。销售服务费的计算方法如下：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H＝E×销售服务费年费率÷365</w:t>
      </w:r>
      <w:r>
        <w:rPr>
          <w:rFonts w:ascii="宋体" w:hAnsi="宋体" w:eastAsia="宋体" w:cs="宋体"/>
          <w:sz w:val="18"/>
        </w:rPr>
        <w:br w:type="textWrapping"/>
      </w:r>
      <w:r>
        <w:rPr>
          <w:rFonts w:ascii="宋体" w:hAnsi="宋体" w:eastAsia="宋体" w:cs="宋体"/>
          <w:sz w:val="18"/>
        </w:rPr>
        <w:t xml:space="preserve">  H为每日应计提的销售服务费</w:t>
      </w:r>
      <w:r>
        <w:rPr>
          <w:rFonts w:ascii="宋体" w:hAnsi="宋体" w:eastAsia="宋体" w:cs="宋体"/>
          <w:sz w:val="18"/>
        </w:rPr>
        <w:br w:type="textWrapping"/>
      </w:r>
      <w:r>
        <w:rPr>
          <w:rFonts w:ascii="宋体" w:hAnsi="宋体" w:eastAsia="宋体" w:cs="宋体"/>
          <w:sz w:val="18"/>
        </w:rPr>
        <w:t xml:space="preserve">  E为前一日的理财资产净值</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 </w:t>
      </w:r>
    </w:p>
    <w:p w14:paraId="1B3B3185">
      <w:pPr>
        <w:pStyle w:val="14"/>
        <w:spacing w:line="360" w:lineRule="auto"/>
        <w:ind w:firstLine="360" w:firstLineChars="200"/>
        <w:rPr>
          <w:rFonts w:hint="eastAsia" w:ascii="黑体" w:hAnsi="黑体" w:eastAsia="黑体" w:cs="黑体"/>
          <w:kern w:val="0"/>
          <w:sz w:val="18"/>
          <w:szCs w:val="18"/>
        </w:rPr>
      </w:pPr>
    </w:p>
    <w:p w14:paraId="527A676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53BB076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1C8F3E4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4D22506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1D59205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653A74E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10C2EAB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7D4F31B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14:paraId="4126082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14:paraId="4AB50E9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14:paraId="420D588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14:paraId="54D57C0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14:paraId="78EDF09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14:paraId="36783E1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14:paraId="13BF2B6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14:paraId="3221C80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14:paraId="50C50F9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14:paraId="3EE0C92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14:paraId="251F608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14:paraId="1578D50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14:paraId="75C2E80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14:paraId="50AB275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14:paraId="114BC262">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14:paraId="1CAFE565">
      <w:pPr>
        <w:widowControl/>
        <w:spacing w:line="360" w:lineRule="auto"/>
        <w:ind w:firstLine="361" w:firstLineChars="200"/>
        <w:jc w:val="left"/>
        <w:rPr>
          <w:rFonts w:hint="eastAsia" w:ascii="黑体" w:hAnsi="黑体" w:eastAsia="黑体" w:cs="黑体"/>
          <w:b/>
          <w:bCs/>
          <w:sz w:val="18"/>
          <w:szCs w:val="18"/>
        </w:rPr>
      </w:pPr>
    </w:p>
    <w:p w14:paraId="4C29D08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4DDEA47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79DAFE6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3B0355B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2DCA4F1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0185D1B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685AB3D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762C210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0EBFA9A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29268A9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51405EE7">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14:paraId="5A99A6EA">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14:paraId="39C9F4A8">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6A104666">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0B496682">
      <w:pPr>
        <w:pStyle w:val="2"/>
        <w:spacing w:line="360" w:lineRule="auto"/>
        <w:jc w:val="center"/>
      </w:pPr>
      <w:bookmarkStart w:id="177" w:name="_Toc3963"/>
      <w:bookmarkStart w:id="178" w:name="_Toc1745"/>
      <w:r>
        <w:br w:type="page"/>
      </w:r>
      <w:bookmarkStart w:id="179" w:name="_Toc139991739"/>
      <w:bookmarkStart w:id="180" w:name="_Toc16164"/>
      <w:bookmarkStart w:id="181" w:name="_Toc123112237"/>
      <w:bookmarkStart w:id="182" w:name="_Toc18206"/>
      <w:bookmarkStart w:id="183" w:name="_Toc31821"/>
      <w:bookmarkStart w:id="184" w:name="_Toc10398"/>
      <w:bookmarkStart w:id="185" w:name="_Toc79154673"/>
      <w:bookmarkStart w:id="186" w:name="_Toc123051455"/>
      <w:bookmarkStart w:id="187" w:name="_Toc74065746"/>
      <w:bookmarkStart w:id="188" w:name="_Toc176189762"/>
      <w:bookmarkStart w:id="189" w:name="_Toc3080"/>
      <w:bookmarkStart w:id="190" w:name="_Toc3572"/>
      <w:bookmarkStart w:id="191" w:name="_Toc21735"/>
      <w:bookmarkStart w:id="192" w:name="_Toc98560355"/>
      <w:bookmarkStart w:id="193" w:name="_Toc141703889"/>
      <w:bookmarkStart w:id="194" w:name="_Toc123102456"/>
      <w:bookmarkStart w:id="195" w:name="_Toc725"/>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1CEA9220">
      <w:pPr>
        <w:spacing w:line="360" w:lineRule="auto"/>
        <w:ind w:firstLine="361" w:firstLineChars="200"/>
        <w:rPr>
          <w:rFonts w:asciiTheme="majorEastAsia" w:hAnsiTheme="majorEastAsia" w:eastAsiaTheme="majorEastAsia"/>
          <w:b/>
          <w:bCs/>
          <w:sz w:val="18"/>
          <w:szCs w:val="18"/>
        </w:rPr>
      </w:pPr>
      <w:bookmarkStart w:id="196" w:name="_Toc57530252"/>
      <w:bookmarkStart w:id="197" w:name="_Toc79392593"/>
      <w:bookmarkStart w:id="198" w:name="_Toc15118245"/>
      <w:r>
        <w:rPr>
          <w:rFonts w:hint="eastAsia" w:asciiTheme="majorEastAsia" w:hAnsiTheme="majorEastAsia" w:eastAsiaTheme="majorEastAsia"/>
          <w:b/>
          <w:bCs/>
          <w:sz w:val="18"/>
          <w:szCs w:val="18"/>
        </w:rPr>
        <w:t>（一）理财产品的终止</w:t>
      </w:r>
    </w:p>
    <w:p w14:paraId="129CE6EE">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087033EE">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45F4D364">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170A963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5CBD0A7C">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26C71EC0">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55FB9AB0">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5C0055CC">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14:paraId="74BE22A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40501E2A">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7F66FC50">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14:paraId="64F2D8FA">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75C7ED63">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62B8D185">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14:paraId="33A518C7">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12BBF88B">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14:paraId="356029A9">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23454DA8">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391381A0">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316DB3CA">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14:paraId="1D953879">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14:paraId="1F58FAA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14:paraId="79E0D12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1C36989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14:paraId="64E61EF2">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252DA141">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14:paraId="75EBC96F">
      <w:pPr>
        <w:pStyle w:val="2"/>
        <w:spacing w:before="0" w:after="0" w:line="360" w:lineRule="auto"/>
        <w:jc w:val="center"/>
        <w:rPr>
          <w:rFonts w:ascii="Times New Roman"/>
          <w:sz w:val="30"/>
        </w:rPr>
      </w:pPr>
      <w:r>
        <w:rPr>
          <w:rFonts w:ascii="Times New Roman"/>
          <w:b w:val="0"/>
          <w:bCs w:val="0"/>
          <w:kern w:val="2"/>
        </w:rPr>
        <w:br w:type="page"/>
      </w:r>
      <w:bookmarkStart w:id="199" w:name="_Toc79392622"/>
      <w:bookmarkStart w:id="200" w:name="_Toc739"/>
      <w:bookmarkStart w:id="201" w:name="_Toc8791"/>
      <w:bookmarkStart w:id="202" w:name="_Toc32584"/>
      <w:bookmarkStart w:id="203" w:name="_Toc123051456"/>
      <w:bookmarkStart w:id="204" w:name="_Toc17920"/>
      <w:bookmarkStart w:id="205" w:name="_Toc5170"/>
      <w:bookmarkStart w:id="206" w:name="_Toc98560356"/>
      <w:bookmarkStart w:id="207" w:name="_Toc74065747"/>
      <w:bookmarkStart w:id="208" w:name="_Toc29408"/>
      <w:bookmarkStart w:id="209" w:name="_Toc79154674"/>
      <w:bookmarkStart w:id="210" w:name="_Toc123102457"/>
      <w:bookmarkStart w:id="211" w:name="_Toc141703890"/>
      <w:bookmarkStart w:id="212" w:name="_Toc139991740"/>
      <w:bookmarkStart w:id="213" w:name="_Toc21237"/>
      <w:bookmarkStart w:id="214" w:name="_Toc32092"/>
      <w:bookmarkStart w:id="215" w:name="_Toc176189763"/>
      <w:bookmarkStart w:id="216" w:name="_Toc48649708"/>
      <w:bookmarkStart w:id="217" w:name="_Toc17198"/>
      <w:bookmarkStart w:id="218" w:name="_Toc123112238"/>
      <w:bookmarkStart w:id="219" w:name="_Toc3329"/>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30F1C325">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3C668C28">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41F23F39">
      <w:pPr>
        <w:spacing w:line="360" w:lineRule="auto"/>
        <w:ind w:firstLine="361"/>
        <w:rPr>
          <w:rFonts w:ascii="宋体" w:hAnsi="宋体"/>
          <w:b/>
          <w:bCs/>
          <w:sz w:val="18"/>
          <w:szCs w:val="18"/>
        </w:rPr>
      </w:pPr>
      <w:r>
        <w:rPr>
          <w:rFonts w:hint="eastAsia" w:ascii="宋体" w:hAnsi="宋体"/>
          <w:b/>
          <w:bCs/>
          <w:sz w:val="18"/>
          <w:szCs w:val="18"/>
        </w:rPr>
        <w:t>（二）信息披露的渠道</w:t>
      </w:r>
    </w:p>
    <w:p w14:paraId="3CFAC8ED">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14:paraId="0BE587B3">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18963530">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31F7D386">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01D7B31B">
      <w:pPr>
        <w:spacing w:line="360" w:lineRule="auto"/>
        <w:ind w:firstLine="361"/>
        <w:rPr>
          <w:rFonts w:ascii="宋体" w:hAnsi="宋体"/>
          <w:b/>
          <w:bCs/>
          <w:sz w:val="18"/>
          <w:szCs w:val="18"/>
        </w:rPr>
      </w:pPr>
      <w:r>
        <w:rPr>
          <w:rFonts w:hint="eastAsia" w:ascii="宋体" w:hAnsi="宋体"/>
          <w:b/>
          <w:bCs/>
          <w:sz w:val="18"/>
          <w:szCs w:val="18"/>
        </w:rPr>
        <w:t>（三）信息披露的内容</w:t>
      </w:r>
    </w:p>
    <w:p w14:paraId="3F0D51EF">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12C23C0A">
      <w:pPr>
        <w:spacing w:line="360" w:lineRule="auto"/>
        <w:ind w:firstLine="361"/>
        <w:rPr>
          <w:rFonts w:ascii="宋体" w:hAnsi="宋体"/>
          <w:b/>
          <w:bCs/>
          <w:sz w:val="18"/>
          <w:szCs w:val="18"/>
        </w:rPr>
      </w:pPr>
      <w:r>
        <w:rPr>
          <w:rFonts w:hint="eastAsia" w:ascii="宋体" w:hAnsi="宋体"/>
          <w:b/>
          <w:bCs/>
          <w:sz w:val="18"/>
          <w:szCs w:val="18"/>
        </w:rPr>
        <w:t>（四）信息披露的频率和时间</w:t>
      </w:r>
    </w:p>
    <w:p w14:paraId="1A26AEAC">
      <w:pPr>
        <w:spacing w:line="360" w:lineRule="auto"/>
        <w:ind w:firstLine="360"/>
        <w:rPr>
          <w:rFonts w:ascii="宋体" w:hAnsi="宋体"/>
          <w:bCs/>
          <w:sz w:val="18"/>
          <w:szCs w:val="18"/>
        </w:rPr>
      </w:pPr>
      <w:r>
        <w:rPr>
          <w:rFonts w:ascii="宋体" w:hAnsi="宋体"/>
          <w:bCs/>
          <w:sz w:val="18"/>
          <w:szCs w:val="18"/>
        </w:rPr>
        <w:t>1.产品成立公告</w:t>
      </w:r>
    </w:p>
    <w:p w14:paraId="14D87262">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7A96939D">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1AADF077">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34ADB7BE">
      <w:pPr>
        <w:spacing w:line="360" w:lineRule="auto"/>
        <w:ind w:firstLine="360"/>
        <w:rPr>
          <w:rFonts w:ascii="宋体" w:hAnsi="宋体"/>
          <w:bCs/>
          <w:sz w:val="18"/>
          <w:szCs w:val="18"/>
        </w:rPr>
      </w:pPr>
      <w:r>
        <w:rPr>
          <w:rFonts w:ascii="宋体" w:hAnsi="宋体"/>
          <w:bCs/>
          <w:sz w:val="18"/>
          <w:szCs w:val="18"/>
        </w:rPr>
        <w:t>3.定期报告</w:t>
      </w:r>
    </w:p>
    <w:p w14:paraId="248A7E7A">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799106D2">
      <w:pPr>
        <w:spacing w:line="360" w:lineRule="auto"/>
        <w:ind w:firstLine="360"/>
        <w:rPr>
          <w:rFonts w:ascii="宋体" w:hAnsi="宋体"/>
          <w:bCs/>
          <w:sz w:val="18"/>
          <w:szCs w:val="18"/>
        </w:rPr>
      </w:pPr>
      <w:r>
        <w:rPr>
          <w:rFonts w:ascii="宋体" w:hAnsi="宋体"/>
          <w:bCs/>
          <w:sz w:val="18"/>
          <w:szCs w:val="18"/>
        </w:rPr>
        <w:t>4.到期公告</w:t>
      </w:r>
    </w:p>
    <w:p w14:paraId="2DD4C3B0">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78EE4405">
      <w:pPr>
        <w:spacing w:line="360" w:lineRule="auto"/>
        <w:ind w:firstLine="360"/>
        <w:rPr>
          <w:rFonts w:ascii="宋体" w:hAnsi="宋体"/>
          <w:bCs/>
          <w:sz w:val="18"/>
          <w:szCs w:val="18"/>
        </w:rPr>
      </w:pPr>
      <w:r>
        <w:rPr>
          <w:rFonts w:ascii="宋体" w:hAnsi="宋体"/>
          <w:bCs/>
          <w:sz w:val="18"/>
          <w:szCs w:val="18"/>
        </w:rPr>
        <w:t>5.估值日公告</w:t>
      </w:r>
    </w:p>
    <w:p w14:paraId="5A5801DF">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14:paraId="277A8480">
      <w:pPr>
        <w:spacing w:line="360" w:lineRule="auto"/>
        <w:ind w:firstLine="360"/>
        <w:rPr>
          <w:rFonts w:ascii="宋体" w:hAnsi="宋体"/>
          <w:bCs/>
          <w:sz w:val="18"/>
          <w:szCs w:val="18"/>
        </w:rPr>
      </w:pPr>
      <w:r>
        <w:rPr>
          <w:rFonts w:ascii="宋体" w:hAnsi="宋体"/>
          <w:bCs/>
          <w:sz w:val="18"/>
          <w:szCs w:val="18"/>
        </w:rPr>
        <w:t>6.临时公告</w:t>
      </w:r>
    </w:p>
    <w:p w14:paraId="076965CC">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14:paraId="2F7F0DD9">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14:paraId="4B819C0A">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02509FE1">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14:paraId="55874025">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7A9C92A6">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14:paraId="08CAA85C">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14:paraId="383D01FE">
      <w:pPr>
        <w:widowControl/>
        <w:spacing w:line="360" w:lineRule="auto"/>
        <w:jc w:val="left"/>
        <w:rPr>
          <w:bCs/>
          <w:sz w:val="24"/>
        </w:rPr>
      </w:pPr>
      <w:r>
        <w:rPr>
          <w:bCs/>
          <w:sz w:val="24"/>
        </w:rPr>
        <w:br w:type="page"/>
      </w:r>
    </w:p>
    <w:p w14:paraId="5EA20234">
      <w:pPr>
        <w:pStyle w:val="2"/>
        <w:spacing w:before="0" w:after="0" w:line="360" w:lineRule="auto"/>
        <w:jc w:val="center"/>
        <w:rPr>
          <w:rFonts w:ascii="Times New Roman"/>
          <w:b w:val="0"/>
          <w:sz w:val="30"/>
        </w:rPr>
      </w:pPr>
      <w:bookmarkStart w:id="220" w:name="_Toc176189764"/>
      <w:bookmarkStart w:id="221" w:name="_Toc79154675"/>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14:paraId="5C96C325">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2F592A44">
      <w:pPr>
        <w:spacing w:line="360" w:lineRule="auto"/>
        <w:ind w:firstLine="360" w:firstLineChars="200"/>
        <w:rPr>
          <w:rFonts w:hint="eastAsia" w:ascii="宋体" w:hAnsi="宋体"/>
          <w:sz w:val="18"/>
          <w:szCs w:val="18"/>
        </w:rPr>
      </w:pPr>
      <w:r>
        <w:rPr>
          <w:rFonts w:hint="eastAsia" w:ascii="宋体" w:hAnsi="宋体"/>
          <w:sz w:val="18"/>
          <w:szCs w:val="18"/>
        </w:rPr>
        <w:t>【1.拟投资市场和资产的风险：</w:t>
      </w:r>
    </w:p>
    <w:p w14:paraId="5C8B6A3E">
      <w:pPr>
        <w:spacing w:line="360" w:lineRule="auto"/>
        <w:ind w:firstLine="360" w:firstLineChars="200"/>
        <w:rPr>
          <w:rFonts w:hint="eastAsia" w:ascii="宋体" w:hAnsi="宋体"/>
          <w:sz w:val="18"/>
          <w:szCs w:val="18"/>
        </w:rPr>
      </w:pPr>
      <w:r>
        <w:rPr>
          <w:rFonts w:hint="eastAsia" w:ascii="宋体" w:hAnsi="宋体"/>
          <w:sz w:val="18"/>
          <w:szCs w:val="18"/>
        </w:rPr>
        <w:t>（1）投资债权类资产的风险</w:t>
      </w:r>
    </w:p>
    <w:p w14:paraId="18DA88CC">
      <w:pPr>
        <w:spacing w:line="360" w:lineRule="auto"/>
        <w:ind w:firstLine="360" w:firstLineChars="200"/>
        <w:rPr>
          <w:rFonts w:hint="eastAsia" w:ascii="宋体" w:hAnsi="宋体"/>
          <w:sz w:val="18"/>
          <w:szCs w:val="18"/>
        </w:rPr>
      </w:pPr>
      <w:r>
        <w:rPr>
          <w:rFonts w:hint="eastAsia" w:ascii="宋体" w:hAnsi="宋体"/>
          <w:sz w:val="18"/>
          <w:szCs w:val="18"/>
        </w:rPr>
        <w:t>1）投资标准化债权类资产的风险</w:t>
      </w:r>
    </w:p>
    <w:p w14:paraId="2E29267D">
      <w:pPr>
        <w:spacing w:line="360" w:lineRule="auto"/>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2AC956A6">
      <w:pPr>
        <w:spacing w:line="360" w:lineRule="auto"/>
        <w:ind w:firstLine="360" w:firstLineChars="200"/>
        <w:rPr>
          <w:rFonts w:hint="eastAsia" w:ascii="宋体" w:hAnsi="宋体"/>
          <w:sz w:val="18"/>
          <w:szCs w:val="18"/>
        </w:rPr>
      </w:pPr>
      <w:r>
        <w:rPr>
          <w:rFonts w:hint="eastAsia" w:ascii="宋体" w:hAnsi="宋体"/>
          <w:sz w:val="18"/>
          <w:szCs w:val="18"/>
        </w:rPr>
        <w:t>2）投资非标准化债权类资产的风险</w:t>
      </w:r>
    </w:p>
    <w:p w14:paraId="00830090">
      <w:pPr>
        <w:spacing w:line="360" w:lineRule="auto"/>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69D489C3">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4A1F69A4">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7F57A5ED">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14:paraId="05D24DB6">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637190AA">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14:paraId="261384CE">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7C4005FD">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14:paraId="67F9FC84">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C8DA84B">
      <w:pPr>
        <w:spacing w:line="360" w:lineRule="auto"/>
        <w:ind w:firstLine="360" w:firstLineChars="200"/>
        <w:rPr>
          <w:rFonts w:ascii="宋体" w:hAnsi="宋体"/>
          <w:sz w:val="18"/>
          <w:szCs w:val="18"/>
        </w:rPr>
      </w:pPr>
      <w:r>
        <w:rPr>
          <w:rFonts w:hint="eastAsia" w:ascii="宋体" w:hAnsi="宋体"/>
          <w:sz w:val="18"/>
          <w:szCs w:val="18"/>
        </w:rPr>
        <w:t>4.流动性风险</w:t>
      </w:r>
    </w:p>
    <w:p w14:paraId="13D5B84E">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F48708F">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14:paraId="6257A9DF">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05AE4412">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14:paraId="7A992F2D">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1AE27CB9">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14:paraId="5DA65C2A">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4E45D16C">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14:paraId="55220197">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3AD23C83">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14:paraId="308E2778">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14:paraId="086E2D3F">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14:paraId="56A97F99">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14:paraId="73782366">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14:paraId="072A1DE3">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544E2F1C">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14:paraId="2F1975F3">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02202CE4">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14:paraId="2941DC82">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06F1F768">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14:paraId="260B47A3">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162AA6A1">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424F955C">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583DACFF">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14:paraId="772D0D17">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7BF277E5">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7746C3E3">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17F2A10C">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467170C4">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101E90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278EA2A5">
            <w:pPr>
              <w:spacing w:line="280" w:lineRule="atLeast"/>
              <w:ind w:firstLine="422"/>
              <w:jc w:val="center"/>
              <w:rPr>
                <w:rFonts w:ascii="宋体" w:hAnsi="宋体" w:cs="Arial"/>
                <w:b/>
                <w:szCs w:val="21"/>
              </w:rPr>
            </w:pPr>
            <w:r>
              <w:rPr>
                <w:rFonts w:hint="eastAsia" w:ascii="宋体" w:hAnsi="宋体" w:cs="Arial"/>
                <w:b/>
                <w:szCs w:val="21"/>
              </w:rPr>
              <w:t>投资者确认栏</w:t>
            </w:r>
          </w:p>
          <w:p w14:paraId="28FF2B55">
            <w:pPr>
              <w:spacing w:line="360" w:lineRule="auto"/>
              <w:ind w:firstLine="361"/>
              <w:rPr>
                <w:b/>
                <w:sz w:val="18"/>
                <w:szCs w:val="18"/>
              </w:rPr>
            </w:pPr>
          </w:p>
        </w:tc>
      </w:tr>
      <w:tr w14:paraId="3FB5BC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766EE4E2">
            <w:pPr>
              <w:spacing w:line="360" w:lineRule="auto"/>
              <w:jc w:val="left"/>
              <w:rPr>
                <w:b/>
                <w:sz w:val="18"/>
                <w:szCs w:val="18"/>
              </w:rPr>
            </w:pPr>
            <w:r>
              <w:rPr>
                <w:rFonts w:hint="eastAsia"/>
                <w:b/>
                <w:sz w:val="18"/>
                <w:szCs w:val="18"/>
              </w:rPr>
              <w:t>个人投资者适用</w:t>
            </w:r>
          </w:p>
        </w:tc>
        <w:tc>
          <w:tcPr>
            <w:tcW w:w="7371" w:type="dxa"/>
          </w:tcPr>
          <w:p w14:paraId="74FAC4F7">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14:paraId="50978D69">
            <w:pPr>
              <w:spacing w:line="360" w:lineRule="auto"/>
              <w:ind w:firstLine="361"/>
              <w:jc w:val="left"/>
              <w:rPr>
                <w:b/>
                <w:sz w:val="18"/>
                <w:szCs w:val="18"/>
              </w:rPr>
            </w:pPr>
          </w:p>
          <w:p w14:paraId="0BA96FAB">
            <w:pPr>
              <w:spacing w:line="360" w:lineRule="auto"/>
              <w:ind w:firstLine="360"/>
              <w:jc w:val="left"/>
              <w:rPr>
                <w:sz w:val="18"/>
                <w:szCs w:val="18"/>
              </w:rPr>
            </w:pPr>
            <w:r>
              <w:rPr>
                <w:rFonts w:hint="eastAsia"/>
                <w:sz w:val="18"/>
                <w:szCs w:val="18"/>
              </w:rPr>
              <w:t>日期：</w:t>
            </w:r>
          </w:p>
        </w:tc>
      </w:tr>
      <w:tr w14:paraId="379B42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7721E8FC">
            <w:pPr>
              <w:spacing w:line="360" w:lineRule="auto"/>
              <w:jc w:val="left"/>
              <w:rPr>
                <w:b/>
                <w:sz w:val="18"/>
                <w:szCs w:val="18"/>
              </w:rPr>
            </w:pPr>
            <w:r>
              <w:rPr>
                <w:rFonts w:hint="eastAsia"/>
                <w:b/>
                <w:sz w:val="18"/>
                <w:szCs w:val="18"/>
              </w:rPr>
              <w:t>机构投资者适用</w:t>
            </w:r>
          </w:p>
        </w:tc>
        <w:tc>
          <w:tcPr>
            <w:tcW w:w="7371" w:type="dxa"/>
          </w:tcPr>
          <w:p w14:paraId="2EEE9E20">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14:paraId="7400E44A">
            <w:pPr>
              <w:tabs>
                <w:tab w:val="left" w:pos="5609"/>
              </w:tabs>
              <w:spacing w:line="360" w:lineRule="auto"/>
              <w:ind w:firstLine="360"/>
              <w:jc w:val="left"/>
              <w:rPr>
                <w:rFonts w:cs="Arial"/>
                <w:sz w:val="18"/>
                <w:szCs w:val="18"/>
              </w:rPr>
            </w:pPr>
            <w:r>
              <w:rPr>
                <w:rFonts w:cs="Arial"/>
                <w:sz w:val="18"/>
                <w:szCs w:val="18"/>
              </w:rPr>
              <w:tab/>
            </w:r>
          </w:p>
          <w:p w14:paraId="6A91D0AB">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14:paraId="66F9609A">
            <w:pPr>
              <w:spacing w:line="360" w:lineRule="auto"/>
              <w:ind w:firstLine="360"/>
              <w:jc w:val="left"/>
              <w:rPr>
                <w:sz w:val="18"/>
                <w:szCs w:val="18"/>
              </w:rPr>
            </w:pPr>
            <w:r>
              <w:rPr>
                <w:rFonts w:hint="eastAsia"/>
                <w:sz w:val="18"/>
                <w:szCs w:val="18"/>
              </w:rPr>
              <w:t>日期：</w:t>
            </w:r>
          </w:p>
        </w:tc>
      </w:tr>
    </w:tbl>
    <w:p w14:paraId="60489B0B">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14:paraId="7EC7F975">
      <w:pPr>
        <w:pStyle w:val="14"/>
        <w:spacing w:line="360" w:lineRule="auto"/>
        <w:rPr>
          <w:rFonts w:hAnsi="宋体"/>
          <w:sz w:val="18"/>
          <w:szCs w:val="18"/>
        </w:rPr>
      </w:pPr>
    </w:p>
    <w:p w14:paraId="7DD21BA1">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0B6BF340"/>
    <w:p w14:paraId="3BAE4765">
      <w:pPr>
        <w:widowControl/>
        <w:spacing w:before="156"/>
        <w:jc w:val="center"/>
        <w:rPr>
          <w:rFonts w:ascii="黑体" w:hAnsi="黑体" w:eastAsia="黑体"/>
          <w:b/>
          <w:sz w:val="28"/>
          <w:szCs w:val="28"/>
        </w:rPr>
      </w:pPr>
      <w:r>
        <w:rPr>
          <w:rFonts w:hint="eastAsia" w:ascii="黑体" w:hAnsi="黑体" w:eastAsia="黑体"/>
          <w:b/>
          <w:sz w:val="28"/>
          <w:szCs w:val="28"/>
        </w:rPr>
        <w:t>兴银理财【稳利安盈封闭式】理财产品</w:t>
      </w:r>
    </w:p>
    <w:p w14:paraId="34B9A82F">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14:paraId="56229A1D">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14:paraId="77AD2EA6">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14:paraId="562DAF8A">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5A977B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153F3ADD">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14:paraId="13BA926D">
            <w:pPr>
              <w:pStyle w:val="4"/>
              <w:spacing w:line="320" w:lineRule="exact"/>
              <w:rPr>
                <w:rFonts w:ascii="宋体" w:hAnsi="宋体"/>
                <w:b/>
                <w:bCs/>
                <w:sz w:val="28"/>
                <w:szCs w:val="28"/>
              </w:rPr>
            </w:pPr>
          </w:p>
        </w:tc>
      </w:tr>
      <w:tr w14:paraId="2822D1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018A382F">
            <w:pPr>
              <w:pStyle w:val="4"/>
              <w:spacing w:line="320" w:lineRule="exact"/>
              <w:rPr>
                <w:rFonts w:ascii="宋体" w:hAnsi="宋体"/>
                <w:b/>
                <w:bCs/>
                <w:sz w:val="28"/>
                <w:szCs w:val="28"/>
              </w:rPr>
            </w:pPr>
          </w:p>
        </w:tc>
      </w:tr>
      <w:tr w14:paraId="16052C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2335848E">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14:paraId="1FCAF95C">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14:paraId="7F9B1A6A">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14:paraId="4E3E4EF1">
            <w:pPr>
              <w:spacing w:line="320" w:lineRule="exact"/>
              <w:jc w:val="left"/>
              <w:rPr>
                <w:rFonts w:ascii="宋体" w:hAnsi="宋体"/>
                <w:bCs/>
                <w:sz w:val="18"/>
                <w:szCs w:val="18"/>
              </w:rPr>
            </w:pPr>
          </w:p>
        </w:tc>
      </w:tr>
      <w:tr w14:paraId="43F941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6567D7B">
            <w:pPr>
              <w:spacing w:line="320" w:lineRule="exact"/>
              <w:jc w:val="left"/>
              <w:rPr>
                <w:rFonts w:ascii="宋体" w:hAnsi="宋体"/>
                <w:b/>
                <w:bCs/>
                <w:sz w:val="18"/>
                <w:szCs w:val="18"/>
              </w:rPr>
            </w:pPr>
          </w:p>
        </w:tc>
        <w:tc>
          <w:tcPr>
            <w:tcW w:w="635" w:type="dxa"/>
            <w:vMerge w:val="continue"/>
            <w:shd w:val="solid" w:color="FFFFFF" w:fill="FFFFFF"/>
            <w:vAlign w:val="center"/>
          </w:tcPr>
          <w:p w14:paraId="1BC6A006">
            <w:pPr>
              <w:spacing w:line="320" w:lineRule="exact"/>
              <w:jc w:val="left"/>
              <w:rPr>
                <w:rFonts w:ascii="宋体" w:hAnsi="宋体"/>
                <w:bCs/>
                <w:sz w:val="18"/>
                <w:szCs w:val="18"/>
              </w:rPr>
            </w:pPr>
          </w:p>
        </w:tc>
        <w:tc>
          <w:tcPr>
            <w:tcW w:w="1085" w:type="dxa"/>
            <w:shd w:val="solid" w:color="FFFFFF" w:fill="FFFFFF"/>
            <w:vAlign w:val="center"/>
          </w:tcPr>
          <w:p w14:paraId="73433ACB">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14:paraId="3574B594">
            <w:pPr>
              <w:spacing w:line="320" w:lineRule="exact"/>
              <w:jc w:val="left"/>
              <w:rPr>
                <w:rFonts w:ascii="宋体" w:hAnsi="宋体"/>
                <w:bCs/>
                <w:sz w:val="18"/>
                <w:szCs w:val="18"/>
              </w:rPr>
            </w:pPr>
          </w:p>
        </w:tc>
        <w:tc>
          <w:tcPr>
            <w:tcW w:w="1234" w:type="dxa"/>
            <w:shd w:val="solid" w:color="FFFFFF" w:fill="FFFFFF"/>
            <w:vAlign w:val="center"/>
          </w:tcPr>
          <w:p w14:paraId="1C6D1D20">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14:paraId="7F248041">
            <w:pPr>
              <w:spacing w:line="320" w:lineRule="exact"/>
              <w:jc w:val="left"/>
              <w:rPr>
                <w:rFonts w:ascii="宋体" w:hAnsi="宋体"/>
                <w:bCs/>
                <w:sz w:val="18"/>
                <w:szCs w:val="18"/>
              </w:rPr>
            </w:pPr>
          </w:p>
        </w:tc>
      </w:tr>
      <w:tr w14:paraId="12DAB1E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C6CC82D">
            <w:pPr>
              <w:spacing w:line="320" w:lineRule="exact"/>
              <w:jc w:val="left"/>
              <w:rPr>
                <w:rFonts w:ascii="宋体" w:hAnsi="宋体"/>
                <w:b/>
                <w:bCs/>
                <w:sz w:val="18"/>
                <w:szCs w:val="18"/>
              </w:rPr>
            </w:pPr>
          </w:p>
        </w:tc>
        <w:tc>
          <w:tcPr>
            <w:tcW w:w="635" w:type="dxa"/>
            <w:vMerge w:val="continue"/>
            <w:shd w:val="solid" w:color="FFFFFF" w:fill="FFFFFF"/>
            <w:vAlign w:val="center"/>
          </w:tcPr>
          <w:p w14:paraId="14DEBD6C">
            <w:pPr>
              <w:spacing w:line="320" w:lineRule="exact"/>
              <w:jc w:val="left"/>
              <w:rPr>
                <w:rFonts w:ascii="宋体" w:hAnsi="宋体"/>
                <w:bCs/>
                <w:sz w:val="18"/>
                <w:szCs w:val="18"/>
              </w:rPr>
            </w:pPr>
          </w:p>
        </w:tc>
        <w:tc>
          <w:tcPr>
            <w:tcW w:w="1085" w:type="dxa"/>
            <w:shd w:val="solid" w:color="FFFFFF" w:fill="FFFFFF"/>
            <w:vAlign w:val="center"/>
          </w:tcPr>
          <w:p w14:paraId="42CD4F69">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14:paraId="0997155C">
            <w:pPr>
              <w:spacing w:line="320" w:lineRule="exact"/>
              <w:jc w:val="left"/>
              <w:rPr>
                <w:rFonts w:ascii="宋体" w:hAnsi="宋体"/>
                <w:bCs/>
                <w:sz w:val="18"/>
                <w:szCs w:val="18"/>
              </w:rPr>
            </w:pPr>
          </w:p>
        </w:tc>
        <w:tc>
          <w:tcPr>
            <w:tcW w:w="1234" w:type="dxa"/>
            <w:shd w:val="solid" w:color="FFFFFF" w:fill="FFFFFF"/>
            <w:vAlign w:val="center"/>
          </w:tcPr>
          <w:p w14:paraId="6CD03AB9">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14:paraId="147EF51C">
            <w:pPr>
              <w:spacing w:line="320" w:lineRule="exact"/>
              <w:jc w:val="left"/>
              <w:rPr>
                <w:rFonts w:ascii="宋体" w:hAnsi="宋体"/>
                <w:bCs/>
                <w:sz w:val="18"/>
                <w:szCs w:val="18"/>
              </w:rPr>
            </w:pPr>
          </w:p>
        </w:tc>
      </w:tr>
      <w:tr w14:paraId="31D5B9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BF2A8EC">
            <w:pPr>
              <w:spacing w:line="320" w:lineRule="exact"/>
              <w:jc w:val="left"/>
              <w:rPr>
                <w:rFonts w:ascii="宋体" w:hAnsi="宋体"/>
                <w:b/>
                <w:bCs/>
                <w:sz w:val="18"/>
                <w:szCs w:val="18"/>
              </w:rPr>
            </w:pPr>
          </w:p>
        </w:tc>
        <w:tc>
          <w:tcPr>
            <w:tcW w:w="635" w:type="dxa"/>
            <w:vMerge w:val="continue"/>
            <w:shd w:val="solid" w:color="FFFFFF" w:fill="FFFFFF"/>
            <w:vAlign w:val="center"/>
          </w:tcPr>
          <w:p w14:paraId="6C13A70B">
            <w:pPr>
              <w:spacing w:line="320" w:lineRule="exact"/>
              <w:jc w:val="left"/>
              <w:rPr>
                <w:rFonts w:ascii="宋体" w:hAnsi="宋体"/>
                <w:bCs/>
                <w:sz w:val="18"/>
                <w:szCs w:val="18"/>
              </w:rPr>
            </w:pPr>
          </w:p>
        </w:tc>
        <w:tc>
          <w:tcPr>
            <w:tcW w:w="1085" w:type="dxa"/>
            <w:shd w:val="solid" w:color="FFFFFF" w:fill="FFFFFF"/>
            <w:vAlign w:val="center"/>
          </w:tcPr>
          <w:p w14:paraId="7C08863B">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14:paraId="331C50A3">
            <w:pPr>
              <w:spacing w:line="320" w:lineRule="exact"/>
              <w:jc w:val="left"/>
              <w:rPr>
                <w:rFonts w:ascii="宋体" w:hAnsi="宋体"/>
                <w:bCs/>
                <w:sz w:val="18"/>
                <w:szCs w:val="18"/>
              </w:rPr>
            </w:pPr>
          </w:p>
        </w:tc>
      </w:tr>
      <w:tr w14:paraId="7124CC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79B3E6A">
            <w:pPr>
              <w:spacing w:line="320" w:lineRule="exact"/>
              <w:jc w:val="left"/>
              <w:rPr>
                <w:rFonts w:ascii="宋体" w:hAnsi="宋体"/>
                <w:b/>
                <w:bCs/>
                <w:sz w:val="18"/>
                <w:szCs w:val="18"/>
              </w:rPr>
            </w:pPr>
          </w:p>
        </w:tc>
        <w:tc>
          <w:tcPr>
            <w:tcW w:w="635" w:type="dxa"/>
            <w:vMerge w:val="continue"/>
            <w:shd w:val="solid" w:color="FFFFFF" w:fill="FFFFFF"/>
            <w:vAlign w:val="center"/>
          </w:tcPr>
          <w:p w14:paraId="3B30C211">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14:paraId="0BF68419">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14:paraId="74918519">
            <w:pPr>
              <w:spacing w:line="320" w:lineRule="exact"/>
              <w:jc w:val="left"/>
              <w:rPr>
                <w:rFonts w:ascii="宋体" w:hAnsi="宋体"/>
                <w:bCs/>
                <w:sz w:val="18"/>
                <w:szCs w:val="18"/>
              </w:rPr>
            </w:pPr>
          </w:p>
        </w:tc>
      </w:tr>
      <w:tr w14:paraId="6A4204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9D5C3EB">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14:paraId="6F5BF43C">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5AE7FCC">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9C42906">
            <w:pPr>
              <w:spacing w:line="320" w:lineRule="exact"/>
              <w:jc w:val="left"/>
              <w:rPr>
                <w:rFonts w:ascii="宋体" w:hAnsi="宋体"/>
                <w:bCs/>
                <w:sz w:val="18"/>
                <w:szCs w:val="18"/>
              </w:rPr>
            </w:pPr>
          </w:p>
        </w:tc>
      </w:tr>
      <w:tr w14:paraId="1FFA5E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6721535">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4500CE9C">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916D010">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07FE55E">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E37C579">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D94CD3F">
            <w:pPr>
              <w:spacing w:line="320" w:lineRule="exact"/>
              <w:jc w:val="left"/>
              <w:rPr>
                <w:rFonts w:ascii="宋体" w:hAnsi="宋体"/>
                <w:bCs/>
                <w:sz w:val="18"/>
                <w:szCs w:val="18"/>
              </w:rPr>
            </w:pPr>
          </w:p>
        </w:tc>
      </w:tr>
      <w:tr w14:paraId="29320F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85F7C66">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1A28D211">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B897C2">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D5E0152">
            <w:pPr>
              <w:spacing w:line="320" w:lineRule="exact"/>
              <w:jc w:val="left"/>
              <w:rPr>
                <w:rFonts w:ascii="宋体" w:hAnsi="宋体"/>
                <w:bCs/>
                <w:sz w:val="18"/>
                <w:szCs w:val="18"/>
              </w:rPr>
            </w:pPr>
          </w:p>
        </w:tc>
      </w:tr>
      <w:tr w14:paraId="537758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01BDA54">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58D768C9">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7E82D18">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1D7410A">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2B5FA6">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47BBD57">
            <w:pPr>
              <w:spacing w:line="320" w:lineRule="exact"/>
              <w:jc w:val="left"/>
              <w:rPr>
                <w:rFonts w:ascii="宋体" w:hAnsi="宋体"/>
                <w:bCs/>
                <w:sz w:val="18"/>
                <w:szCs w:val="18"/>
              </w:rPr>
            </w:pPr>
          </w:p>
        </w:tc>
      </w:tr>
      <w:tr w14:paraId="62BACF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484EB19">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6DFEA132">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81360CA">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E1BB5B9">
            <w:pPr>
              <w:spacing w:line="320" w:lineRule="exact"/>
              <w:jc w:val="left"/>
              <w:rPr>
                <w:rFonts w:ascii="宋体" w:hAnsi="宋体"/>
                <w:bCs/>
                <w:sz w:val="18"/>
                <w:szCs w:val="18"/>
              </w:rPr>
            </w:pPr>
          </w:p>
        </w:tc>
      </w:tr>
      <w:tr w14:paraId="51E373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19E8D2B8">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2F5BF3C4">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5E4C988">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3677CE9">
            <w:pPr>
              <w:spacing w:line="320" w:lineRule="exact"/>
              <w:jc w:val="left"/>
              <w:rPr>
                <w:rFonts w:ascii="宋体" w:hAnsi="宋体"/>
                <w:bCs/>
                <w:sz w:val="18"/>
                <w:szCs w:val="18"/>
              </w:rPr>
            </w:pPr>
          </w:p>
        </w:tc>
      </w:tr>
      <w:tr w14:paraId="3FE515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0BECFA2C">
            <w:pPr>
              <w:pStyle w:val="4"/>
              <w:pBdr>
                <w:bottom w:val="none" w:color="auto" w:sz="0" w:space="0"/>
              </w:pBdr>
              <w:spacing w:line="320" w:lineRule="exact"/>
              <w:rPr>
                <w:rFonts w:ascii="宋体" w:hAnsi="宋体"/>
                <w:b/>
                <w:bCs/>
                <w:sz w:val="28"/>
                <w:szCs w:val="28"/>
              </w:rPr>
            </w:pPr>
          </w:p>
        </w:tc>
      </w:tr>
      <w:tr w14:paraId="46422C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2797B874">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14:paraId="629BF2E4">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14:paraId="5DD9F97A">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14:paraId="6D032AAB">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14:paraId="10EC41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3D329179">
            <w:pPr>
              <w:spacing w:line="320" w:lineRule="exact"/>
              <w:jc w:val="left"/>
              <w:rPr>
                <w:rFonts w:ascii="宋体" w:hAnsi="宋体"/>
                <w:b/>
                <w:bCs/>
                <w:sz w:val="18"/>
                <w:szCs w:val="18"/>
              </w:rPr>
            </w:pPr>
          </w:p>
        </w:tc>
        <w:tc>
          <w:tcPr>
            <w:tcW w:w="1720" w:type="dxa"/>
            <w:gridSpan w:val="2"/>
            <w:shd w:val="solid" w:color="FFFFFF" w:fill="FFFFFF"/>
            <w:vAlign w:val="center"/>
          </w:tcPr>
          <w:p w14:paraId="2E94F98D">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14:paraId="084F04A6">
            <w:pPr>
              <w:spacing w:line="320" w:lineRule="exact"/>
              <w:jc w:val="left"/>
              <w:rPr>
                <w:rFonts w:ascii="宋体" w:hAnsi="宋体"/>
                <w:bCs/>
                <w:sz w:val="18"/>
                <w:szCs w:val="18"/>
              </w:rPr>
            </w:pPr>
            <w:r>
              <w:rPr>
                <w:rFonts w:hint="eastAsia" w:ascii="宋体" w:hAnsi="宋体"/>
                <w:bCs/>
                <w:sz w:val="18"/>
                <w:szCs w:val="18"/>
              </w:rPr>
              <w:t>【沧州银行股份有限公司】</w:t>
            </w:r>
          </w:p>
        </w:tc>
      </w:tr>
      <w:tr w14:paraId="77FA39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26AE4274">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14:paraId="2CF9CC87">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14:paraId="0ED687A5">
            <w:pPr>
              <w:pStyle w:val="14"/>
              <w:jc w:val="both"/>
            </w:pPr>
            <w:r>
              <w:rPr>
                <w:rFonts w:hint="eastAsia" w:asciiTheme="majorEastAsia" w:hAnsiTheme="majorEastAsia" w:eastAsiaTheme="majorEastAsia"/>
                <w:bCs/>
                <w:sz w:val="18"/>
                <w:szCs w:val="18"/>
              </w:rPr>
              <w:t>【沧州银行】</w:t>
            </w:r>
          </w:p>
        </w:tc>
      </w:tr>
      <w:tr w14:paraId="2745F2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5D9A3877">
            <w:pPr>
              <w:spacing w:line="320" w:lineRule="exact"/>
              <w:jc w:val="left"/>
              <w:rPr>
                <w:rFonts w:ascii="宋体" w:hAnsi="宋体"/>
                <w:bCs/>
                <w:sz w:val="18"/>
                <w:szCs w:val="18"/>
              </w:rPr>
            </w:pPr>
          </w:p>
        </w:tc>
      </w:tr>
      <w:tr w14:paraId="16E350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7AB98447">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14:paraId="6EA38FE2">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14:paraId="5EFCCF28">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18BCB85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5E1E887A">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14:paraId="3DEDD540">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13E965F2">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0C601F0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0765C1C5">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14:paraId="2CDE545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08FC63C2">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14:paraId="2ABBF3A8">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5EFD765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501305E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2176576E">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14:paraId="752D22D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4E6439C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079F471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1F132DC7">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14:paraId="47982A2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1EBF3B6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0DED180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0D0290FE">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w:t>
      </w:r>
      <w:r>
        <w:rPr>
          <w:rFonts w:hint="eastAsia" w:asciiTheme="majorEastAsia" w:hAnsiTheme="majorEastAsia" w:eastAsiaTheme="majorEastAsia"/>
          <w:sz w:val="18"/>
          <w:szCs w:val="18"/>
          <w:lang w:val="en-US" w:eastAsia="zh-CN"/>
        </w:rPr>
        <w:t>普通</w:t>
      </w:r>
      <w:r>
        <w:rPr>
          <w:rFonts w:hint="eastAsia" w:asciiTheme="majorEastAsia" w:hAnsiTheme="majorEastAsia" w:eastAsiaTheme="majorEastAsia"/>
          <w:sz w:val="18"/>
          <w:szCs w:val="18"/>
        </w:rPr>
        <w:t>投资者要求执行；</w:t>
      </w:r>
    </w:p>
    <w:p w14:paraId="080795A1">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14:paraId="67FC929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3982A79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01CE1F2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4E3C1BB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210131D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27838E7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560CF37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3007C0A5">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21304DA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575EF92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63D4A26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09D03BDA">
      <w:pPr>
        <w:widowControl/>
        <w:spacing w:line="360" w:lineRule="auto"/>
        <w:jc w:val="left"/>
        <w:rPr>
          <w:rFonts w:ascii="宋体" w:hAnsi="宋体" w:cs="仿宋_GB2312"/>
          <w:kern w:val="0"/>
          <w:sz w:val="18"/>
          <w:szCs w:val="18"/>
        </w:rPr>
      </w:pPr>
    </w:p>
    <w:p w14:paraId="49D7AD1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2C203F2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58617B8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0124623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331F292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20B1E9E7">
      <w:pPr>
        <w:widowControl/>
        <w:spacing w:line="360" w:lineRule="auto"/>
        <w:jc w:val="left"/>
        <w:rPr>
          <w:rFonts w:ascii="宋体" w:hAnsi="宋体" w:cs="仿宋_GB2312"/>
          <w:kern w:val="0"/>
          <w:sz w:val="18"/>
          <w:szCs w:val="18"/>
        </w:rPr>
      </w:pPr>
    </w:p>
    <w:p w14:paraId="309EAA44">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284E031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14A7802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1A172BD9">
      <w:pPr>
        <w:widowControl/>
        <w:spacing w:line="360" w:lineRule="auto"/>
        <w:jc w:val="left"/>
        <w:rPr>
          <w:rFonts w:ascii="宋体" w:hAnsi="宋体" w:cs="仿宋_GB2312"/>
          <w:kern w:val="0"/>
          <w:sz w:val="18"/>
          <w:szCs w:val="18"/>
        </w:rPr>
      </w:pPr>
    </w:p>
    <w:p w14:paraId="57A8A39E">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3BD796C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2D9AC14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7FD2851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61F5A38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352C841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640C42B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01758D4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430A7053">
      <w:pPr>
        <w:widowControl/>
        <w:spacing w:line="360" w:lineRule="auto"/>
        <w:jc w:val="left"/>
        <w:rPr>
          <w:rFonts w:ascii="宋体" w:hAnsi="宋体" w:cs="仿宋_GB2312"/>
          <w:b/>
          <w:kern w:val="0"/>
          <w:sz w:val="18"/>
          <w:szCs w:val="18"/>
        </w:rPr>
      </w:pPr>
    </w:p>
    <w:p w14:paraId="4A6DFE7E">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5AE5143E">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09EEA878">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51E38E69">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2796A62B">
      <w:pPr>
        <w:widowControl/>
        <w:jc w:val="left"/>
        <w:rPr>
          <w:rFonts w:ascii="宋体" w:hAnsi="宋体" w:cs="仿宋_GB2312"/>
          <w:b/>
          <w:kern w:val="0"/>
          <w:sz w:val="18"/>
          <w:szCs w:val="18"/>
        </w:rPr>
      </w:pPr>
      <w:r>
        <w:rPr>
          <w:rFonts w:ascii="宋体" w:hAnsi="宋体" w:cs="仿宋_GB2312"/>
          <w:b/>
          <w:kern w:val="0"/>
          <w:sz w:val="18"/>
          <w:szCs w:val="18"/>
        </w:rPr>
        <w:br w:type="page"/>
      </w:r>
    </w:p>
    <w:p w14:paraId="0DCEE8DC">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66AB34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00327A35">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14:paraId="274005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2D0BE899">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14:paraId="31019076">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14:paraId="4B257A08">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27D94F0E">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006189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58A692C5">
            <w:pPr>
              <w:spacing w:line="360" w:lineRule="auto"/>
              <w:jc w:val="center"/>
              <w:rPr>
                <w:b/>
                <w:kern w:val="0"/>
                <w:sz w:val="18"/>
                <w:szCs w:val="18"/>
              </w:rPr>
            </w:pPr>
            <w:r>
              <w:rPr>
                <w:rFonts w:hint="eastAsia"/>
                <w:b/>
                <w:kern w:val="0"/>
                <w:sz w:val="18"/>
                <w:szCs w:val="18"/>
              </w:rPr>
              <w:t>甲方签署栏</w:t>
            </w:r>
          </w:p>
        </w:tc>
        <w:tc>
          <w:tcPr>
            <w:tcW w:w="851" w:type="dxa"/>
          </w:tcPr>
          <w:p w14:paraId="5C145E72">
            <w:pPr>
              <w:spacing w:line="360" w:lineRule="auto"/>
              <w:rPr>
                <w:kern w:val="0"/>
                <w:sz w:val="18"/>
                <w:szCs w:val="18"/>
              </w:rPr>
            </w:pPr>
            <w:r>
              <w:rPr>
                <w:rFonts w:hint="eastAsia"/>
                <w:kern w:val="0"/>
                <w:sz w:val="18"/>
                <w:szCs w:val="18"/>
              </w:rPr>
              <w:t>个人投资者适用</w:t>
            </w:r>
          </w:p>
        </w:tc>
        <w:tc>
          <w:tcPr>
            <w:tcW w:w="6998" w:type="dxa"/>
          </w:tcPr>
          <w:p w14:paraId="18EE6AF6">
            <w:pPr>
              <w:spacing w:line="360" w:lineRule="auto"/>
              <w:rPr>
                <w:kern w:val="0"/>
                <w:sz w:val="18"/>
                <w:szCs w:val="18"/>
              </w:rPr>
            </w:pPr>
            <w:r>
              <w:rPr>
                <w:rFonts w:hint="eastAsia"/>
                <w:kern w:val="0"/>
                <w:sz w:val="18"/>
                <w:szCs w:val="18"/>
              </w:rPr>
              <w:t>甲方（签名/线上确认）：</w:t>
            </w:r>
          </w:p>
          <w:p w14:paraId="269C637F">
            <w:pPr>
              <w:spacing w:line="360" w:lineRule="auto"/>
              <w:rPr>
                <w:b/>
                <w:kern w:val="0"/>
                <w:sz w:val="18"/>
                <w:szCs w:val="18"/>
              </w:rPr>
            </w:pPr>
          </w:p>
          <w:p w14:paraId="1DA88FE4">
            <w:pPr>
              <w:spacing w:line="360" w:lineRule="auto"/>
              <w:rPr>
                <w:b/>
                <w:kern w:val="0"/>
                <w:sz w:val="18"/>
                <w:szCs w:val="18"/>
              </w:rPr>
            </w:pPr>
            <w:r>
              <w:rPr>
                <w:rFonts w:hint="eastAsia"/>
                <w:kern w:val="0"/>
                <w:sz w:val="18"/>
                <w:szCs w:val="18"/>
              </w:rPr>
              <w:t>日期：</w:t>
            </w:r>
          </w:p>
        </w:tc>
      </w:tr>
      <w:tr w14:paraId="2D30F5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508E6214">
            <w:pPr>
              <w:spacing w:line="360" w:lineRule="auto"/>
              <w:rPr>
                <w:b/>
                <w:kern w:val="0"/>
                <w:sz w:val="18"/>
                <w:szCs w:val="18"/>
              </w:rPr>
            </w:pPr>
          </w:p>
        </w:tc>
        <w:tc>
          <w:tcPr>
            <w:tcW w:w="851" w:type="dxa"/>
          </w:tcPr>
          <w:p w14:paraId="1CEA3A53">
            <w:pPr>
              <w:spacing w:line="360" w:lineRule="auto"/>
              <w:rPr>
                <w:kern w:val="0"/>
                <w:sz w:val="18"/>
                <w:szCs w:val="18"/>
              </w:rPr>
            </w:pPr>
            <w:r>
              <w:rPr>
                <w:rFonts w:hint="eastAsia"/>
                <w:kern w:val="0"/>
                <w:sz w:val="18"/>
                <w:szCs w:val="18"/>
              </w:rPr>
              <w:t>机构投资者适用</w:t>
            </w:r>
          </w:p>
        </w:tc>
        <w:tc>
          <w:tcPr>
            <w:tcW w:w="6998" w:type="dxa"/>
          </w:tcPr>
          <w:p w14:paraId="1ACF4C97">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14:paraId="795FC0C3">
            <w:pPr>
              <w:spacing w:line="360" w:lineRule="auto"/>
              <w:rPr>
                <w:rFonts w:cs="Arial"/>
                <w:kern w:val="0"/>
                <w:sz w:val="18"/>
                <w:szCs w:val="18"/>
              </w:rPr>
            </w:pPr>
          </w:p>
          <w:p w14:paraId="6B280CBE">
            <w:pPr>
              <w:spacing w:line="360" w:lineRule="auto"/>
              <w:rPr>
                <w:rFonts w:cs="Arial"/>
                <w:kern w:val="0"/>
                <w:sz w:val="18"/>
                <w:szCs w:val="18"/>
              </w:rPr>
            </w:pPr>
            <w:r>
              <w:rPr>
                <w:rFonts w:hint="eastAsia" w:cs="Arial"/>
                <w:kern w:val="0"/>
                <w:sz w:val="18"/>
                <w:szCs w:val="18"/>
              </w:rPr>
              <w:t>甲方法定代表人或授权代理人（签名/盖章/线上确认）：</w:t>
            </w:r>
          </w:p>
          <w:p w14:paraId="7AD38EA0">
            <w:pPr>
              <w:spacing w:line="360" w:lineRule="auto"/>
              <w:rPr>
                <w:kern w:val="0"/>
                <w:sz w:val="18"/>
                <w:szCs w:val="18"/>
              </w:rPr>
            </w:pPr>
            <w:r>
              <w:rPr>
                <w:rFonts w:hint="eastAsia"/>
                <w:kern w:val="0"/>
                <w:sz w:val="18"/>
                <w:szCs w:val="18"/>
              </w:rPr>
              <w:t>日期：</w:t>
            </w:r>
          </w:p>
        </w:tc>
      </w:tr>
      <w:tr w14:paraId="42CCEB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041C89F4">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14:paraId="775B7842">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14:paraId="383B8100">
            <w:pPr>
              <w:spacing w:line="360" w:lineRule="auto"/>
              <w:rPr>
                <w:b/>
                <w:kern w:val="0"/>
                <w:sz w:val="18"/>
                <w:szCs w:val="18"/>
              </w:rPr>
            </w:pPr>
          </w:p>
          <w:p w14:paraId="306AA6C8">
            <w:pPr>
              <w:spacing w:line="360" w:lineRule="auto"/>
              <w:rPr>
                <w:kern w:val="0"/>
                <w:sz w:val="18"/>
                <w:szCs w:val="18"/>
              </w:rPr>
            </w:pPr>
            <w:r>
              <w:rPr>
                <w:rFonts w:hint="eastAsia"/>
                <w:kern w:val="0"/>
                <w:sz w:val="18"/>
                <w:szCs w:val="18"/>
              </w:rPr>
              <w:t>日期：</w:t>
            </w:r>
          </w:p>
        </w:tc>
      </w:tr>
    </w:tbl>
    <w:p w14:paraId="06E32A8F">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4863B7C7"/>
    <w:p w14:paraId="48DB2C21">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0537C019">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兴银理财【稳利安盈封闭式】</w:t>
      </w:r>
      <w:r>
        <w:rPr>
          <w:rFonts w:ascii="黑体" w:hAnsi="黑体" w:eastAsia="黑体"/>
          <w:b/>
          <w:bCs/>
          <w:sz w:val="28"/>
          <w:szCs w:val="28"/>
        </w:rPr>
        <w:t>理财产品</w:t>
      </w:r>
    </w:p>
    <w:p w14:paraId="1A646578">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14:paraId="598EF097">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14:paraId="28A6DC9C">
      <w:pPr>
        <w:rPr>
          <w:rFonts w:ascii="宋体" w:hAnsi="宋体" w:cs="仿宋_GB2312"/>
          <w:b/>
          <w:kern w:val="0"/>
          <w:sz w:val="18"/>
          <w:szCs w:val="18"/>
        </w:rPr>
      </w:pPr>
      <w:r>
        <w:rPr>
          <w:rFonts w:hint="eastAsia" w:ascii="宋体" w:hAnsi="宋体" w:cs="仿宋_GB2312"/>
          <w:b/>
          <w:kern w:val="0"/>
          <w:sz w:val="18"/>
          <w:szCs w:val="18"/>
        </w:rPr>
        <w:t>尊敬的投资者：</w:t>
      </w:r>
    </w:p>
    <w:p w14:paraId="2EB1B34A">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555EE4D4">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327067DC">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42F8A7DF">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7DF12BDB">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【兴银理财稳利安盈封闭式2026年459期固收类理财产品</w:t>
      </w:r>
      <w:r>
        <w:rPr>
          <w:rFonts w:hint="eastAsia" w:asciiTheme="majorEastAsia" w:hAnsiTheme="majorEastAsia" w:eastAsiaTheme="majorEastAsia"/>
          <w:bCs/>
          <w:kern w:val="0"/>
          <w:sz w:val="18"/>
          <w:szCs w:val="18"/>
        </w:rPr>
        <w:t>】</w:t>
      </w:r>
    </w:p>
    <w:p w14:paraId="56D5E84F">
      <w:pPr>
        <w:ind w:firstLine="448" w:firstLineChars="249"/>
        <w:rPr>
          <w:rFonts w:ascii="宋体" w:hAnsi="宋体" w:cs="仿宋_GB2312"/>
          <w:kern w:val="0"/>
          <w:sz w:val="18"/>
          <w:szCs w:val="18"/>
        </w:rPr>
      </w:pPr>
      <w:r>
        <w:rPr>
          <w:rFonts w:ascii="宋体" w:hAnsi="宋体" w:eastAsia="宋体" w:cs="宋体"/>
          <w:sz w:val="18"/>
        </w:rPr>
        <w:t>销售名称：【稳利安盈2026年459期A】 (适用【A】类份额)</w:t>
      </w:r>
      <w:r>
        <w:rPr>
          <w:rFonts w:ascii="宋体" w:hAnsi="宋体" w:eastAsia="宋体" w:cs="宋体"/>
          <w:sz w:val="18"/>
        </w:rPr>
        <w:br w:type="textWrapping"/>
      </w:r>
      <w:r>
        <w:rPr>
          <w:rFonts w:ascii="宋体" w:hAnsi="宋体" w:eastAsia="宋体" w:cs="宋体"/>
          <w:sz w:val="18"/>
        </w:rPr>
        <w:t xml:space="preserve">     【稳利安盈2026年459期B】 (适用【B】类份额)</w:t>
      </w:r>
      <w:r>
        <w:rPr>
          <w:rFonts w:ascii="宋体" w:hAnsi="宋体" w:eastAsia="宋体" w:cs="宋体"/>
          <w:sz w:val="18"/>
        </w:rPr>
        <w:br w:type="textWrapping"/>
      </w:r>
      <w:r>
        <w:rPr>
          <w:rFonts w:ascii="宋体" w:hAnsi="宋体" w:eastAsia="宋体" w:cs="宋体"/>
          <w:sz w:val="18"/>
        </w:rPr>
        <w:t xml:space="preserve">     【稳利安盈2026年459期C】 (适用【C】类份额)</w:t>
      </w:r>
      <w:r>
        <w:rPr>
          <w:rFonts w:ascii="宋体" w:hAnsi="宋体" w:eastAsia="宋体" w:cs="宋体"/>
          <w:sz w:val="18"/>
        </w:rPr>
        <w:br w:type="textWrapping"/>
      </w:r>
      <w:r>
        <w:rPr>
          <w:rFonts w:ascii="宋体" w:hAnsi="宋体" w:eastAsia="宋体" w:cs="宋体"/>
          <w:sz w:val="18"/>
        </w:rPr>
        <w:t xml:space="preserve">     【稳利安盈2026年459期F】 (适用【F】类份额)</w:t>
      </w:r>
    </w:p>
    <w:p w14:paraId="1231CEB6">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Z7002025001977</w:t>
      </w:r>
      <w:r>
        <w:rPr>
          <w:rFonts w:ascii="宋体" w:hAnsi="宋体" w:cs="仿宋_GB2312"/>
          <w:kern w:val="0"/>
          <w:sz w:val="18"/>
          <w:szCs w:val="18"/>
        </w:rPr>
        <w:t>】</w:t>
      </w:r>
    </w:p>
    <w:p w14:paraId="57B27901">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13811988">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3F096848">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524D376C">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【■有固定期限:【125天】</w:t>
      </w:r>
    </w:p>
    <w:p w14:paraId="15CEE8BA">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3552D117">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14:paraId="5C9AB579">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14:paraId="7DF3138C">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7944C4FA">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70D2A688">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2866127F">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479652BA">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0476B96C">
      <w:pPr>
        <w:ind w:firstLine="360" w:firstLineChars="20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 C1、■ C2、■ C3、■ C4、■ C5、■ C6】</w:t>
      </w:r>
    </w:p>
    <w:p w14:paraId="15FE41E8">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 C1、■ C2、■ C3、■ C4、■ C5】</w:t>
      </w:r>
    </w:p>
    <w:p w14:paraId="3CF6EB4B">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69557AE7">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4C877265">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6287F06F">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79E7A5A1">
      <w:pPr>
        <w:ind w:firstLine="360" w:firstLineChars="200"/>
        <w:rPr>
          <w:rFonts w:hint="eastAsia" w:ascii="宋体" w:hAnsi="宋体"/>
          <w:sz w:val="18"/>
          <w:szCs w:val="18"/>
        </w:rPr>
      </w:pPr>
      <w:r>
        <w:rPr>
          <w:rFonts w:hint="eastAsia" w:ascii="宋体" w:hAnsi="宋体"/>
          <w:sz w:val="18"/>
          <w:szCs w:val="18"/>
        </w:rPr>
        <w:t>【1.拟投资市场和资产的风险：</w:t>
      </w:r>
    </w:p>
    <w:p w14:paraId="48E529CC">
      <w:pPr>
        <w:ind w:firstLine="360" w:firstLineChars="200"/>
        <w:rPr>
          <w:rFonts w:hint="eastAsia" w:ascii="宋体" w:hAnsi="宋体"/>
          <w:sz w:val="18"/>
          <w:szCs w:val="18"/>
        </w:rPr>
      </w:pPr>
      <w:r>
        <w:rPr>
          <w:rFonts w:hint="eastAsia" w:ascii="宋体" w:hAnsi="宋体"/>
          <w:sz w:val="18"/>
          <w:szCs w:val="18"/>
        </w:rPr>
        <w:t>（1）投资债权类资产的风险</w:t>
      </w:r>
    </w:p>
    <w:p w14:paraId="5CD3B621">
      <w:pPr>
        <w:ind w:firstLine="360" w:firstLineChars="200"/>
        <w:rPr>
          <w:rFonts w:hint="eastAsia" w:ascii="宋体" w:hAnsi="宋体"/>
          <w:sz w:val="18"/>
          <w:szCs w:val="18"/>
        </w:rPr>
      </w:pPr>
      <w:r>
        <w:rPr>
          <w:rFonts w:hint="eastAsia" w:ascii="宋体" w:hAnsi="宋体"/>
          <w:sz w:val="18"/>
          <w:szCs w:val="18"/>
        </w:rPr>
        <w:t>1）投资标准化债权类资产的风险</w:t>
      </w:r>
    </w:p>
    <w:p w14:paraId="6244AFF8">
      <w:pPr>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2A4E650">
      <w:pPr>
        <w:ind w:firstLine="360" w:firstLineChars="200"/>
        <w:rPr>
          <w:rFonts w:hint="eastAsia" w:ascii="宋体" w:hAnsi="宋体"/>
          <w:sz w:val="18"/>
          <w:szCs w:val="18"/>
        </w:rPr>
      </w:pPr>
      <w:r>
        <w:rPr>
          <w:rFonts w:hint="eastAsia" w:ascii="宋体" w:hAnsi="宋体"/>
          <w:sz w:val="18"/>
          <w:szCs w:val="18"/>
        </w:rPr>
        <w:t>2）投资非标准化债权类资产的风险</w:t>
      </w:r>
    </w:p>
    <w:p w14:paraId="3718FC06">
      <w:pPr>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3B26C960">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78D785E8">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6F8B7D25">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14:paraId="738FDDEB">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31D11F15">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14:paraId="5C7E675F">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059C2C1C">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14:paraId="413ACD0F">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60AC8DC9">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14:paraId="285DB71A">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752B5F8">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14:paraId="3A0DAFC9">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14:paraId="3127A6A2">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14:paraId="0D4CE78F">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14:paraId="5E381B9A">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14:paraId="1DAB68B5">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670916FD">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14:paraId="77DDB6B5">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01CECC56">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14:paraId="6A69ABDC">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14:paraId="62D87138">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14:paraId="6FBC7CB5">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14:paraId="380A9BB5">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14:paraId="6DCE128C">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14:paraId="2B23E96C">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14:paraId="7356088F">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14:paraId="1A552233">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14:paraId="0F8A3332">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14:paraId="17B679C5">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14:paraId="137F09A3">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14:paraId="743ABE17">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14:paraId="2B01FAED">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70378C8C">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14:paraId="5C87350F">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14:paraId="1DB7A97D">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14:paraId="72C68EFB">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4801F48">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38A43AA8">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214FE3A0">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739E00AC">
      <w:pPr>
        <w:ind w:left="540"/>
        <w:jc w:val="right"/>
        <w:rPr>
          <w:rFonts w:ascii="宋体" w:hAnsi="宋体"/>
          <w:sz w:val="18"/>
          <w:szCs w:val="18"/>
        </w:rPr>
      </w:pPr>
    </w:p>
    <w:p w14:paraId="6E14D420">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14:paraId="51C6B8AE">
      <w:pPr>
        <w:wordWrap w:val="0"/>
        <w:ind w:left="540"/>
        <w:jc w:val="right"/>
        <w:rPr>
          <w:rFonts w:ascii="宋体" w:hAnsi="宋体"/>
          <w:sz w:val="18"/>
          <w:szCs w:val="18"/>
        </w:rPr>
      </w:pPr>
      <w:r>
        <w:rPr>
          <w:rFonts w:hint="eastAsia" w:ascii="宋体" w:hAnsi="宋体"/>
          <w:sz w:val="18"/>
          <w:szCs w:val="18"/>
        </w:rPr>
        <w:t>销售机构（【沧州银行股份有限公司】）</w:t>
      </w:r>
    </w:p>
    <w:p w14:paraId="48425E00">
      <w:pPr>
        <w:widowControl/>
        <w:jc w:val="left"/>
        <w:rPr>
          <w:rFonts w:ascii="宋体" w:hAnsi="宋体"/>
          <w:sz w:val="18"/>
          <w:szCs w:val="18"/>
        </w:rPr>
      </w:pPr>
      <w:r>
        <w:rPr>
          <w:rFonts w:ascii="宋体" w:hAnsi="宋体"/>
          <w:sz w:val="18"/>
          <w:szCs w:val="18"/>
        </w:rPr>
        <w:br w:type="page"/>
      </w:r>
    </w:p>
    <w:p w14:paraId="587C372F">
      <w:pPr>
        <w:ind w:left="540"/>
        <w:jc w:val="right"/>
        <w:rPr>
          <w:rFonts w:ascii="宋体" w:hAnsi="宋体"/>
          <w:sz w:val="18"/>
          <w:szCs w:val="18"/>
        </w:rPr>
      </w:pPr>
    </w:p>
    <w:p w14:paraId="168A94A6">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2D0B5F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62C36104">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62D2C892">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2F39B0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46083514">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78A1D3C0">
            <w:pPr>
              <w:spacing w:line="280" w:lineRule="atLeast"/>
              <w:jc w:val="left"/>
              <w:rPr>
                <w:rFonts w:ascii="宋体" w:hAnsi="宋体" w:cs="Arial"/>
                <w:sz w:val="18"/>
                <w:szCs w:val="18"/>
              </w:rPr>
            </w:pPr>
          </w:p>
          <w:p w14:paraId="36257264">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26BF0FF4">
            <w:pPr>
              <w:spacing w:line="280" w:lineRule="atLeast"/>
              <w:jc w:val="left"/>
              <w:rPr>
                <w:rFonts w:ascii="宋体" w:hAnsi="宋体" w:cs="Arial"/>
                <w:kern w:val="0"/>
                <w:sz w:val="18"/>
                <w:szCs w:val="18"/>
              </w:rPr>
            </w:pPr>
          </w:p>
          <w:p w14:paraId="52E3ECA9">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13FCE8EC">
            <w:pPr>
              <w:spacing w:line="280" w:lineRule="atLeast"/>
              <w:jc w:val="left"/>
              <w:rPr>
                <w:rFonts w:ascii="宋体" w:hAnsi="宋体" w:cs="Arial"/>
                <w:kern w:val="0"/>
                <w:sz w:val="18"/>
                <w:szCs w:val="18"/>
              </w:rPr>
            </w:pPr>
          </w:p>
          <w:p w14:paraId="7CA8B755">
            <w:pPr>
              <w:spacing w:line="280" w:lineRule="atLeast"/>
              <w:jc w:val="left"/>
              <w:rPr>
                <w:kern w:val="0"/>
                <w:sz w:val="18"/>
                <w:szCs w:val="18"/>
                <w:u w:val="single"/>
              </w:rPr>
            </w:pPr>
            <w:r>
              <w:rPr>
                <w:rFonts w:hint="eastAsia" w:ascii="宋体" w:hAnsi="宋体" w:cs="Arial"/>
                <w:kern w:val="0"/>
                <w:sz w:val="18"/>
                <w:szCs w:val="18"/>
              </w:rPr>
              <w:t>请投资者在此抄录：</w:t>
            </w:r>
          </w:p>
          <w:p w14:paraId="4E84ADB9">
            <w:pPr>
              <w:spacing w:line="280" w:lineRule="atLeast"/>
              <w:jc w:val="left"/>
              <w:rPr>
                <w:kern w:val="0"/>
                <w:sz w:val="18"/>
                <w:szCs w:val="18"/>
                <w:u w:val="single"/>
              </w:rPr>
            </w:pPr>
          </w:p>
          <w:p w14:paraId="0ABD57B5">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1532542B">
            <w:pPr>
              <w:spacing w:line="280" w:lineRule="atLeast"/>
              <w:ind w:left="4200" w:firstLine="1080" w:firstLineChars="600"/>
              <w:jc w:val="left"/>
              <w:rPr>
                <w:rFonts w:ascii="宋体" w:hAnsi="宋体" w:cs="Arial"/>
                <w:kern w:val="0"/>
                <w:sz w:val="18"/>
                <w:szCs w:val="18"/>
              </w:rPr>
            </w:pPr>
          </w:p>
          <w:p w14:paraId="7B483E90">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6FEA5B49">
            <w:pPr>
              <w:spacing w:line="280" w:lineRule="atLeast"/>
              <w:ind w:left="4200" w:firstLine="1080" w:firstLineChars="600"/>
              <w:jc w:val="left"/>
              <w:rPr>
                <w:rFonts w:ascii="宋体" w:hAnsi="宋体" w:cs="Arial"/>
                <w:kern w:val="0"/>
                <w:sz w:val="18"/>
                <w:szCs w:val="18"/>
              </w:rPr>
            </w:pPr>
          </w:p>
          <w:p w14:paraId="79F98F9D">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14:paraId="28C0D3E7">
            <w:pPr>
              <w:spacing w:line="280" w:lineRule="atLeast"/>
              <w:jc w:val="right"/>
              <w:rPr>
                <w:rFonts w:ascii="宋体" w:hAnsi="宋体"/>
                <w:kern w:val="0"/>
                <w:sz w:val="18"/>
                <w:szCs w:val="18"/>
              </w:rPr>
            </w:pPr>
          </w:p>
        </w:tc>
      </w:tr>
    </w:tbl>
    <w:p w14:paraId="3CC3E230">
      <w:pPr>
        <w:autoSpaceDE w:val="0"/>
        <w:autoSpaceDN w:val="0"/>
        <w:adjustRightInd w:val="0"/>
        <w:spacing w:line="360" w:lineRule="auto"/>
        <w:ind w:firstLine="420"/>
        <w:jc w:val="left"/>
        <w:rPr>
          <w:rFonts w:ascii="宋体" w:hAnsi="宋体"/>
          <w:sz w:val="24"/>
        </w:rPr>
      </w:pPr>
    </w:p>
    <w:p w14:paraId="2ADD262D">
      <w:pPr>
        <w:rPr>
          <w:rFonts w:ascii="宋体" w:hAnsi="宋体" w:cs="Arial"/>
          <w:sz w:val="24"/>
        </w:rPr>
      </w:pPr>
    </w:p>
    <w:p w14:paraId="4618DD6D">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2A07DA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36B8876A">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09D0F2AC">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70D557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6648AE8A">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6AD11476">
            <w:pPr>
              <w:spacing w:line="280" w:lineRule="atLeast"/>
              <w:ind w:firstLine="360" w:firstLineChars="200"/>
              <w:jc w:val="left"/>
              <w:rPr>
                <w:rFonts w:ascii="宋体" w:hAnsi="宋体" w:cs="Arial"/>
                <w:kern w:val="0"/>
                <w:sz w:val="18"/>
                <w:szCs w:val="18"/>
              </w:rPr>
            </w:pPr>
          </w:p>
          <w:p w14:paraId="7FDBF68D">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CE34BBC">
            <w:pPr>
              <w:spacing w:line="280" w:lineRule="atLeast"/>
              <w:ind w:firstLine="360" w:firstLineChars="200"/>
              <w:jc w:val="left"/>
              <w:rPr>
                <w:rFonts w:ascii="宋体" w:hAnsi="宋体" w:cs="Arial"/>
                <w:kern w:val="0"/>
                <w:sz w:val="18"/>
                <w:szCs w:val="18"/>
              </w:rPr>
            </w:pPr>
          </w:p>
          <w:p w14:paraId="442CE8DF">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6494848B">
            <w:pPr>
              <w:spacing w:line="280" w:lineRule="atLeast"/>
              <w:jc w:val="left"/>
              <w:rPr>
                <w:rFonts w:ascii="宋体" w:hAnsi="宋体" w:cs="Arial"/>
                <w:kern w:val="0"/>
                <w:sz w:val="18"/>
                <w:szCs w:val="18"/>
              </w:rPr>
            </w:pPr>
          </w:p>
          <w:p w14:paraId="7170834C">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78EF8728">
            <w:pPr>
              <w:spacing w:line="280" w:lineRule="atLeast"/>
              <w:jc w:val="left"/>
              <w:rPr>
                <w:rFonts w:ascii="宋体" w:hAnsi="宋体" w:cs="Arial"/>
                <w:kern w:val="0"/>
                <w:sz w:val="18"/>
                <w:szCs w:val="18"/>
              </w:rPr>
            </w:pPr>
          </w:p>
          <w:p w14:paraId="64897695">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4B6570C9">
            <w:pPr>
              <w:spacing w:line="280" w:lineRule="atLeast"/>
              <w:jc w:val="left"/>
              <w:rPr>
                <w:rFonts w:ascii="宋体" w:hAnsi="宋体" w:cs="Arial"/>
                <w:kern w:val="0"/>
                <w:sz w:val="18"/>
                <w:szCs w:val="18"/>
              </w:rPr>
            </w:pPr>
          </w:p>
          <w:p w14:paraId="49292BB3">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631490FA">
            <w:pPr>
              <w:spacing w:line="280" w:lineRule="atLeast"/>
              <w:ind w:left="4200" w:firstLine="1080" w:firstLineChars="600"/>
              <w:jc w:val="left"/>
              <w:rPr>
                <w:rFonts w:ascii="宋体" w:hAnsi="宋体" w:cs="Arial"/>
                <w:kern w:val="0"/>
                <w:sz w:val="18"/>
                <w:szCs w:val="18"/>
              </w:rPr>
            </w:pPr>
          </w:p>
          <w:p w14:paraId="5B6C4962">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0D3D58D7">
            <w:pPr>
              <w:spacing w:line="280" w:lineRule="atLeast"/>
              <w:rPr>
                <w:kern w:val="0"/>
                <w:sz w:val="20"/>
                <w:szCs w:val="20"/>
              </w:rPr>
            </w:pPr>
          </w:p>
          <w:p w14:paraId="372D1E39">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14:paraId="39948854">
      <w:pPr>
        <w:widowControl/>
        <w:jc w:val="left"/>
        <w:rPr>
          <w:rFonts w:hint="eastAsia" w:ascii="宋体" w:hAnsi="宋体"/>
          <w:b/>
          <w:sz w:val="28"/>
          <w:szCs w:val="28"/>
        </w:rPr>
      </w:pPr>
    </w:p>
    <w:p w14:paraId="1FA46FB5">
      <w:pPr>
        <w:autoSpaceDE w:val="0"/>
        <w:autoSpaceDN w:val="0"/>
        <w:adjustRightInd w:val="0"/>
        <w:spacing w:line="360" w:lineRule="auto"/>
        <w:ind w:firstLine="420"/>
        <w:jc w:val="left"/>
        <w:rPr>
          <w:rFonts w:ascii="宋体" w:hAnsi="宋体"/>
          <w:sz w:val="24"/>
        </w:rPr>
      </w:pPr>
    </w:p>
    <w:p w14:paraId="2C9E8B82">
      <w:pPr>
        <w:rPr>
          <w:rFonts w:ascii="宋体" w:hAnsi="宋体" w:cs="Arial"/>
          <w:sz w:val="24"/>
        </w:rPr>
      </w:pPr>
    </w:p>
    <w:p w14:paraId="166DD76C">
      <w:pPr>
        <w:widowControl/>
        <w:jc w:val="left"/>
        <w:rPr>
          <w:rFonts w:ascii="宋体" w:hAnsi="宋体"/>
          <w:b/>
          <w:sz w:val="28"/>
          <w:szCs w:val="28"/>
        </w:rPr>
      </w:pPr>
    </w:p>
    <w:p w14:paraId="7039DFDB">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20F8C5F8">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14:paraId="7D4C29C5">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2013014F">
      <w:pPr>
        <w:pStyle w:val="14"/>
        <w:jc w:val="center"/>
        <w:rPr>
          <w:rFonts w:hAnsi="宋体"/>
          <w:b/>
          <w:color w:val="auto"/>
          <w:sz w:val="28"/>
          <w:szCs w:val="28"/>
        </w:rPr>
      </w:pPr>
      <w:r>
        <w:rPr>
          <w:rFonts w:hint="eastAsia" w:hAnsi="宋体"/>
          <w:b/>
          <w:color w:val="auto"/>
          <w:sz w:val="28"/>
          <w:szCs w:val="28"/>
        </w:rPr>
        <w:t>（适用于个人投资者）</w:t>
      </w:r>
    </w:p>
    <w:p w14:paraId="56AB67B9">
      <w:pPr>
        <w:rPr>
          <w:rFonts w:ascii="宋体" w:hAnsi="宋体"/>
          <w:b/>
          <w:sz w:val="18"/>
          <w:szCs w:val="18"/>
        </w:rPr>
      </w:pPr>
      <w:r>
        <w:rPr>
          <w:rFonts w:hint="eastAsia" w:ascii="宋体" w:hAnsi="宋体"/>
          <w:b/>
          <w:sz w:val="18"/>
          <w:szCs w:val="18"/>
        </w:rPr>
        <w:t>尊敬的投资者：</w:t>
      </w:r>
    </w:p>
    <w:p w14:paraId="65464D93">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 代销：代理销售机构销售)的形式购买兴银理财有限责任公司（以下简称“兴银理财”）作为产品管理人管理的理财产品。</w:t>
      </w:r>
    </w:p>
    <w:p w14:paraId="2A63B2C5">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71EB36AC">
      <w:pPr>
        <w:ind w:firstLine="360" w:firstLineChars="200"/>
        <w:rPr>
          <w:rFonts w:ascii="宋体" w:hAnsi="宋体"/>
          <w:sz w:val="18"/>
          <w:szCs w:val="18"/>
        </w:rPr>
      </w:pPr>
    </w:p>
    <w:p w14:paraId="01D17DC1">
      <w:pPr>
        <w:ind w:firstLine="361" w:firstLineChars="200"/>
        <w:rPr>
          <w:rFonts w:ascii="宋体" w:hAnsi="宋体"/>
          <w:b/>
          <w:sz w:val="18"/>
          <w:szCs w:val="18"/>
        </w:rPr>
      </w:pPr>
      <w:r>
        <w:rPr>
          <w:rFonts w:hint="eastAsia" w:ascii="宋体" w:hAnsi="宋体"/>
          <w:b/>
          <w:sz w:val="18"/>
          <w:szCs w:val="18"/>
        </w:rPr>
        <w:t>一、理财产品购买流程</w:t>
      </w:r>
    </w:p>
    <w:p w14:paraId="0598FB78">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58D7ABDC">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333747C2">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78238BB">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1B2BB56D">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0CB5B114">
      <w:pPr>
        <w:ind w:firstLine="361" w:firstLineChars="200"/>
        <w:rPr>
          <w:rFonts w:ascii="宋体" w:hAnsi="宋体"/>
          <w:b/>
          <w:sz w:val="18"/>
          <w:szCs w:val="18"/>
        </w:rPr>
      </w:pPr>
      <w:r>
        <w:rPr>
          <w:rFonts w:hint="eastAsia" w:ascii="宋体" w:hAnsi="宋体"/>
          <w:b/>
          <w:sz w:val="18"/>
          <w:szCs w:val="18"/>
        </w:rPr>
        <w:t>（一）投资者风险承受能力评估说明</w:t>
      </w:r>
    </w:p>
    <w:p w14:paraId="09C881C4">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54FEEB94">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7D81C27C">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00EF361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5AAB2CB9">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367D64FF">
            <w:pPr>
              <w:jc w:val="center"/>
              <w:rPr>
                <w:rFonts w:ascii="宋体" w:hAnsi="宋体"/>
                <w:sz w:val="18"/>
                <w:szCs w:val="18"/>
              </w:rPr>
            </w:pPr>
            <w:r>
              <w:rPr>
                <w:rFonts w:hint="eastAsia" w:ascii="宋体" w:hAnsi="宋体"/>
                <w:sz w:val="18"/>
                <w:szCs w:val="18"/>
              </w:rPr>
              <w:t>对应的投资者风险承受能力评级</w:t>
            </w:r>
          </w:p>
        </w:tc>
      </w:tr>
      <w:tr w14:paraId="61ACCB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1695562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4C19623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183AEFD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6E2196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6CEECD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4A021EF4">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54844CC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2305C1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152F36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75DB3D1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16D8393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3E9622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149FB926">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3E7F64BD">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632022B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7DC755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B93E45C">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004A40A6">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63B84B61">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55B825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2052ADD5">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6079FF4E">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2D5018A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3C62FCA4">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3A93543E">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34ADF73E">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2F16F0AF">
      <w:pPr>
        <w:ind w:firstLine="361" w:firstLineChars="200"/>
        <w:rPr>
          <w:rFonts w:ascii="宋体" w:hAnsi="宋体"/>
          <w:b/>
          <w:sz w:val="18"/>
          <w:szCs w:val="18"/>
        </w:rPr>
      </w:pPr>
      <w:r>
        <w:rPr>
          <w:rFonts w:hint="eastAsia" w:ascii="宋体" w:hAnsi="宋体"/>
          <w:b/>
          <w:sz w:val="18"/>
          <w:szCs w:val="18"/>
        </w:rPr>
        <w:t>三、关于理财产品的信息披露</w:t>
      </w:r>
    </w:p>
    <w:p w14:paraId="20FBC9B5">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5B81CCB">
      <w:pPr>
        <w:ind w:firstLine="361" w:firstLineChars="200"/>
        <w:rPr>
          <w:rFonts w:asciiTheme="minorEastAsia" w:hAnsiTheme="minorEastAsia"/>
          <w:b/>
          <w:sz w:val="18"/>
          <w:szCs w:val="18"/>
        </w:rPr>
      </w:pPr>
      <w:r>
        <w:rPr>
          <w:rFonts w:hint="eastAsia" w:ascii="宋体" w:hAnsi="宋体"/>
          <w:b/>
          <w:sz w:val="18"/>
          <w:szCs w:val="18"/>
        </w:rPr>
        <w:t>四、关于投诉与建议</w:t>
      </w:r>
    </w:p>
    <w:p w14:paraId="31C1DB70">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125C1015">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43CDEFA4">
      <w:pPr>
        <w:ind w:firstLine="360" w:firstLineChars="200"/>
        <w:rPr>
          <w:rFonts w:ascii="宋体" w:hAnsi="宋体"/>
          <w:sz w:val="18"/>
          <w:szCs w:val="18"/>
        </w:rPr>
      </w:pPr>
      <w:r>
        <w:rPr>
          <w:rFonts w:hint="eastAsia" w:ascii="宋体" w:hAnsi="宋体"/>
          <w:sz w:val="18"/>
          <w:szCs w:val="18"/>
        </w:rPr>
        <w:t>1.产品管理人：兴银理财有限责任公司</w:t>
      </w:r>
    </w:p>
    <w:p w14:paraId="11E99FD6">
      <w:pPr>
        <w:ind w:firstLine="360" w:firstLineChars="200"/>
        <w:rPr>
          <w:rFonts w:ascii="宋体" w:hAnsi="宋体"/>
          <w:sz w:val="18"/>
          <w:szCs w:val="18"/>
        </w:rPr>
      </w:pPr>
      <w:r>
        <w:rPr>
          <w:rFonts w:hint="eastAsia" w:ascii="宋体" w:hAnsi="宋体"/>
          <w:sz w:val="18"/>
          <w:szCs w:val="18"/>
        </w:rPr>
        <w:t>客户服务热线：40015-95561。</w:t>
      </w:r>
    </w:p>
    <w:p w14:paraId="61DDB167">
      <w:pPr>
        <w:ind w:firstLine="360" w:firstLineChars="200"/>
        <w:rPr>
          <w:rFonts w:hint="eastAsia" w:ascii="宋体" w:hAnsi="宋体"/>
          <w:sz w:val="18"/>
          <w:szCs w:val="18"/>
          <w:lang w:val="en-US" w:eastAsia="zh-CN"/>
        </w:rPr>
      </w:pPr>
      <w:r>
        <w:rPr>
          <w:rFonts w:hint="eastAsia" w:ascii="宋体" w:hAnsi="宋体"/>
          <w:sz w:val="18"/>
          <w:szCs w:val="18"/>
          <w:lang w:val="en-US" w:eastAsia="zh-CN"/>
        </w:rPr>
        <w:t>2.销售机构：【沧州银行股份有限公司】</w:t>
      </w:r>
    </w:p>
    <w:p w14:paraId="0D54CA49">
      <w:pPr>
        <w:ind w:firstLine="360" w:firstLineChars="200"/>
        <w:rPr>
          <w:rFonts w:ascii="宋体" w:hAnsi="宋体"/>
          <w:sz w:val="18"/>
          <w:szCs w:val="18"/>
        </w:rPr>
      </w:pPr>
      <w:r>
        <w:rPr>
          <w:rFonts w:hint="eastAsia" w:ascii="宋体" w:hAnsi="宋体"/>
          <w:sz w:val="18"/>
          <w:szCs w:val="18"/>
          <w:lang w:val="en-US" w:eastAsia="zh-CN"/>
        </w:rPr>
        <w:t>通过【沧州银行】（作为销售服务机构）购买本产品的，请联系【沧州银行】，【沧州银行】客户服务热线：【96328】；【沧州银行】门户网站：【www.bankcz.com】</w:t>
      </w:r>
    </w:p>
    <w:p w14:paraId="660B756B">
      <w:pPr>
        <w:ind w:firstLine="360" w:firstLineChars="200"/>
        <w:rPr>
          <w:rFonts w:ascii="宋体" w:hAnsi="宋体"/>
          <w:sz w:val="18"/>
          <w:szCs w:val="18"/>
        </w:rPr>
      </w:pPr>
    </w:p>
    <w:p w14:paraId="6B10BF56">
      <w:pPr>
        <w:ind w:right="84" w:rightChars="40"/>
        <w:jc w:val="right"/>
        <w:rPr>
          <w:rFonts w:ascii="宋体" w:hAnsi="宋体"/>
          <w:sz w:val="18"/>
          <w:szCs w:val="18"/>
        </w:rPr>
      </w:pPr>
      <w:bookmarkStart w:id="222" w:name="_GoBack"/>
      <w:bookmarkEnd w:id="222"/>
    </w:p>
    <w:p w14:paraId="1C1A80AE">
      <w:pPr>
        <w:widowControl/>
        <w:jc w:val="left"/>
        <w:rPr>
          <w:rFonts w:ascii="宋体" w:hAnsi="宋体"/>
          <w:b/>
          <w:sz w:val="28"/>
          <w:szCs w:val="28"/>
        </w:rPr>
      </w:pPr>
      <w:r>
        <w:rPr>
          <w:rFonts w:ascii="宋体" w:hAnsi="宋体"/>
          <w:b/>
          <w:sz w:val="28"/>
          <w:szCs w:val="28"/>
        </w:rPr>
        <w:br w:type="page"/>
      </w:r>
    </w:p>
    <w:p w14:paraId="7F7B6770">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14:paraId="5C9427E5">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69E82D68">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4C7CE29D">
      <w:pPr>
        <w:spacing w:line="280" w:lineRule="atLeast"/>
        <w:rPr>
          <w:rFonts w:ascii="宋体" w:hAnsi="宋体"/>
          <w:b/>
          <w:sz w:val="18"/>
          <w:szCs w:val="18"/>
        </w:rPr>
      </w:pPr>
      <w:r>
        <w:rPr>
          <w:rFonts w:hint="eastAsia" w:ascii="宋体" w:hAnsi="宋体"/>
          <w:b/>
          <w:sz w:val="18"/>
          <w:szCs w:val="18"/>
        </w:rPr>
        <w:t>尊敬的投资者：</w:t>
      </w:r>
    </w:p>
    <w:p w14:paraId="371A173C">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478F127A">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2AFCEA93">
      <w:pPr>
        <w:spacing w:line="280" w:lineRule="atLeast"/>
        <w:ind w:firstLine="360" w:firstLineChars="200"/>
        <w:rPr>
          <w:rFonts w:ascii="宋体" w:hAnsi="宋体"/>
          <w:sz w:val="18"/>
          <w:szCs w:val="18"/>
        </w:rPr>
      </w:pPr>
    </w:p>
    <w:p w14:paraId="1F8C88F1">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0C798416">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5A96C01">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5DFD96CF">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7476E353">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2B9B5B15">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0BC21F0F">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08E4D404">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68FF562F">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1CDA87B6">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4863EE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430C4680">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3FE44ECE">
            <w:pPr>
              <w:jc w:val="center"/>
              <w:rPr>
                <w:rFonts w:ascii="宋体" w:hAnsi="宋体"/>
                <w:sz w:val="18"/>
                <w:szCs w:val="18"/>
              </w:rPr>
            </w:pPr>
            <w:r>
              <w:rPr>
                <w:rFonts w:hint="eastAsia" w:ascii="宋体" w:hAnsi="宋体"/>
                <w:sz w:val="18"/>
                <w:szCs w:val="18"/>
              </w:rPr>
              <w:t>对应的投资者风险承受能力评级</w:t>
            </w:r>
          </w:p>
        </w:tc>
      </w:tr>
      <w:tr w14:paraId="496D54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5A9767E9">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5D12D0FC">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39C6531B">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2BECB4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21B78CF1">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4D8D1C4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44AE0D44">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0BB1E9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632C0A38">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609BBC6C">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6FAFF80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15896F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21EDE051">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3DC1D7CC">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423482ED">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3619F9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6CFDE643">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28927E1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0CE20920">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bl>
    <w:p w14:paraId="1F4FD96D">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271FE7D0">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7F772859">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576E8897">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540DF032">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348DB885">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28A5B5E">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25F41408">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717B32B3">
      <w:pPr>
        <w:spacing w:line="280" w:lineRule="atLeast"/>
        <w:ind w:firstLine="360" w:firstLineChars="200"/>
        <w:rPr>
          <w:rFonts w:ascii="宋体" w:hAnsi="宋体"/>
          <w:sz w:val="18"/>
          <w:szCs w:val="18"/>
        </w:rPr>
      </w:pPr>
      <w:r>
        <w:rPr>
          <w:rFonts w:hint="eastAsia" w:ascii="宋体" w:hAnsi="宋体"/>
          <w:sz w:val="18"/>
          <w:szCs w:val="18"/>
        </w:rPr>
        <w:t>（二）联络方式：</w:t>
      </w:r>
    </w:p>
    <w:p w14:paraId="67D7D327">
      <w:pPr>
        <w:ind w:firstLine="360" w:firstLineChars="200"/>
        <w:rPr>
          <w:rFonts w:ascii="宋体" w:hAnsi="宋体"/>
          <w:sz w:val="18"/>
          <w:szCs w:val="18"/>
        </w:rPr>
      </w:pPr>
      <w:r>
        <w:rPr>
          <w:rFonts w:hint="eastAsia" w:ascii="宋体" w:hAnsi="宋体"/>
          <w:sz w:val="18"/>
          <w:szCs w:val="18"/>
        </w:rPr>
        <w:t>1.产品管理人：兴银理财有限责任公司</w:t>
      </w:r>
    </w:p>
    <w:p w14:paraId="7B5A5890">
      <w:pPr>
        <w:ind w:firstLine="360" w:firstLineChars="200"/>
        <w:rPr>
          <w:rFonts w:ascii="宋体" w:hAnsi="宋体"/>
          <w:sz w:val="18"/>
          <w:szCs w:val="18"/>
        </w:rPr>
      </w:pPr>
      <w:r>
        <w:rPr>
          <w:rFonts w:hint="eastAsia" w:ascii="宋体" w:hAnsi="宋体"/>
          <w:sz w:val="18"/>
          <w:szCs w:val="18"/>
        </w:rPr>
        <w:t>客户服务热线：40015-95561。</w:t>
      </w:r>
    </w:p>
    <w:p w14:paraId="4E1F5E19">
      <w:pPr>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w:t>
      </w:r>
    </w:p>
    <w:p w14:paraId="02725865">
      <w:pPr>
        <w:ind w:firstLine="360" w:firstLineChars="200"/>
        <w:rPr>
          <w:rFonts w:ascii="宋体" w:hAnsi="宋体"/>
          <w:sz w:val="18"/>
          <w:szCs w:val="18"/>
        </w:rPr>
      </w:pPr>
      <w:r>
        <w:rPr>
          <w:rFonts w:hint="eastAsia" w:ascii="宋体" w:hAnsi="宋体"/>
          <w:sz w:val="18"/>
          <w:szCs w:val="18"/>
        </w:rPr>
        <w:t>【】</w:t>
      </w:r>
    </w:p>
    <w:p w14:paraId="72B09FB4">
      <w:pPr>
        <w:autoSpaceDE w:val="0"/>
        <w:autoSpaceDN w:val="0"/>
        <w:adjustRightInd w:val="0"/>
        <w:spacing w:line="280" w:lineRule="atLeast"/>
        <w:jc w:val="left"/>
        <w:rPr>
          <w:rFonts w:ascii="仿宋_GB2312" w:eastAsia="仿宋_GB2312" w:cs="仿宋_GB2312"/>
          <w:color w:val="000000"/>
          <w:kern w:val="0"/>
          <w:sz w:val="24"/>
          <w:szCs w:val="24"/>
        </w:rPr>
      </w:pPr>
    </w:p>
    <w:p w14:paraId="6D809FD7">
      <w:pPr>
        <w:widowControl/>
        <w:spacing w:line="280" w:lineRule="atLeast"/>
        <w:jc w:val="left"/>
        <w:rPr>
          <w:rFonts w:ascii="宋体" w:hAnsi="宋体"/>
          <w:b/>
          <w:sz w:val="28"/>
          <w:szCs w:val="28"/>
        </w:rPr>
      </w:pPr>
    </w:p>
    <w:p w14:paraId="008E2EC6">
      <w:pPr>
        <w:ind w:firstLine="360" w:firstLineChars="200"/>
        <w:rPr>
          <w:rFonts w:ascii="宋体" w:hAnsi="宋体"/>
          <w:sz w:val="18"/>
          <w:szCs w:val="18"/>
        </w:rPr>
      </w:pPr>
    </w:p>
    <w:p w14:paraId="07F34A05">
      <w:pPr>
        <w:autoSpaceDE w:val="0"/>
        <w:autoSpaceDN w:val="0"/>
        <w:adjustRightInd w:val="0"/>
        <w:spacing w:line="280" w:lineRule="atLeast"/>
        <w:jc w:val="left"/>
        <w:rPr>
          <w:rFonts w:ascii="仿宋_GB2312" w:eastAsia="仿宋_GB2312" w:cs="仿宋_GB2312"/>
          <w:color w:val="000000"/>
          <w:kern w:val="0"/>
          <w:sz w:val="24"/>
          <w:szCs w:val="24"/>
        </w:rPr>
      </w:pPr>
    </w:p>
    <w:p w14:paraId="5EECA343">
      <w:pPr>
        <w:widowControl/>
        <w:spacing w:line="280" w:lineRule="atLeast"/>
        <w:jc w:val="left"/>
      </w:pPr>
    </w:p>
    <w:p w14:paraId="05A936B9"/>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4A14EC1A">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E075E">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11EFC9B8">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6291899A">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C4072">
    <w:pPr>
      <w:pStyle w:val="4"/>
      <w:jc w:val="right"/>
      <w:rPr>
        <w:b/>
      </w:rPr>
    </w:pPr>
    <w:r>
      <w:rPr>
        <w:rFonts w:hint="eastAsia"/>
        <w:b/>
      </w:rPr>
      <w:t>投资协议书</w:t>
    </w:r>
  </w:p>
  <w:p w14:paraId="6D1CA6CF">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76347B">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13338B31">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FFA8B">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3C977806">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9FCFB3">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4123CDEB">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7827D">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46457F3F">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82053A"/>
    <w:rsid w:val="22042432"/>
    <w:rsid w:val="2BBE5BA7"/>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17621</Words>
  <Characters>18158</Characters>
  <Lines>0</Lines>
  <Paragraphs>0</Paragraphs>
  <TotalTime>0</TotalTime>
  <ScaleCrop>false</ScaleCrop>
  <LinksUpToDate>false</LinksUpToDate>
  <CharactersWithSpaces>18444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2026-03-17T02:41:31Z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6315AD8CF1E749589FB9137428AE6430_12</vt:lpwstr>
  </property>
</Properties>
</file>