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2026HY073D  </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176 </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highlight w:val="none"/>
          <w:lang w:val="en-US" w:eastAsia="zh-CN"/>
        </w:rPr>
      </w:pPr>
      <w:r>
        <w:rPr>
          <w:rFonts w:hint="eastAsia" w:ascii="仿宋" w:hAnsi="仿宋" w:eastAsia="仿宋"/>
          <w:b/>
          <w:kern w:val="0"/>
          <w:sz w:val="32"/>
          <w:szCs w:val="32"/>
          <w:highlight w:val="none"/>
          <w:lang w:val="en-US" w:eastAsia="zh-CN"/>
        </w:rPr>
        <w:t>2026年涵屿财富73期封闭式净值型理财产品说明书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85"/>
        <w:gridCol w:w="1358"/>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2026涵屿财富73期-D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2026HY073D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C1080326000272</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7"/>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，天津银行有权根据实际情况进行调整，本产品最终发行规模以实际发行金额为准。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6"/>
            <w:vAlign w:val="center"/>
          </w:tcPr>
          <w:p>
            <w:pPr>
              <w:jc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2026年3月18日起至2026年3月24日止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7"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232" w:type="dxa"/>
            <w:gridSpan w:val="4"/>
            <w:vAlign w:val="center"/>
          </w:tcPr>
          <w:p>
            <w:pPr>
              <w:jc w:val="left"/>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bCs/>
                <w:sz w:val="21"/>
                <w:szCs w:val="21"/>
                <w:highlight w:val="none"/>
                <w:lang w:val="en-US" w:eastAsia="zh-CN"/>
              </w:rPr>
              <w:t>2026年3月25日</w:t>
            </w:r>
          </w:p>
        </w:tc>
        <w:tc>
          <w:tcPr>
            <w:tcW w:w="1358" w:type="dxa"/>
            <w:vAlign w:val="center"/>
          </w:tcPr>
          <w:p>
            <w:pP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268" w:type="dxa"/>
            <w:vAlign w:val="center"/>
          </w:tcPr>
          <w:p>
            <w:pPr>
              <w:ind w:firstLine="420" w:firstLineChars="0"/>
              <w:jc w:val="both"/>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2026年9月17日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6"/>
            <w:vAlign w:val="center"/>
          </w:tcPr>
          <w:p>
            <w:pP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176</w:t>
            </w:r>
            <w:r>
              <w:rPr>
                <w:rFonts w:hint="eastAsia" w:ascii="仿宋_GB2312" w:hAnsi="仿宋_GB2312" w:eastAsia="仿宋_GB2312" w:cs="仿宋_GB2312"/>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6"/>
            <w:vAlign w:val="center"/>
          </w:tcPr>
          <w:p>
            <w:pPr>
              <w:rPr>
                <w:rFonts w:hint="eastAsia" w:ascii="仿宋_GB2312" w:hAnsi="仿宋_GB2312" w:eastAsia="仿宋_GB2312" w:cs="仿宋_GB2312"/>
                <w:sz w:val="21"/>
                <w:szCs w:val="21"/>
                <w:highlight w:val="none"/>
              </w:rPr>
            </w:pPr>
            <w:r>
              <w:rPr>
                <w:rFonts w:hint="eastAsia" w:ascii="仿宋_GB2312" w:hAnsi="仿宋_GB2312" w:eastAsia="仿宋_GB2312" w:cs="仿宋_GB2312"/>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6"/>
            <w:vAlign w:val="center"/>
          </w:tcPr>
          <w:p>
            <w:pPr>
              <w:spacing w:line="240" w:lineRule="exact"/>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Cs w:val="21"/>
                <w:highlight w:val="none"/>
              </w:rPr>
              <w:t>产品到期日或提前终止日至理财资金返还到账日之间，最迟不超</w:t>
            </w:r>
            <w:r>
              <w:rPr>
                <w:rFonts w:hint="eastAsia" w:ascii="仿宋_GB2312" w:hAnsi="仿宋_GB2312" w:eastAsia="仿宋_GB2312" w:cs="仿宋_GB2312"/>
                <w:bCs/>
                <w:szCs w:val="21"/>
                <w:highlight w:val="none"/>
                <w:lang w:val="en-US" w:eastAsia="zh-CN"/>
              </w:rPr>
              <w:t>过两</w:t>
            </w:r>
            <w:r>
              <w:rPr>
                <w:rFonts w:hint="eastAsia" w:ascii="仿宋_GB2312" w:hAnsi="仿宋_GB2312" w:eastAsia="仿宋_GB2312" w:cs="仿宋_GB2312"/>
                <w:bCs/>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7"/>
            <w:vAlign w:val="center"/>
          </w:tcPr>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7"/>
            <w:vAlign w:val="center"/>
          </w:tcPr>
          <w:p>
            <w:pPr>
              <w:pStyle w:val="23"/>
              <w:keepNext w:val="0"/>
              <w:keepLines w:val="0"/>
              <w:pageBreakBefore w:val="0"/>
              <w:numPr>
                <w:ilvl w:val="0"/>
                <w:numId w:val="2"/>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2.投资比例：固定收益类资产、货币市场工具以及以前述资产为投资标的的金融产品占比80%-100%，权益类及其他资产占比0%-20%。本产品杠杆水平上限为200%。</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3.投资团队为： </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2.10%</w:t>
            </w:r>
            <w:r>
              <w:rPr>
                <w:rFonts w:hint="eastAsia" w:ascii="仿宋_GB2312" w:hAnsi="仿宋_GB2312" w:eastAsia="仿宋_GB2312" w:cs="仿宋_GB2312"/>
                <w:b/>
                <w:bCs w:val="0"/>
                <w:color w:val="000000"/>
                <w:sz w:val="21"/>
                <w:szCs w:val="21"/>
                <w:highlight w:val="none"/>
              </w:rPr>
              <w:t>(年化)</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7"/>
            <w:vAlign w:val="center"/>
          </w:tcPr>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%，投资管理费率：</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 xml:space="preserve">%，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 </w:t>
            </w:r>
          </w:p>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lang w:eastAsia="zh-CN"/>
              </w:rPr>
              <w:t>超额业绩报酬：理财产品收益扣除期间费用后，若收益未达到业绩基准，产品管理人不收取超额业绩管理费；若收益达到业绩基准，产品管理人按照本理财产品说明书约定的业绩基准支付投资人收益后，将超额部分作为产品管理人超额业绩管理费收取。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r>
              <w:rPr>
                <w:rFonts w:hint="eastAsia" w:ascii="仿宋_GB2312" w:hAnsi="仿宋_GB2312" w:eastAsia="仿宋_GB2312" w:cs="仿宋_GB2312"/>
                <w:bCs/>
                <w:sz w:val="21"/>
                <w:szCs w:val="21"/>
                <w:highlight w:val="none"/>
              </w:rPr>
              <w:t>。</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7"/>
            <w:vAlign w:val="center"/>
          </w:tcPr>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情景一：扣除销售手续费、投资管理费、托管费、产品运营管理费后，年化收益率为业绩比较基准</w:t>
            </w:r>
            <w:r>
              <w:rPr>
                <w:rFonts w:hint="eastAsia" w:ascii="仿宋_GB2312" w:hAnsi="仿宋_GB2312" w:eastAsia="仿宋_GB2312" w:cs="仿宋_GB2312"/>
                <w:b/>
                <w:bCs/>
                <w:sz w:val="21"/>
                <w:szCs w:val="21"/>
                <w:highlight w:val="none"/>
              </w:rPr>
              <w:t>。</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1.010126</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1.010126</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/176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2.10%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1.010126</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101.26</w:t>
            </w:r>
            <w:r>
              <w:rPr>
                <w:rFonts w:hint="eastAsia" w:ascii="仿宋_GB2312" w:hAnsi="仿宋_GB2312" w:eastAsia="仿宋_GB2312" w:cs="仿宋_GB2312"/>
                <w:bCs/>
                <w:sz w:val="21"/>
                <w:szCs w:val="21"/>
                <w:highlight w:val="none"/>
              </w:rPr>
              <w:t>（元）</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情景二</w:t>
            </w:r>
            <w:r>
              <w:rPr>
                <w:rFonts w:hint="eastAsia" w:ascii="仿宋_GB2312" w:hAnsi="仿宋_GB2312" w:eastAsia="仿宋_GB2312" w:cs="仿宋_GB2312"/>
                <w:b/>
                <w:bCs/>
                <w:sz w:val="21"/>
                <w:szCs w:val="21"/>
                <w:highlight w:val="none"/>
              </w:rPr>
              <w:t>：最不利情况，扣除销售手续费、投资管理费、托管费、产品运营管理费后，收益率为负。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wordWrap/>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wordWrap/>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w:t>
            </w:r>
            <w:r>
              <w:rPr>
                <w:rFonts w:hint="eastAsia" w:ascii="仿宋_GB2312" w:hAnsi="仿宋_GB2312" w:eastAsia="仿宋_GB2312" w:cs="仿宋_GB2312"/>
                <w:b/>
                <w:bCs/>
                <w:kern w:val="0"/>
                <w:sz w:val="21"/>
                <w:szCs w:val="21"/>
                <w:highlight w:val="none"/>
                <w:lang w:val="en-US" w:eastAsia="zh-CN"/>
              </w:rPr>
              <w:t>机构</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eastAsia="zh-CN"/>
              </w:rPr>
              <w:t>上海银行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上海市浦东新区银城中路168号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资产托管人主要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sz w:val="21"/>
                <w:szCs w:val="21"/>
                <w:highlight w:val="none"/>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（1）理财产品所投资资产对投资者权益或投资收益等产生重大影响的突发事件；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（2）金融市场发生重大变化导致理财产品投资比例暂时超出浮动区间且可能对理财产品收益产生重大影响的。</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6．临时性信息披露，包括但不限于如下事件：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（1）如本产品需延期清算，将最迟于到期日后5个工作日内在官方网站或营业网点等渠道发布相关信息公告。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8．客户不得利用金融产品和服务从事违法活动。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sz w:val="21"/>
                <w:szCs w:val="21"/>
                <w:highlight w:val="none"/>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特别提示</w:t>
            </w:r>
          </w:p>
        </w:tc>
        <w:tc>
          <w:tcPr>
            <w:tcW w:w="8457" w:type="dxa"/>
            <w:gridSpan w:val="7"/>
            <w:vAlign w:val="center"/>
          </w:tcPr>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wordWrap/>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w:t>
    </w:r>
    <w:r>
      <w:t>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1220E84"/>
    <w:rsid w:val="01CE5F3B"/>
    <w:rsid w:val="0239305F"/>
    <w:rsid w:val="03DF4439"/>
    <w:rsid w:val="03F87BE7"/>
    <w:rsid w:val="05CD556E"/>
    <w:rsid w:val="06286368"/>
    <w:rsid w:val="09171878"/>
    <w:rsid w:val="0A373B6D"/>
    <w:rsid w:val="0A741C60"/>
    <w:rsid w:val="0C9C1A42"/>
    <w:rsid w:val="0E063FDD"/>
    <w:rsid w:val="107C6D6C"/>
    <w:rsid w:val="12DD021B"/>
    <w:rsid w:val="147614D3"/>
    <w:rsid w:val="151B2C9C"/>
    <w:rsid w:val="17090146"/>
    <w:rsid w:val="17197D96"/>
    <w:rsid w:val="1ADB1A1A"/>
    <w:rsid w:val="1C4A3993"/>
    <w:rsid w:val="1CCD1E84"/>
    <w:rsid w:val="1D33051A"/>
    <w:rsid w:val="1F1F18FF"/>
    <w:rsid w:val="22C01E95"/>
    <w:rsid w:val="25DF7AE3"/>
    <w:rsid w:val="25E83E90"/>
    <w:rsid w:val="266E1C2D"/>
    <w:rsid w:val="276A51EC"/>
    <w:rsid w:val="2B4D4829"/>
    <w:rsid w:val="2C493E89"/>
    <w:rsid w:val="2CA4302C"/>
    <w:rsid w:val="2F971585"/>
    <w:rsid w:val="2FB26991"/>
    <w:rsid w:val="2FE55345"/>
    <w:rsid w:val="32CC52D6"/>
    <w:rsid w:val="33060D42"/>
    <w:rsid w:val="335B7966"/>
    <w:rsid w:val="3645473A"/>
    <w:rsid w:val="38C80F97"/>
    <w:rsid w:val="3A126575"/>
    <w:rsid w:val="3B2A2297"/>
    <w:rsid w:val="3DD25FAD"/>
    <w:rsid w:val="3E3A53EA"/>
    <w:rsid w:val="3E961DBD"/>
    <w:rsid w:val="3EE12706"/>
    <w:rsid w:val="3F6A4899"/>
    <w:rsid w:val="450223F6"/>
    <w:rsid w:val="478156FC"/>
    <w:rsid w:val="497B441A"/>
    <w:rsid w:val="4A6E00CF"/>
    <w:rsid w:val="4E2F15F1"/>
    <w:rsid w:val="4E545988"/>
    <w:rsid w:val="4EF22B42"/>
    <w:rsid w:val="50161982"/>
    <w:rsid w:val="57410D47"/>
    <w:rsid w:val="594F42E4"/>
    <w:rsid w:val="597E77BA"/>
    <w:rsid w:val="5A273F0C"/>
    <w:rsid w:val="5A866748"/>
    <w:rsid w:val="5B4546DE"/>
    <w:rsid w:val="5BA91053"/>
    <w:rsid w:val="5BBF4D92"/>
    <w:rsid w:val="5D9A5640"/>
    <w:rsid w:val="5E5512FB"/>
    <w:rsid w:val="5EE84E75"/>
    <w:rsid w:val="626C2134"/>
    <w:rsid w:val="62D95485"/>
    <w:rsid w:val="669A301A"/>
    <w:rsid w:val="69545BB2"/>
    <w:rsid w:val="69904A9A"/>
    <w:rsid w:val="6ADE25F0"/>
    <w:rsid w:val="6D7E74BE"/>
    <w:rsid w:val="6E2D219B"/>
    <w:rsid w:val="6F4C64B3"/>
    <w:rsid w:val="714527E9"/>
    <w:rsid w:val="717D03D8"/>
    <w:rsid w:val="74656C19"/>
    <w:rsid w:val="75D32807"/>
    <w:rsid w:val="76985210"/>
    <w:rsid w:val="77F570B1"/>
    <w:rsid w:val="7A8A7E14"/>
    <w:rsid w:val="7B75497C"/>
    <w:rsid w:val="7BDB7DDB"/>
    <w:rsid w:val="7D402603"/>
    <w:rsid w:val="7E931BE6"/>
    <w:rsid w:val="7F1F5E87"/>
    <w:rsid w:val="7F3E5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17895</Words>
  <Characters>18392</Characters>
  <Lines>34</Lines>
  <Paragraphs>9</Paragraphs>
  <ScaleCrop>false</ScaleCrop>
  <LinksUpToDate>false</LinksUpToDate>
  <CharactersWithSpaces>18700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2026-03-16T07:22:22Z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