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幸福99丰裕固收763天26037期理财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幸福99丰裕固收763天26037期理财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幸福99丰裕固收763天26037期理财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幸福99丰裕固收763天26037期理财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幸福99丰裕固收763天26037期理财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幸福99丰裕固收763天26037期理财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Z7002226000109</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幸福99丰裕固收763天26037期理财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幸福99丰裕固收763天26037期理财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幸福99丰裕固收763天26037期理财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幸福99丰裕固收763天26037期理财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幸福99丰裕固收763天26037期理财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幸福99丰裕固收763天26037期理财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幸福99丰裕固收763天26037期理财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丰裕固收26037期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FYG26037</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Z7002226000109</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A份额（销售代码〖FYG26037A〗）：普通个人投资者和机构客户。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B份额（销售代码〖FYG26037B〗）：普通个人投资者和机构客户。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C份额（销售代码〖FYG26037C〗）：普通个人投资者和机构客户。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D份额（销售代码〖FYG26037D〗）：普通个人投资者和机构客户。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E份额（幸福金桂）（销售代码〖FYG26037E〗）：普通个人投资者和机构客户。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F份额（幸福金桂私行专属）（销售代码〖FYG26037F〗）：普通个人投资者和机构客户。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G份额（销售代码〖FYG26037G〗）：普通个人投资者和机构客户。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H份额（销售代码〖FYG26037H〗）：普通个人投资者和机构客户。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I份额（爽盈优选）（销售代码〖FYG26037I〗）：普通个人投资者和机构客户。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L份额（天府·优选-新春专享）（销售代码〖FYG26037L〗）：普通个人投资者和机构客户。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M份额惠享款（湖北银行新春特惠）（销售代码〖FYG26037M〗）：普通个人投资者和机构客户。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N份额惠享款（长长财富·专属）（销售代码〖FYG26037N〗）：普通个人投资者和机构客户。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P份额（芙蓉锦程·优选）（销售代码〖FYG26037P〗）：普通个人投资者和机构客户。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Q份额（芙蓉锦程·优选-尊享款）（销售代码〖FYG26037Q〗）：普通个人投资者和机构客户。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R份额（兰州银行开门红专属）（销售代码〖FYG26037R〗）：普通个人投资者和机构客户。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W份额惠享款（销售代码〖FYG26037W〗）：普通个人投资者和机构客户。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Y份额惠享款（销售代码〖FYG26037Y〗）：普通个人投资者和机构客户。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Z份额惠享款（销售代码〖FYG26037Z〗）：普通个人投资者和机构客户。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19</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25</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26</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4</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27</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〖L份额〗起点〖1〗元整，超过认购起点部分，应为〖1〗元的整数倍。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本理财计划〖G份额〗业绩比较基准为〖2.45%-2.65%〗（年化）。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本理财计划〖H份额〗业绩比较基准为〖2.90%-3.10%〗（年化）。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本理财计划〖L份额〗业绩比较基准为〖2.85%-3.05%〗（年化）。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本理财计划〖M份额〗业绩比较基准为〖2.90%-3.10%〗（年化）。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本理财计划〖W份额〗业绩比较基准为〖2.55%-2.75%〗（年化）。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本理财计划〖Z份额〗业绩比较基准为〖2.75%-2.95%〗（年化）。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〖G份额〗收取年化〖0.40%〗的销售服务费, 〖H份额〗收取年化〖0.01%〗的销售服务费, 〖I份额〗收取年化〖0.30%〗的销售服务费, 〖L份额〗收取年化〖0.05%〗的销售服务费, 〖M份额〗收取年化〖0.01%〗的销售服务费, 〖N份额〗收取年化〖0.20%〗的销售服务费, 〖P份额〗收取年化〖0.15%〗的销售服务费, 〖Q份额〗收取年化〖0.05%〗的销售服务费, 〖R份额〗收取年化〖0.15%〗的销售服务费,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〖A份额〗收取年化〖0.10%〗的固定管理费, 〖B份额〗收取年化〖0.10%〗的固定管理费, 〖C份额〗收取年化〖0.10%〗的固定管理费, 〖D份额〗收取年化〖0.10%〗的固定管理费, 〖E份额〗收取年化〖0.10%〗的固定管理费, 〖F份额〗收取年化〖0.10%〗的固定管理费, 〖G份额〗收取年化〖0.10%〗的固定管理费, 〖H份额〗收取年化〖0.04%〗的固定管理费, 〖I份额〗收取年化〖0.10%〗的固定管理费, 〖L份额〗收取年化〖0.05%〗的固定管理费, 〖M份额〗收取年化〖0.04%〗的固定管理费, 〖N份额〗收取年化〖0.10%〗的固定管理费, 〖P份额〗收取年化〖0.10%〗的固定管理费, 〖Q份额〗收取年化〖0.05%〗的固定管理费, 〖R份额〗收取年化〖0.10%〗的固定管理费, 〖W份额〗收取年化〖0.10%〗的固定管理费, 〖Y份额〗收取年化〖0.10%〗的固定管理费, 〖Z份额〗收取年化〖0.10%〗的固定管理费。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600" w:type="dxa"/>
        <w:tblInd w:w="37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00"/>
        <w:gridCol w:w="1600"/>
        <w:gridCol w:w="1200"/>
        <w:gridCol w:w="38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销售机构信息</w:t>
            </w: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杭州银行股份有限公司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浙江省杭州市上城区解放东路168号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95398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杭银理财有限责任公司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浙江省杭州市拱墅区庆春路38号金龙财富中心6层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400-8950-999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中山农村商业银行股份有限公司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中山市东区中山三路26号之一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0760-23327126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厦门国际银行股份有限公司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厦门市思明区鹭江道8-10号国际银行大厦1-6层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956085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富滇银行股份有限公司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云南省昆明市西山区西园路1912号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0871-63127342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山西银行股份有限公司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山西转型综合改革示范区学府产业园高新街15号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0351-96588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新疆银行股份有限公司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新疆乌鲁木齐市天山区新华南路338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0991-96559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无锡农村商业银行股份有限公司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江苏省无锡市锡山区延庆街11号、丹山路66-3、66-1301号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晋商银行股份有限公司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中国山西省太原市小店区长风街59号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9510-5588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桂林银行股份有限公司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桂林市临桂区公园北路8号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0773-3835657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汉口银行股份有限公司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湖北省武汉市江汉区建设大道933号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4006096558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江苏丹阳农村商业银行股份有限公司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镇江市丹阳金陵西路152号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江苏南通农村商业银行股份有限公司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南通市崇川区工农南路89号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江苏启东农村商业银行股份有限公司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江苏省启东市汇龙镇金沙江路1688号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0513-83929017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江苏常熟农村商业银行股份有限公司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江苏省常熟市新世纪大道58号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0512-52909021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江苏扬州农村商业银行股份有限公司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江苏省扬州市同泰路107号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江苏昆山农村商业银行股份有限公司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江苏省昆山市前进东路828号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0512-57370966</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江苏江阴农村商业银行股份有限公司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江阴市澄江中路1号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0510-86823403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江苏滨海农村商业银行股份有限公司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滨海县城迎宾中路1号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江苏苏州农村商业银行股份有限公司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江苏省苏州市吴江区中山南路1777号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956111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江苏南京市中华路26号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025-83508241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江苏镇江农村商业银行股份有限公司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江苏省镇江市润州区长江路97号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96008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湖北银行股份有限公司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武汉市武昌区水果湖街中北路86号汉街总部国际8栋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4008596599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珠海农村商业银行股份有限公司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珠海市香洲兴业路223号农信金融大厦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0756-2636992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restart"/>
            <w:vAlign w:val="center"/>
          </w:tcPr>
          <w:p>
            <w:pPr>
              <w:keepNext w:val="0"/>
              <w:keepLines w:val="0"/>
              <w:suppressLineNumbers w:val="0"/>
              <w:spacing w:before="0" w:beforeAutospacing="0" w:after="0" w:afterAutospacing="0"/>
              <w:ind w:left="0" w:right="0"/>
              <w:jc w:val="center"/>
              <w:rPr>
                <w:rFonts w:hint="default"/>
              </w:rPr>
            </w:pPr>
            <w:r>
              <w:rPr>
                <w:rFonts w:hint="default"/>
              </w:rPr>
              <w:t>长安银行股份有限公司</w:t>
            </w: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住所</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陕西省西安市高新区高新四路13号1幢1单元10101室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600" w:type="dxa"/>
            <w:vMerge w:val="continue"/>
            <w:vAlign w:val="center"/>
          </w:tcPr>
          <w:p>
            <w:pPr>
              <w:keepNext w:val="0"/>
              <w:keepLines w:val="0"/>
              <w:suppressLineNumbers w:val="0"/>
              <w:spacing w:before="0" w:beforeAutospacing="0" w:after="0" w:afterAutospacing="0"/>
              <w:ind w:left="0" w:right="0"/>
              <w:jc w:val="center"/>
              <w:rPr>
                <w:rFonts w:hint="default"/>
              </w:rPr>
            </w:pPr>
          </w:p>
        </w:tc>
        <w:tc>
          <w:tcPr>
            <w:tcW w:w="1200" w:type="dxa"/>
            <w:vAlign w:val="center"/>
          </w:tcPr>
          <w:p>
            <w:pPr>
              <w:keepNext w:val="0"/>
              <w:keepLines w:val="0"/>
              <w:suppressLineNumbers w:val="0"/>
              <w:spacing w:before="0" w:beforeAutospacing="0" w:after="0" w:afterAutospacing="0"/>
              <w:ind w:left="0" w:right="0"/>
              <w:jc w:val="left"/>
              <w:rPr>
                <w:rFonts w:hint="default"/>
              </w:rPr>
            </w:pPr>
            <w:r>
              <w:rPr>
                <w:rFonts w:hint="default"/>
              </w:rPr>
              <w:t>客服热线</w:t>
            </w:r>
          </w:p>
        </w:tc>
        <w:tc>
          <w:tcPr>
            <w:tcW w:w="3800" w:type="dxa"/>
            <w:vAlign w:val="center"/>
          </w:tcPr>
          <w:p>
            <w:pPr>
              <w:keepNext w:val="0"/>
              <w:keepLines w:val="0"/>
              <w:suppressLineNumbers w:val="0"/>
              <w:spacing w:before="0" w:beforeAutospacing="0" w:after="0" w:afterAutospacing="0"/>
              <w:ind w:left="0" w:right="0"/>
              <w:jc w:val="center"/>
              <w:rPr>
                <w:rFonts w:hint="default"/>
              </w:rPr>
            </w:pPr>
            <w:r>
              <w:rPr>
                <w:rFonts w:hint="default"/>
              </w:rPr>
              <w:t>029-96669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1000" w:type="dxa"/>
            <w:vAlign w:val="center"/>
          </w:tcPr>
          <w:p>
            <w:pPr>
              <w:keepNext w:val="0"/>
              <w:keepLines w:val="0"/>
              <w:suppressLineNumbers w:val="0"/>
              <w:spacing w:before="0" w:beforeAutospacing="0" w:after="0" w:afterAutospacing="0"/>
              <w:ind w:left="0" w:right="0"/>
              <w:jc w:val="center"/>
              <w:rPr>
                <w:rFonts w:hint="default"/>
              </w:rPr>
            </w:pPr>
            <w:r>
              <w:rPr>
                <w:rFonts w:hint="default"/>
              </w:rPr>
              <w:t>销售机构职责</w:t>
            </w:r>
          </w:p>
        </w:tc>
        <w:tc>
          <w:tcPr>
            <w:tcW w:w="6600" w:type="dxa"/>
            <w:gridSpan w:val="3"/>
            <w:vAlign w:val="center"/>
          </w:tcPr>
          <w:p>
            <w:pPr>
              <w:keepNext w:val="0"/>
              <w:keepLines w:val="0"/>
              <w:suppressLineNumbers w:val="0"/>
              <w:spacing w:before="0" w:beforeAutospacing="0" w:after="0" w:afterAutospacing="0"/>
              <w:ind w:left="0" w:right="0"/>
              <w:jc w:val="left"/>
              <w:rPr>
                <w:rFonts w:hint="default"/>
              </w:rPr>
            </w:pPr>
            <w:r>
              <w:rPr>
                <w:rFonts w:hint="default"/>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I份额〗、〖L份额〗、〖P份额〗、〖Q份额〗、〖R份额〗和销售服务费于产品成立日一次性收取的〖M份额〗、〖N份额〗、〖W份额〗、〖Y份额〗、〖Z份额〗。A份额的年化销售服务费率为〖0.30%〗, B份额的年化销售服务费率为〖0.20%〗, C份额的年化销售服务费率为〖0.10%〗, D份额的年化销售服务费率为〖0.15%〗, E份额的年化销售服务费率为〖0.20%〗, F份额的年化销售服务费率为〖0.15%〗, G份额的年化销售服务费率为〖0.40%〗, H份额的年化销售服务费率为〖0.01%〗, I份额的年化销售服务费率为〖0.30%〗, L份额的年化销售服务费率为〖0.05%〗, M份额的年化销售服务费率为〖0.01%〗, N份额的年化销售服务费率为〖0.20%〗, P份额的年化销售服务费率为〖0.15%〗, Q份额的年化销售服务费率为〖0.05%〗, R份额的年化销售服务费率为〖0.15%〗,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H2＝E2×〖0.01%〗×P÷365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H2为〖M份额〗应计提的销售服务费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E2为〖M份额〗成立日产品份额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A份额的年化固定管理费率为〖0.10%〗, B份额的年化固定管理费率为〖0.10%〗, C份额的年化固定管理费率为〖0.10%〗, D份额的年化固定管理费率为〖0.10%〗, E份额的年化固定管理费率为〖0.10%〗, F份额的年化固定管理费率为〖0.10%〗, G份额的年化固定管理费率为〖0.10%〗, H份额的年化固定管理费率为〖0.04%〗, I份额的年化固定管理费率为〖0.10%〗, L份额的年化固定管理费率为〖0.05%〗, M份额的年化固定管理费率为〖0.04%〗, N份额的年化固定管理费率为〖0.10%〗, P份额的年化固定管理费率为〖0.10%〗, Q份额的年化固定管理费率为〖0.05%〗, R份额的年化固定管理费率为〖0.10%〗, W份额的年化固定管理费率为〖0.10%〗, Y份额的年化固定管理费率为〖0.10%〗, Z份额的年化固定管理费率为〖0.10%〗,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0.10</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3E95FA1"/>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696128"/>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5BB6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DF186E2"/>
    <w:rsid w:val="7E1A0C5A"/>
    <w:rsid w:val="7E3212D3"/>
    <w:rsid w:val="7E7F7BE9"/>
    <w:rsid w:val="7F5F887D"/>
    <w:rsid w:val="7F9FC635"/>
    <w:rsid w:val="7FCC7D05"/>
    <w:rsid w:val="7FEF42B8"/>
    <w:rsid w:val="7FEFE414"/>
    <w:rsid w:val="7FF2B36D"/>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8400"/>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qFormat/>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58</Pages>
  <Words>37575</Words>
  <Characters>40353</Characters>
  <Lines>1</Lines>
  <Paragraphs>1</Paragraphs>
  <TotalTime>0</TotalTime>
  <ScaleCrop>false</ScaleCrop>
  <LinksUpToDate>false</LinksUpToDate>
  <CharactersWithSpaces>40832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2014-11-05T04:08:00Z</dcterms:created>
  <dc:creator>Administrator</dc:creator>
  <cp:lastModifiedBy>hccb</cp:lastModifiedBy>
  <dcterms:modified xsi:type="dcterms:W3CDTF">2026-03-12T06:43:07Z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33C5B32AED9779113E1EB269198E983D_43</vt:lpwstr>
  </property>
</Properties>
</file>