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稳利安盈封闭式</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稳利安盈封闭式</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112263"/>
      <w:bookmarkStart w:id="1" w:name="_Toc139991726"/>
      <w:bookmarkStart w:id="2" w:name="_Toc123112224"/>
      <w:bookmarkStart w:id="3" w:name="_Toc139992301"/>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112264"/>
      <w:bookmarkStart w:id="6" w:name="_Toc123701384"/>
      <w:bookmarkStart w:id="7" w:name="_Toc139992302"/>
      <w:bookmarkStart w:id="8" w:name="_Toc123112225"/>
      <w:bookmarkStart w:id="9" w:name="_Toc139991727"/>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【2026】年【3】月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23112266"/>
      <w:bookmarkStart w:id="12" w:name="_Toc139991729"/>
      <w:bookmarkStart w:id="13" w:name="_Toc12370138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2"/>
                <w:sz w:val="18"/>
                <w:szCs w:val="18"/>
                <w:lang w:val="en-US" w:eastAsia="zh-CN" w:bidi="ar"/>
              </w:rPr>
              <w:t>【兴银理财稳利安盈封闭式2026年408期固收类理财产品】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ascii="宋体" w:hAnsi="宋体" w:eastAsia="宋体" w:cs="宋体"/>
                <w:sz w:val="18"/>
              </w:rPr>
              <w:t>【稳利安盈2026年408期A】 (适用【A】类份额)</w:t>
            </w:r>
            <w:r>
              <w:rPr>
                <w:rFonts w:ascii="宋体" w:hAnsi="宋体" w:eastAsia="宋体" w:cs="宋体"/>
                <w:sz w:val="18"/>
              </w:rPr>
              <w:br w:type="textWrapping"/>
            </w:r>
            <w:r>
              <w:rPr>
                <w:rFonts w:ascii="宋体" w:hAnsi="宋体" w:eastAsia="宋体" w:cs="宋体"/>
                <w:sz w:val="18"/>
              </w:rPr>
              <w:t>【稳利安盈2026年408期C】 (适用【C】类份额)</w:t>
            </w:r>
            <w:r>
              <w:rPr>
                <w:rFonts w:ascii="宋体" w:hAnsi="宋体" w:eastAsia="宋体" w:cs="宋体"/>
                <w:sz w:val="18"/>
              </w:rPr>
              <w:br w:type="textWrapping"/>
            </w:r>
            <w:r>
              <w:rPr>
                <w:rFonts w:ascii="宋体" w:hAnsi="宋体" w:eastAsia="宋体" w:cs="宋体"/>
                <w:sz w:val="18"/>
              </w:rPr>
              <w:t>【稳利安盈2026年408期D】 (适用【D】类份额)</w:t>
            </w:r>
            <w:r>
              <w:rPr>
                <w:rFonts w:ascii="宋体" w:hAnsi="宋体" w:eastAsia="宋体" w:cs="宋体"/>
                <w:sz w:val="18"/>
              </w:rPr>
              <w:br w:type="textWrapping"/>
            </w:r>
            <w:r>
              <w:rPr>
                <w:rFonts w:ascii="宋体" w:hAnsi="宋体" w:eastAsia="宋体" w:cs="宋体"/>
                <w:sz w:val="18"/>
              </w:rPr>
              <w:t>【稳利安盈2026年408期F】 (适用【F】类份额)</w:t>
            </w:r>
            <w:r>
              <w:rPr>
                <w:rFonts w:ascii="宋体" w:hAnsi="宋体" w:eastAsia="宋体" w:cs="宋体"/>
                <w:sz w:val="18"/>
              </w:rPr>
              <w:br w:type="textWrapping"/>
            </w:r>
            <w:r>
              <w:rPr>
                <w:rFonts w:ascii="宋体" w:hAnsi="宋体" w:eastAsia="宋体" w:cs="宋体"/>
                <w:sz w:val="18"/>
              </w:rPr>
              <w:t>【稳利安盈2026年408期E】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Theme="majorEastAsia" w:hAnsiTheme="majorEastAsia" w:eastAsiaTheme="majorEastAsia"/>
                <w:color w:val="auto"/>
                <w:sz w:val="18"/>
                <w:szCs w:val="18"/>
                <w:highlight w:val="none"/>
              </w:rPr>
              <w:t>【</w:t>
            </w:r>
            <w:r>
              <w:rPr>
                <w:rFonts w:hint="eastAsia" w:asciiTheme="majorEastAsia" w:hAnsiTheme="majorEastAsia" w:eastAsiaTheme="majorEastAsia"/>
                <w:color w:val="auto"/>
                <w:sz w:val="18"/>
                <w:szCs w:val="18"/>
                <w:highlight w:val="none"/>
                <w:lang w:val="en-US" w:eastAsia="zh-CN"/>
              </w:rPr>
              <w:t>Z7002026000215</w:t>
            </w:r>
            <w:r>
              <w:rPr>
                <w:rFonts w:hint="eastAsia" w:asciiTheme="majorEastAsia" w:hAnsiTheme="majorEastAsia" w:eastAsiaTheme="majorEastAsia"/>
                <w:color w:val="auto"/>
                <w:sz w:val="18"/>
                <w:szCs w:val="18"/>
                <w:highlight w:val="none"/>
              </w:rPr>
              <w:t>】</w:t>
            </w:r>
            <w:r>
              <w:rPr>
                <w:rFonts w:hint="eastAsia" w:ascii="宋体" w:hAnsi="宋体"/>
                <w:bCs/>
                <w:sz w:val="18"/>
                <w:szCs w:val="18"/>
              </w:rPr>
              <w:t>注：投资者可依据理财产品登记编码在中国理财网查询产品信息</w:t>
            </w:r>
            <w:r>
              <w:rPr>
                <w:rFonts w:hint="default"/>
                <w:szCs w:val="20"/>
              </w:rPr>
              <w:fldChar w:fldCharType="begin"/>
            </w:r>
            <w:r>
              <w:rPr>
                <w:rFonts w:hint="default"/>
                <w:szCs w:val="20"/>
              </w:rPr>
              <w:instrText xml:space="preserve"> HYPERLINK "http://www.chinawealth.com.cn" </w:instrText>
            </w:r>
            <w:r>
              <w:rPr>
                <w:rFonts w:hint="default"/>
                <w:szCs w:val="20"/>
              </w:rPr>
              <w:fldChar w:fldCharType="separate"/>
            </w:r>
            <w:r>
              <w:rPr>
                <w:rFonts w:hint="default" w:ascii="宋体" w:hAnsi="宋体"/>
                <w:bCs/>
                <w:sz w:val="18"/>
                <w:szCs w:val="18"/>
              </w:rPr>
              <w:t>www.chinawealth.com.cn</w:t>
            </w:r>
            <w:r>
              <w:rPr>
                <w:rFonts w:hint="default" w:ascii="宋体" w:hAnsi="宋体"/>
                <w:bCs/>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【9A264080】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20" w:lineRule="exact"/>
              <w:ind w:left="0" w:leftChars="0" w:right="0" w:rightChars="0"/>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【9A26408A】 (适用【A】类份额)</w:t>
            </w:r>
            <w:r>
              <w:rPr>
                <w:rFonts w:ascii="宋体" w:hAnsi="宋体" w:eastAsia="宋体" w:cs="宋体"/>
                <w:sz w:val="18"/>
              </w:rPr>
              <w:br w:type="textWrapping"/>
            </w:r>
            <w:r>
              <w:rPr>
                <w:rFonts w:ascii="宋体" w:hAnsi="宋体" w:eastAsia="宋体" w:cs="宋体"/>
                <w:sz w:val="18"/>
              </w:rPr>
              <w:t>【9A26408C】 (适用【C】类份额)</w:t>
            </w:r>
            <w:r>
              <w:rPr>
                <w:rFonts w:ascii="宋体" w:hAnsi="宋体" w:eastAsia="宋体" w:cs="宋体"/>
                <w:sz w:val="18"/>
              </w:rPr>
              <w:br w:type="textWrapping"/>
            </w:r>
            <w:r>
              <w:rPr>
                <w:rFonts w:ascii="宋体" w:hAnsi="宋体" w:eastAsia="宋体" w:cs="宋体"/>
                <w:sz w:val="18"/>
              </w:rPr>
              <w:t>【9A26408D】 (适用【D】类份额)</w:t>
            </w:r>
            <w:r>
              <w:rPr>
                <w:rFonts w:ascii="宋体" w:hAnsi="宋体" w:eastAsia="宋体" w:cs="宋体"/>
                <w:sz w:val="18"/>
              </w:rPr>
              <w:br w:type="textWrapping"/>
            </w:r>
            <w:r>
              <w:rPr>
                <w:rFonts w:ascii="宋体" w:hAnsi="宋体" w:eastAsia="宋体" w:cs="宋体"/>
                <w:sz w:val="18"/>
              </w:rPr>
              <w:t>【9A26408F】 (适用【F】类份额)</w:t>
            </w:r>
            <w:r>
              <w:rPr>
                <w:rFonts w:ascii="宋体" w:hAnsi="宋体" w:eastAsia="宋体" w:cs="宋体"/>
                <w:sz w:val="18"/>
              </w:rPr>
              <w:br w:type="textWrapping"/>
            </w:r>
            <w:r>
              <w:rPr>
                <w:rFonts w:ascii="宋体" w:hAnsi="宋体" w:eastAsia="宋体" w:cs="宋体"/>
                <w:sz w:val="18"/>
              </w:rPr>
              <w:t>【9A26408E】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30935"/>
      <w:bookmarkStart w:id="15" w:name="_Toc26897"/>
      <w:bookmarkStart w:id="16" w:name="_Toc6306"/>
      <w:bookmarkStart w:id="17" w:name="_Toc23386"/>
      <w:bookmarkStart w:id="18" w:name="_Toc139991730"/>
      <w:bookmarkStart w:id="19" w:name="_Toc32639"/>
      <w:bookmarkStart w:id="20" w:name="_Toc123701389"/>
      <w:bookmarkStart w:id="21" w:name="_Toc4966"/>
      <w:bookmarkStart w:id="22" w:name="_Toc123112268"/>
      <w:bookmarkStart w:id="23" w:name="_Toc15517"/>
      <w:bookmarkStart w:id="24" w:name="_Toc123112229"/>
      <w:bookmarkStart w:id="25" w:name="_Toc141703880"/>
      <w:bookmarkStart w:id="26" w:name="_Toc4867"/>
      <w:bookmarkStart w:id="27" w:name="_Toc29629"/>
      <w:bookmarkStart w:id="28" w:name="_Toc872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6617"/>
      <w:bookmarkStart w:id="33" w:name="_Toc22864"/>
      <w:bookmarkStart w:id="34" w:name="_Toc258829399"/>
      <w:bookmarkStart w:id="35" w:name="_Toc819"/>
      <w:bookmarkStart w:id="36" w:name="_Toc3224"/>
      <w:bookmarkStart w:id="37" w:name="_Toc21301"/>
      <w:bookmarkStart w:id="38" w:name="_Toc15067"/>
      <w:bookmarkStart w:id="39" w:name="_Toc19592"/>
      <w:bookmarkStart w:id="40" w:name="_Toc24860"/>
      <w:bookmarkStart w:id="41" w:name="_Toc13020"/>
      <w:bookmarkStart w:id="42" w:name="_Toc2465"/>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20318"/>
      <w:bookmarkStart w:id="48" w:name="_Toc22708"/>
      <w:bookmarkStart w:id="49" w:name="_Toc6149"/>
      <w:bookmarkStart w:id="50" w:name="_Toc13288"/>
      <w:bookmarkStart w:id="51" w:name="_Toc24571"/>
      <w:bookmarkStart w:id="52" w:name="_Toc6683"/>
      <w:bookmarkStart w:id="53" w:name="_Toc545"/>
      <w:bookmarkStart w:id="54" w:name="_Toc733"/>
      <w:bookmarkStart w:id="55" w:name="_Toc18631"/>
      <w:bookmarkStart w:id="56" w:name="_Toc20627"/>
      <w:bookmarkStart w:id="57" w:name="_Toc74065740"/>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兴银理财【稳利安盈封闭式】理财产品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【2026】年【3】月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50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（6）专业投资者：根据监管规定，指符合下列条件之一的投资者：</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1）银行业金融机构、保险业金融机构、金融控股公司、证券基金期货经营机构、私募基金管理人；</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2）上述机构面向投资者发行的金融产品，信托公司管理的资产服务信托、公益慈善信托；</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3）社会保障基金、企业年金、职业年金等养老基金，慈善基金等社会公益基金，合格境外机构投资者（QFII）、人民币合格境外机构投资者（RQFII）。</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（7）普通投资者：专业投资者之外的投资者为普通投资者。</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（8）全国银行业理财信息登记系统：指供商业银行及商业银行理财公司进行理财产品电子化报告和信息登记的电子信息系统。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：指产品管理人向投资者提供的，用于描述产品特征，约定权利义务的文件。具体指《兴银理财【稳利安盈封闭式】理财产品销售文件》，包括《投资协议书》《产品说明书》《（代理）销售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《投资协议书》：指管理人统一编制的《兴银理财【稳利安盈封闭式】理财产品投资协议书》，以及对该文件的有效修改或补充。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）《产品说明书》：指管理人统一编制的《兴银理财【稳利安盈封闭式】理财产品产品说明书》，以及对该文件的有效修改或补充。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（4）《（代理）销售协议书》：指管理人统一编制的《兴银理财【稳利安盈封闭式】理财产品（代理）销售协议书》或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）《风险揭示书》：指管理人统一编制的《兴银理财【稳利安盈封闭式】理财产品风险揭示书》或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）《投资者权益须知》：指管理人统一编制的《兴银理财【稳利安盈封闭式】理财产品投资者权益须知》或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《兴银理财【稳利安盈封闭式】理财产品投资者权益须知》（文件名称以代理销售机构实际编制为准），以及对该文件的有效修改或补充。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cs="宋体"/>
                <w:bCs/>
                <w:sz w:val="18"/>
                <w:szCs w:val="18"/>
              </w:rPr>
            </w:pPr>
            <w:r>
              <w:rPr>
                <w:rFonts w:hint="eastAsia" w:ascii="宋体" w:hAnsi="宋体" w:eastAsia="宋体" w:cs="宋体"/>
                <w:bCs/>
                <w:kern w:val="0"/>
                <w:sz w:val="18"/>
                <w:szCs w:val="18"/>
                <w:lang w:val="en-US" w:eastAsia="zh-CN" w:bidi="ar"/>
              </w:rPr>
              <w:t>【兴银理财稳利安盈封闭式2026年408期固收类理财产品】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ascii="宋体" w:hAnsi="宋体" w:cs="宋体"/>
                <w:kern w:val="0"/>
                <w:sz w:val="22"/>
                <w:szCs w:val="22"/>
              </w:rPr>
            </w:pPr>
            <w:r>
              <w:rPr>
                <w:rFonts w:ascii="宋体" w:hAnsi="宋体" w:eastAsia="宋体" w:cs="宋体"/>
                <w:sz w:val="18"/>
                <w:szCs w:val="22"/>
              </w:rPr>
              <w:t>【稳利安盈2026年408期A】 (适用【A】类份额)</w:t>
            </w:r>
            <w:r>
              <w:rPr>
                <w:rFonts w:ascii="宋体" w:hAnsi="宋体" w:eastAsia="宋体" w:cs="宋体"/>
                <w:sz w:val="18"/>
                <w:szCs w:val="22"/>
              </w:rPr>
              <w:br w:type="textWrapping"/>
            </w:r>
            <w:r>
              <w:rPr>
                <w:rFonts w:ascii="宋体" w:hAnsi="宋体" w:eastAsia="宋体" w:cs="宋体"/>
                <w:sz w:val="18"/>
                <w:szCs w:val="22"/>
              </w:rPr>
              <w:t>【稳利安盈2026年408期C】 (适用【C】类份额)</w:t>
            </w:r>
            <w:r>
              <w:rPr>
                <w:rFonts w:ascii="宋体" w:hAnsi="宋体" w:eastAsia="宋体" w:cs="宋体"/>
                <w:sz w:val="18"/>
                <w:szCs w:val="22"/>
              </w:rPr>
              <w:br w:type="textWrapping"/>
            </w:r>
            <w:r>
              <w:rPr>
                <w:rFonts w:ascii="宋体" w:hAnsi="宋体" w:eastAsia="宋体" w:cs="宋体"/>
                <w:sz w:val="18"/>
                <w:szCs w:val="22"/>
              </w:rPr>
              <w:t>【稳利安盈2026年408期D】 (适用【D】类份额)</w:t>
            </w:r>
            <w:r>
              <w:rPr>
                <w:rFonts w:ascii="宋体" w:hAnsi="宋体" w:eastAsia="宋体" w:cs="宋体"/>
                <w:sz w:val="18"/>
                <w:szCs w:val="22"/>
              </w:rPr>
              <w:br w:type="textWrapping"/>
            </w:r>
            <w:r>
              <w:rPr>
                <w:rFonts w:ascii="宋体" w:hAnsi="宋体" w:eastAsia="宋体" w:cs="宋体"/>
                <w:sz w:val="18"/>
                <w:szCs w:val="22"/>
              </w:rPr>
              <w:t>【稳利安盈2026年408期F】 (适用【F】类份额)</w:t>
            </w:r>
            <w:r>
              <w:rPr>
                <w:rFonts w:ascii="宋体" w:hAnsi="宋体" w:eastAsia="宋体" w:cs="宋体"/>
                <w:sz w:val="18"/>
                <w:szCs w:val="22"/>
              </w:rPr>
              <w:br w:type="textWrapping"/>
            </w:r>
            <w:r>
              <w:rPr>
                <w:rFonts w:ascii="宋体" w:hAnsi="宋体" w:eastAsia="宋体" w:cs="宋体"/>
                <w:sz w:val="18"/>
                <w:szCs w:val="22"/>
              </w:rPr>
              <w:t>【稳利安盈2026年408期E】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pPr>
              <w:keepNext w:val="0"/>
              <w:keepLines w:val="0"/>
              <w:suppressLineNumbers w:val="0"/>
              <w:spacing w:before="0" w:beforeAutospacing="0" w:after="0" w:afterAutospacing="0" w:line="360" w:lineRule="auto"/>
              <w:ind w:left="0" w:leftChars="0" w:right="0" w:rightChars="0"/>
              <w:jc w:val="left"/>
              <w:rPr>
                <w:rFonts w:ascii="宋体" w:hAnsi="宋体" w:cs="宋体"/>
                <w:b/>
                <w:sz w:val="18"/>
                <w:szCs w:val="18"/>
              </w:rPr>
            </w:pPr>
            <w:r>
              <w:rPr>
                <w:rFonts w:hint="eastAsia" w:ascii="宋体" w:hAnsi="宋体" w:cs="宋体"/>
                <w:sz w:val="18"/>
                <w:szCs w:val="18"/>
              </w:rPr>
              <w:t>【</w:t>
            </w:r>
            <w:r>
              <w:rPr>
                <w:rFonts w:hint="eastAsia" w:ascii="宋体" w:hAnsi="宋体" w:cs="宋体"/>
                <w:sz w:val="18"/>
                <w:szCs w:val="18"/>
                <w:lang w:val="en-US" w:eastAsia="zh-CN"/>
              </w:rPr>
              <w:t>Z7002026000215</w:t>
            </w:r>
            <w:r>
              <w:rPr>
                <w:rFonts w:hint="eastAsia" w:ascii="宋体" w:hAnsi="宋体" w:cs="宋体"/>
                <w:sz w:val="18"/>
                <w:szCs w:val="18"/>
              </w:rPr>
              <w:t>】</w:t>
            </w:r>
            <w:r>
              <w:rPr>
                <w:rFonts w:hint="eastAsia" w:ascii="宋体" w:hAnsi="宋体" w:eastAsia="宋体" w:cs="宋体"/>
                <w:sz w:val="18"/>
                <w:szCs w:val="18"/>
              </w:rPr>
              <w:t>投资者可依据理财产品登记编码在中国理财网</w:t>
            </w:r>
            <w:r>
              <w:rPr>
                <w:rFonts w:hint="default" w:ascii="宋体" w:hAnsi="宋体" w:eastAsia="宋体" w:cs="宋体"/>
                <w:sz w:val="18"/>
                <w:szCs w:val="18"/>
              </w:rPr>
              <w:t>(</w:t>
            </w:r>
            <w:r>
              <w:rPr>
                <w:rFonts w:hint="default" w:ascii="Calibri" w:hAnsi="Calibri" w:cs="宋体"/>
                <w:szCs w:val="22"/>
              </w:rPr>
              <w:fldChar w:fldCharType="begin"/>
            </w:r>
            <w:r>
              <w:rPr>
                <w:rFonts w:hint="default" w:ascii="Calibri" w:hAnsi="Calibri" w:cs="宋体"/>
                <w:szCs w:val="22"/>
              </w:rPr>
              <w:instrText xml:space="preserve"> HYPERLINK "http://www.chinawealth.com.cn" </w:instrText>
            </w:r>
            <w:r>
              <w:rPr>
                <w:rFonts w:hint="default" w:ascii="Calibri" w:hAnsi="Calibri" w:cs="宋体"/>
                <w:szCs w:val="22"/>
              </w:rPr>
              <w:fldChar w:fldCharType="separate"/>
            </w:r>
            <w:r>
              <w:rPr>
                <w:rFonts w:hint="default" w:ascii="宋体" w:hAnsi="宋体" w:eastAsia="宋体" w:cs="宋体"/>
                <w:sz w:val="18"/>
                <w:szCs w:val="18"/>
              </w:rPr>
              <w:t>www.chinawealth.com.cn</w:t>
            </w:r>
            <w:r>
              <w:rPr>
                <w:rFonts w:hint="default" w:ascii="宋体" w:hAnsi="宋体" w:eastAsia="宋体" w:cs="宋体"/>
                <w:sz w:val="18"/>
                <w:szCs w:val="18"/>
              </w:rPr>
              <w:fldChar w:fldCharType="end"/>
            </w:r>
            <w:r>
              <w:rPr>
                <w:rFonts w:hint="default" w:ascii="宋体" w:hAnsi="宋体" w:eastAsia="宋体" w:cs="宋体"/>
                <w:sz w:val="18"/>
                <w:szCs w:val="18"/>
              </w:rPr>
              <w:t>）</w:t>
            </w:r>
            <w:r>
              <w:rPr>
                <w:rFonts w:hint="eastAsia" w:ascii="宋体" w:hAnsi="宋体" w:eastAsia="宋体" w:cs="宋体"/>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cs="宋体"/>
                <w:bCs/>
                <w:sz w:val="18"/>
                <w:szCs w:val="18"/>
              </w:rPr>
            </w:pPr>
            <w:r>
              <w:rPr>
                <w:rFonts w:hint="eastAsia" w:ascii="宋体" w:hAnsi="宋体" w:eastAsia="宋体" w:cs="宋体"/>
                <w:bCs/>
                <w:color w:val="000000"/>
                <w:kern w:val="2"/>
                <w:sz w:val="18"/>
                <w:szCs w:val="18"/>
                <w:lang w:val="en-US" w:eastAsia="zh-CN" w:bidi="ar"/>
              </w:rPr>
              <w:t>【9A264080】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ascii="Calibri" w:hAnsi="宋体" w:cs="宋体"/>
                <w:sz w:val="18"/>
                <w:szCs w:val="18"/>
              </w:rPr>
            </w:pPr>
            <w:r>
              <w:rPr>
                <w:rFonts w:ascii="宋体" w:hAnsi="宋体" w:eastAsia="宋体" w:cs="宋体"/>
                <w:sz w:val="18"/>
                <w:szCs w:val="22"/>
              </w:rPr>
              <w:t>【9A26408A】 (适用【A】类份额)</w:t>
            </w:r>
            <w:r>
              <w:rPr>
                <w:rFonts w:ascii="宋体" w:hAnsi="宋体" w:eastAsia="宋体" w:cs="宋体"/>
                <w:sz w:val="18"/>
                <w:szCs w:val="22"/>
              </w:rPr>
              <w:br w:type="textWrapping"/>
            </w:r>
            <w:r>
              <w:rPr>
                <w:rFonts w:ascii="宋体" w:hAnsi="宋体" w:eastAsia="宋体" w:cs="宋体"/>
                <w:sz w:val="18"/>
                <w:szCs w:val="22"/>
              </w:rPr>
              <w:t>【9A26408C】 (适用【C】类份额)</w:t>
            </w:r>
            <w:r>
              <w:rPr>
                <w:rFonts w:ascii="宋体" w:hAnsi="宋体" w:eastAsia="宋体" w:cs="宋体"/>
                <w:sz w:val="18"/>
                <w:szCs w:val="22"/>
              </w:rPr>
              <w:br w:type="textWrapping"/>
            </w:r>
            <w:r>
              <w:rPr>
                <w:rFonts w:ascii="宋体" w:hAnsi="宋体" w:eastAsia="宋体" w:cs="宋体"/>
                <w:sz w:val="18"/>
                <w:szCs w:val="22"/>
              </w:rPr>
              <w:t>【9A26408D】 (适用【D】类份额)</w:t>
            </w:r>
            <w:r>
              <w:rPr>
                <w:rFonts w:ascii="宋体" w:hAnsi="宋体" w:eastAsia="宋体" w:cs="宋体"/>
                <w:sz w:val="18"/>
                <w:szCs w:val="22"/>
              </w:rPr>
              <w:br w:type="textWrapping"/>
            </w:r>
            <w:r>
              <w:rPr>
                <w:rFonts w:ascii="宋体" w:hAnsi="宋体" w:eastAsia="宋体" w:cs="宋体"/>
                <w:sz w:val="18"/>
                <w:szCs w:val="22"/>
              </w:rPr>
              <w:t>【9A26408F】 (适用【F】类份额)</w:t>
            </w:r>
            <w:r>
              <w:rPr>
                <w:rFonts w:ascii="宋体" w:hAnsi="宋体" w:eastAsia="宋体" w:cs="宋体"/>
                <w:sz w:val="18"/>
                <w:szCs w:val="22"/>
              </w:rPr>
              <w:br w:type="textWrapping"/>
            </w:r>
            <w:r>
              <w:rPr>
                <w:rFonts w:ascii="宋体" w:hAnsi="宋体" w:eastAsia="宋体" w:cs="宋体"/>
                <w:sz w:val="18"/>
                <w:szCs w:val="22"/>
              </w:rPr>
              <w:t>【9A26408E】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pPr>
              <w:spacing w:line="360" w:lineRule="auto"/>
              <w:rPr>
                <w:rFonts w:ascii="宋体" w:hAnsi="宋体" w:cs="宋体"/>
                <w:bCs/>
                <w:sz w:val="18"/>
                <w:szCs w:val="18"/>
              </w:rPr>
            </w:pPr>
            <w:r>
              <w:rPr>
                <w:rFonts w:hint="eastAsia" w:ascii="宋体" w:hAnsi="宋体" w:cs="宋体"/>
                <w:bCs/>
                <w:sz w:val="18"/>
                <w:szCs w:val="18"/>
              </w:rPr>
              <w:t>（1）销售名称</w:t>
            </w:r>
          </w:p>
          <w:p>
            <w:pPr>
              <w:spacing w:line="360" w:lineRule="auto"/>
              <w:rPr>
                <w:rFonts w:ascii="宋体" w:hAnsi="宋体" w:cs="宋体"/>
                <w:bCs/>
                <w:sz w:val="18"/>
                <w:szCs w:val="18"/>
              </w:rPr>
            </w:pPr>
            <w:r>
              <w:rPr>
                <w:rFonts w:hint="eastAsia" w:ascii="宋体" w:hAnsi="宋体" w:cs="宋体"/>
                <w:bCs/>
                <w:sz w:val="18"/>
                <w:szCs w:val="18"/>
              </w:rPr>
              <w:t>（2）收费方式</w:t>
            </w:r>
          </w:p>
          <w:p>
            <w:pPr>
              <w:spacing w:line="360" w:lineRule="auto"/>
              <w:rPr>
                <w:rFonts w:ascii="宋体" w:hAnsi="宋体" w:cs="宋体"/>
                <w:bCs/>
                <w:sz w:val="18"/>
                <w:szCs w:val="18"/>
              </w:rPr>
            </w:pPr>
            <w:r>
              <w:rPr>
                <w:rFonts w:hint="eastAsia" w:ascii="宋体" w:hAnsi="宋体" w:cs="宋体"/>
                <w:bCs/>
                <w:sz w:val="18"/>
                <w:szCs w:val="18"/>
              </w:rPr>
              <w:t>（3）销售服务费</w:t>
            </w:r>
          </w:p>
          <w:p>
            <w:pPr>
              <w:spacing w:line="360" w:lineRule="auto"/>
              <w:rPr>
                <w:rFonts w:ascii="宋体" w:hAnsi="宋体" w:cs="宋体"/>
                <w:bCs/>
                <w:sz w:val="18"/>
                <w:szCs w:val="18"/>
              </w:rPr>
            </w:pPr>
            <w:r>
              <w:rPr>
                <w:rFonts w:hint="eastAsia" w:ascii="宋体" w:hAnsi="宋体" w:cs="宋体"/>
                <w:bCs/>
                <w:sz w:val="18"/>
                <w:szCs w:val="18"/>
              </w:rPr>
              <w:t>（4）销售代码</w:t>
            </w:r>
          </w:p>
          <w:p>
            <w:pPr>
              <w:spacing w:line="360" w:lineRule="auto"/>
              <w:rPr>
                <w:rFonts w:ascii="宋体" w:hAnsi="宋体" w:cs="宋体"/>
                <w:bCs/>
                <w:sz w:val="18"/>
                <w:szCs w:val="18"/>
              </w:rPr>
            </w:pPr>
            <w:r>
              <w:rPr>
                <w:rFonts w:hint="eastAsia" w:ascii="宋体" w:hAnsi="宋体" w:cs="宋体"/>
                <w:bCs/>
                <w:sz w:val="18"/>
                <w:szCs w:val="18"/>
              </w:rPr>
              <w:t>（5）销售对象</w:t>
            </w:r>
          </w:p>
          <w:p>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w:t>
            </w:r>
            <w:r>
              <w:rPr>
                <w:rFonts w:hint="eastAsia" w:ascii="黑体" w:hAnsi="黑体" w:eastAsia="黑体" w:cs="黑体"/>
                <w:bCs/>
                <w:sz w:val="18"/>
                <w:szCs w:val="18"/>
                <w:lang w:val="en-US" w:eastAsia="zh-CN"/>
              </w:rPr>
              <w:t>■</w:t>
            </w:r>
            <w:r>
              <w:rPr>
                <w:rFonts w:hint="eastAsia" w:ascii="黑体" w:hAnsi="黑体" w:eastAsia="黑体" w:cs="黑体"/>
                <w:bCs/>
                <w:sz w:val="18"/>
                <w:szCs w:val="18"/>
              </w:rPr>
              <w:t xml:space="preserve"> R1、□ R2、□ R3、□ R4、□ R5】理财产品。</w:t>
            </w:r>
          </w:p>
          <w:p>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r>
              <w:rPr>
                <w:rFonts w:hint="eastAsia" w:ascii="黑体" w:hAnsi="黑体" w:eastAsia="黑体" w:cs="宋体"/>
                <w:bCs/>
                <w:sz w:val="18"/>
                <w:szCs w:val="18"/>
              </w:rPr>
              <w:t>本产品存续期内，产品风险评级可能会根据实际情况进行调整。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本产品适合以下类型投资者：(适用【A</w:t>
            </w:r>
            <w:r>
              <w:rPr>
                <w:rFonts w:hint="eastAsia" w:ascii="宋体" w:hAnsi="宋体" w:eastAsia="宋体" w:cs="宋体"/>
                <w:bCs/>
                <w:color w:val="000000"/>
                <w:sz w:val="18"/>
                <w:szCs w:val="18"/>
                <w:lang w:val="en-US" w:eastAsia="zh-CN"/>
              </w:rPr>
              <w:t>/C/D/F/E</w:t>
            </w:r>
            <w:r>
              <w:rPr>
                <w:rFonts w:ascii="宋体" w:hAnsi="宋体" w:eastAsia="宋体" w:cs="宋体"/>
                <w:bCs/>
                <w:color w:val="000000"/>
                <w:sz w:val="18"/>
                <w:szCs w:val="18"/>
              </w:rPr>
              <w:t>】类份额)</w:t>
            </w:r>
          </w:p>
          <w:p>
            <w:pPr>
              <w:spacing w:line="360" w:lineRule="auto"/>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pPr>
              <w:spacing w:line="360" w:lineRule="auto"/>
              <w:rPr>
                <w:rFonts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 直销适用</w:t>
            </w:r>
          </w:p>
          <w:p>
            <w:pPr>
              <w:spacing w:line="360" w:lineRule="auto"/>
              <w:jc w:val="left"/>
              <w:rPr>
                <w:rFonts w:ascii="宋体" w:hAnsi="宋体" w:cs="宋体"/>
                <w:sz w:val="18"/>
                <w:szCs w:val="18"/>
              </w:rPr>
            </w:pPr>
            <w:r>
              <w:rPr>
                <w:rFonts w:hint="eastAsia" w:ascii="宋体" w:hAnsi="宋体" w:cs="宋体"/>
                <w:sz w:val="18"/>
                <w:szCs w:val="18"/>
              </w:rPr>
              <w:t>本产品由产品管理人销售。</w:t>
            </w:r>
          </w:p>
          <w:p>
            <w:pPr>
              <w:spacing w:line="360" w:lineRule="auto"/>
              <w:jc w:val="left"/>
              <w:rPr>
                <w:rFonts w:ascii="宋体" w:hAnsi="宋体" w:cs="宋体"/>
                <w:sz w:val="18"/>
                <w:szCs w:val="18"/>
              </w:rPr>
            </w:pPr>
            <w:r>
              <w:rPr>
                <w:rFonts w:hint="eastAsia" w:ascii="宋体" w:hAnsi="宋体" w:cs="宋体"/>
                <w:sz w:val="18"/>
                <w:szCs w:val="18"/>
              </w:rPr>
              <w:t>■ 代销适用</w:t>
            </w:r>
          </w:p>
          <w:p>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Calibri" w:hAnsi="Calibri" w:cs="宋体"/>
                <w:szCs w:val="22"/>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规模为【6】亿元，最小成立规模为【</w:t>
            </w:r>
            <w:r>
              <w:rPr>
                <w:rFonts w:hint="eastAsia" w:ascii="宋体" w:hAnsi="宋体" w:eastAsia="宋体" w:cs="宋体"/>
                <w:bCs/>
                <w:sz w:val="18"/>
                <w:szCs w:val="18"/>
                <w:lang w:val="en-US" w:eastAsia="zh-CN"/>
              </w:rPr>
              <w:t>1.2</w:t>
            </w:r>
            <w:r>
              <w:rPr>
                <w:rFonts w:hint="eastAsia" w:ascii="宋体" w:hAnsi="宋体" w:eastAsia="宋体" w:cs="宋体"/>
                <w:bCs/>
                <w:sz w:val="18"/>
                <w:szCs w:val="18"/>
              </w:rPr>
              <w:t>】亿元。</w:t>
            </w:r>
          </w:p>
          <w:p>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spacing w:line="360" w:lineRule="auto"/>
              <w:rPr>
                <w:rFonts w:hint="eastAsia" w:ascii="宋体" w:hAnsi="宋体" w:eastAsia="宋体" w:cs="宋体"/>
                <w:bCs/>
                <w:sz w:val="18"/>
                <w:szCs w:val="18"/>
                <w:lang w:val="en-US" w:eastAsia="zh-CN"/>
              </w:rPr>
            </w:pPr>
            <w:r>
              <w:rPr>
                <w:rFonts w:hint="eastAsia" w:ascii="宋体" w:hAnsi="宋体" w:eastAsia="宋体" w:cs="宋体"/>
                <w:bCs/>
                <w:sz w:val="18"/>
                <w:szCs w:val="18"/>
                <w:lang w:val="en-US" w:eastAsia="zh-CN"/>
              </w:rPr>
              <w:t>■有固定期限:【427天】</w:t>
            </w:r>
          </w:p>
          <w:p>
            <w:pPr>
              <w:spacing w:line="360" w:lineRule="auto"/>
              <w:rPr>
                <w:rFonts w:hint="eastAsia" w:ascii="宋体" w:hAnsi="宋体" w:eastAsia="宋体" w:cs="宋体"/>
                <w:bCs/>
                <w:sz w:val="18"/>
                <w:szCs w:val="18"/>
                <w:lang w:val="en-US" w:eastAsia="zh-CN"/>
              </w:rPr>
            </w:pPr>
            <w:r>
              <w:rPr>
                <w:rFonts w:hint="eastAsia" w:ascii="宋体" w:hAnsi="宋体" w:eastAsia="宋体" w:cs="宋体"/>
                <w:bCs/>
                <w:sz w:val="18"/>
                <w:szCs w:val="18"/>
                <w:lang w:val="en-US" w:eastAsia="zh-CN"/>
              </w:rPr>
              <w:t>□无固定期限</w:t>
            </w:r>
          </w:p>
          <w:p>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【2026年03月10日】【09:00】至【2026年03月18日】【17:00】</w:t>
            </w:r>
            <w:r>
              <w:rPr>
                <w:rFonts w:ascii="宋体" w:hAnsi="宋体" w:eastAsia="宋体" w:cs="宋体"/>
                <w:sz w:val="18"/>
                <w:szCs w:val="18"/>
              </w:rPr>
              <w:t>。</w:t>
            </w:r>
          </w:p>
          <w:p>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cs="宋体"/>
                <w:sz w:val="18"/>
                <w:szCs w:val="22"/>
              </w:rPr>
              <w:t>。</w:t>
            </w:r>
          </w:p>
          <w:p>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sz w:val="18"/>
                <w:szCs w:val="18"/>
              </w:rPr>
              <w:t>【</w:t>
            </w:r>
            <w:r>
              <w:rPr>
                <w:rFonts w:hint="eastAsia" w:ascii="宋体" w:hAnsi="宋体" w:cs="Times New Roman"/>
                <w:sz w:val="18"/>
                <w:szCs w:val="18"/>
                <w:lang w:val="en-US" w:eastAsia="zh-CN"/>
              </w:rPr>
              <w:t>2026年03月19日</w:t>
            </w:r>
            <w:r>
              <w:rPr>
                <w:rFonts w:hint="eastAsia" w:ascii="宋体" w:hAnsi="宋体" w:cs="Times New Roman"/>
                <w:sz w:val="18"/>
                <w:szCs w:val="18"/>
              </w:rPr>
              <w:t>】（遇节假日顺延）</w:t>
            </w:r>
            <w:r>
              <w:rPr>
                <w:rFonts w:hint="eastAsia" w:ascii="宋体" w:hAnsi="宋体" w:cs="宋体"/>
                <w:bCs/>
                <w:sz w:val="18"/>
                <w:szCs w:val="18"/>
              </w:rPr>
              <w:t>。</w:t>
            </w:r>
          </w:p>
          <w:p>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sz w:val="18"/>
                <w:szCs w:val="18"/>
              </w:rPr>
              <w:t>【</w:t>
            </w:r>
            <w:r>
              <w:rPr>
                <w:rFonts w:hint="eastAsia" w:ascii="宋体" w:hAnsi="宋体" w:cs="Times New Roman"/>
                <w:sz w:val="18"/>
                <w:szCs w:val="18"/>
                <w:lang w:val="en-US" w:eastAsia="zh-CN"/>
              </w:rPr>
              <w:t>2027年05月20日</w:t>
            </w:r>
            <w:r>
              <w:rPr>
                <w:rFonts w:hint="eastAsia" w:ascii="宋体" w:hAnsi="宋体" w:cs="Times New Roman"/>
                <w:sz w:val="18"/>
                <w:szCs w:val="18"/>
              </w:rPr>
              <w:t>】（遇节假日顺延）</w:t>
            </w:r>
            <w:r>
              <w:rPr>
                <w:rFonts w:hint="eastAsia" w:ascii="宋体" w:hAnsi="宋体" w:cs="宋体"/>
                <w:bCs/>
                <w:sz w:val="18"/>
                <w:szCs w:val="18"/>
              </w:rPr>
              <w:t>。</w:t>
            </w:r>
          </w:p>
          <w:p>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pPr>
              <w:spacing w:line="360" w:lineRule="auto"/>
              <w:rPr>
                <w:rFonts w:hint="eastAsia" w:ascii="宋体" w:hAnsi="宋体" w:eastAsia="宋体" w:cs="宋体"/>
                <w:sz w:val="18"/>
                <w:szCs w:val="18"/>
              </w:rPr>
            </w:pPr>
            <w:r>
              <w:rPr>
                <w:rFonts w:ascii="宋体" w:hAnsi="宋体" w:eastAsia="宋体" w:cs="宋体"/>
                <w:sz w:val="18"/>
                <w:szCs w:val="22"/>
              </w:rPr>
              <w:t>每笔购买起点金额为【1】元; 超出起点金额的部分以【0.01】元的整数倍递增。（适用【A】类份额)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超出起点金额的部分以【0.01】元的整数倍递增。（适用【C】类份额)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超出起点金额的部分以【0.01】元的整数倍递增。（适用【D】类份额)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超出起点金额的部分以【0.01】元的整数倍递增。（适用【F】类份额)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超出起点金额的部分以【0.01】元的整数倍递增。（适用【E】类份额)</w:t>
            </w:r>
          </w:p>
          <w:p>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widowControl w:val="0"/>
              <w:autoSpaceDE w:val="0"/>
              <w:autoSpaceDN w:val="0"/>
              <w:adjustRightInd w:val="0"/>
              <w:spacing w:line="360" w:lineRule="auto"/>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认购的数量限制</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（1）单一投资者认购上限为【/】元。（适用【A】类份额)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单一投资者认购上限为【/】元。（适用【C】类份额)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单一投资者认购上限为【/】元。（适用【D】类份额)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单一投资者认购上限为【/】元。（适用【F】类份额)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单一投资者认购上限为【/】元。（适用【E】类份额)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（2）产品存续期间，单一投资者最高持有份额上限为【/】份，符合产品管理人流动性管理的稳定资金除外。（适用【A】类份额)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产品存续期间，单一投资者最高持有份额上限为【/】份，符合产品管理人流动性管理的稳定资金除外。（适用【C】类份额)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产品存续期间，单一投资者最高持有份额上限为【/】份，符合产品管理人流动性管理的稳定资金除外。（适用【D】类份额)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产品存续期间，单一投资者最高持有份额上限为【/】份，符合产品管理人流动性管理的稳定资金除外。（适用【F】类份额)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产品存续期间，单一投资者最高持有份额上限为【/】份，符合产品管理人流动性管理的稳定资金除外。（适用【E】类份额)</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spacing w:line="360" w:lineRule="auto"/>
              <w:rPr>
                <w:rFonts w:ascii="宋体" w:hAnsi="宋体" w:eastAsia="宋体" w:cs="宋体"/>
                <w:sz w:val="18"/>
                <w:szCs w:val="18"/>
              </w:rPr>
            </w:pPr>
            <w:r>
              <w:rPr>
                <w:rFonts w:ascii="黑体" w:hAnsi="黑体" w:eastAsia="黑体" w:cs="黑体"/>
                <w:sz w:val="18"/>
                <w:szCs w:val="22"/>
              </w:rPr>
              <w:t>注：本产品单一投资者持有份额不得超过产品总份额50%。</w:t>
            </w:r>
            <w:r>
              <w:rPr>
                <w:rFonts w:ascii="黑体" w:hAnsi="黑体" w:eastAsia="黑体" w:cs="黑体"/>
                <w:sz w:val="18"/>
                <w:szCs w:val="22"/>
              </w:rPr>
              <w:br w:type="textWrapping"/>
            </w:r>
            <w:r>
              <w:rPr>
                <w:rFonts w:ascii="黑体" w:hAnsi="黑体" w:eastAsia="黑体" w:cs="黑体"/>
                <w:sz w:val="18"/>
                <w:szCs w:val="22"/>
              </w:rPr>
              <w:t>（1）投资者认购或申购确认后可能导致其持有份额超过产品总份额50%的，管理人有权拒绝或暂停认购、申购。</w:t>
            </w:r>
            <w:r>
              <w:rPr>
                <w:rFonts w:ascii="黑体" w:hAnsi="黑体" w:eastAsia="黑体" w:cs="黑体"/>
                <w:sz w:val="18"/>
                <w:szCs w:val="22"/>
              </w:rPr>
              <w:br w:type="textWrapping"/>
            </w:r>
            <w:r>
              <w:rPr>
                <w:rFonts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pPr>
              <w:spacing w:line="360" w:lineRule="auto"/>
              <w:jc w:val="left"/>
              <w:rPr>
                <w:rFonts w:ascii="宋体" w:hAnsi="宋体" w:eastAsia="宋体" w:cs="宋体"/>
                <w:bCs/>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p>
            <w:pPr>
              <w:spacing w:line="360" w:lineRule="auto"/>
              <w:jc w:val="left"/>
              <w:rPr>
                <w:rFonts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spacing w:line="360" w:lineRule="auto"/>
              <w:jc w:val="left"/>
              <w:rPr>
                <w:rFonts w:hint="eastAsia" w:ascii="Calibri" w:hAnsi="宋体" w:cs="宋体"/>
                <w:sz w:val="18"/>
                <w:szCs w:val="18"/>
              </w:rPr>
            </w:pPr>
            <w:r>
              <w:rPr>
                <w:rFonts w:ascii="宋体" w:hAnsi="宋体" w:eastAsia="宋体" w:cs="宋体"/>
                <w:sz w:val="18"/>
                <w:szCs w:val="22"/>
              </w:rPr>
              <w:t>1.业绩比较基准的设置</w:t>
            </w:r>
            <w:r>
              <w:rPr>
                <w:rFonts w:ascii="宋体" w:hAnsi="宋体" w:eastAsia="宋体" w:cs="宋体"/>
                <w:sz w:val="18"/>
                <w:szCs w:val="22"/>
              </w:rPr>
              <w:br w:type="textWrapping"/>
            </w:r>
            <w:r>
              <w:rPr>
                <w:rFonts w:ascii="宋体" w:hAnsi="宋体" w:eastAsia="宋体" w:cs="宋体"/>
                <w:sz w:val="18"/>
                <w:szCs w:val="22"/>
              </w:rPr>
              <w:t>■ 产品管理人设置业绩比较基准。</w:t>
            </w:r>
            <w:r>
              <w:rPr>
                <w:rFonts w:ascii="宋体" w:hAnsi="宋体" w:eastAsia="宋体" w:cs="宋体"/>
                <w:sz w:val="18"/>
                <w:szCs w:val="22"/>
              </w:rPr>
              <w:br w:type="textWrapping"/>
            </w:r>
            <w:r>
              <w:rPr>
                <w:rFonts w:ascii="宋体" w:hAnsi="宋体" w:eastAsia="宋体" w:cs="宋体"/>
                <w:sz w:val="18"/>
                <w:szCs w:val="22"/>
              </w:rPr>
              <w:t>（1）业绩比较基准的说明：【产品投资债权类资产不低于80%，根据当前市场环境下大类资产合理配置比例及大类资产收益情况，考虑杠杆和费率等因素，并结合产品投资策略，设定业绩比较基准。】。</w:t>
            </w:r>
            <w:r>
              <w:rPr>
                <w:rFonts w:ascii="宋体" w:hAnsi="宋体" w:eastAsia="宋体" w:cs="宋体"/>
                <w:sz w:val="18"/>
                <w:szCs w:val="22"/>
              </w:rPr>
              <w:br w:type="textWrapping"/>
            </w:r>
            <w:r>
              <w:rPr>
                <w:rFonts w:ascii="宋体" w:hAnsi="宋体" w:eastAsia="宋体" w:cs="宋体"/>
                <w:sz w:val="18"/>
                <w:szCs w:val="22"/>
              </w:rPr>
              <w:t>（2）业绩比较基准的设定：管理人对本产品设定业绩比较基准：</w:t>
            </w:r>
            <w:r>
              <w:rPr>
                <w:rFonts w:ascii="宋体" w:hAnsi="宋体" w:eastAsia="宋体" w:cs="宋体"/>
                <w:sz w:val="18"/>
                <w:szCs w:val="22"/>
              </w:rPr>
              <w:br w:type="textWrapping"/>
            </w:r>
            <w:r>
              <w:rPr>
                <w:rFonts w:ascii="宋体" w:hAnsi="宋体" w:eastAsia="宋体" w:cs="宋体"/>
                <w:sz w:val="18"/>
                <w:szCs w:val="22"/>
              </w:rPr>
              <w:t>年化【2.15%】。（适用【A】类份额)</w:t>
            </w:r>
            <w:r>
              <w:rPr>
                <w:rFonts w:ascii="宋体" w:hAnsi="宋体" w:eastAsia="宋体" w:cs="宋体"/>
                <w:sz w:val="18"/>
                <w:szCs w:val="22"/>
              </w:rPr>
              <w:br w:type="textWrapping"/>
            </w:r>
            <w:r>
              <w:rPr>
                <w:rFonts w:ascii="宋体" w:hAnsi="宋体" w:eastAsia="宋体" w:cs="宋体"/>
                <w:sz w:val="18"/>
                <w:szCs w:val="22"/>
              </w:rPr>
              <w:t>年化【2.16%】。（适用【C】类份额)</w:t>
            </w:r>
            <w:r>
              <w:rPr>
                <w:rFonts w:ascii="宋体" w:hAnsi="宋体" w:eastAsia="宋体" w:cs="宋体"/>
                <w:sz w:val="18"/>
                <w:szCs w:val="22"/>
              </w:rPr>
              <w:br w:type="textWrapping"/>
            </w:r>
            <w:r>
              <w:rPr>
                <w:rFonts w:ascii="宋体" w:hAnsi="宋体" w:eastAsia="宋体" w:cs="宋体"/>
                <w:sz w:val="18"/>
                <w:szCs w:val="22"/>
              </w:rPr>
              <w:t>年化【2.11%】。（适用【D】类份额)</w:t>
            </w:r>
            <w:r>
              <w:rPr>
                <w:rFonts w:ascii="宋体" w:hAnsi="宋体" w:eastAsia="宋体" w:cs="宋体"/>
                <w:sz w:val="18"/>
                <w:szCs w:val="22"/>
              </w:rPr>
              <w:br w:type="textWrapping"/>
            </w:r>
            <w:r>
              <w:rPr>
                <w:rFonts w:ascii="宋体" w:hAnsi="宋体" w:eastAsia="宋体" w:cs="宋体"/>
                <w:sz w:val="18"/>
                <w:szCs w:val="22"/>
              </w:rPr>
              <w:t>年化【2.01%】。（适用【F】类份额)</w:t>
            </w:r>
            <w:r>
              <w:rPr>
                <w:rFonts w:ascii="宋体" w:hAnsi="宋体" w:eastAsia="宋体" w:cs="宋体"/>
                <w:sz w:val="18"/>
                <w:szCs w:val="22"/>
              </w:rPr>
              <w:br w:type="textWrapping"/>
            </w:r>
            <w:r>
              <w:rPr>
                <w:rFonts w:ascii="宋体" w:hAnsi="宋体" w:eastAsia="宋体" w:cs="宋体"/>
                <w:sz w:val="18"/>
                <w:szCs w:val="22"/>
              </w:rPr>
              <w:t>年化【2.06%】。（适用【E】类份额)</w:t>
            </w:r>
            <w:r>
              <w:rPr>
                <w:rFonts w:ascii="宋体" w:hAnsi="宋体" w:eastAsia="宋体" w:cs="宋体"/>
                <w:sz w:val="18"/>
                <w:szCs w:val="22"/>
              </w:rPr>
              <w:br w:type="textWrapping"/>
            </w:r>
            <w:r>
              <w:rPr>
                <w:rFonts w:ascii="宋体" w:hAnsi="宋体" w:eastAsia="宋体" w:cs="宋体"/>
                <w:sz w:val="18"/>
                <w:szCs w:val="22"/>
              </w:rPr>
              <w:t>□ 产品管理人不设置业绩比较基准。</w:t>
            </w:r>
          </w:p>
          <w:p>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pPr>
              <w:spacing w:line="360" w:lineRule="auto"/>
              <w:jc w:val="left"/>
              <w:rPr>
                <w:rFonts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pPr>
              <w:spacing w:line="360" w:lineRule="auto"/>
              <w:jc w:val="left"/>
              <w:rPr>
                <w:rFonts w:hint="eastAsia" w:ascii="Calibri" w:hAnsi="宋体" w:cs="宋体"/>
                <w:bCs/>
                <w:sz w:val="18"/>
                <w:szCs w:val="18"/>
              </w:rPr>
            </w:pPr>
            <w:r>
              <w:rPr>
                <w:rFonts w:ascii="宋体" w:hAnsi="宋体" w:eastAsia="宋体" w:cs="宋体"/>
                <w:sz w:val="18"/>
                <w:szCs w:val="22"/>
              </w:rPr>
              <w:t>1.业绩报酬计提基准的设置</w:t>
            </w:r>
            <w:r>
              <w:rPr>
                <w:rFonts w:ascii="宋体" w:hAnsi="宋体" w:eastAsia="宋体" w:cs="宋体"/>
                <w:sz w:val="18"/>
                <w:szCs w:val="22"/>
              </w:rPr>
              <w:br w:type="textWrapping"/>
            </w:r>
            <w:r>
              <w:rPr>
                <w:rFonts w:ascii="宋体" w:hAnsi="宋体" w:eastAsia="宋体" w:cs="宋体"/>
                <w:sz w:val="18"/>
                <w:szCs w:val="22"/>
              </w:rPr>
              <w:t>■ 产品管理人设置业绩报酬计提基准。</w:t>
            </w:r>
            <w:r>
              <w:rPr>
                <w:rFonts w:ascii="宋体" w:hAnsi="宋体" w:eastAsia="宋体" w:cs="宋体"/>
                <w:sz w:val="18"/>
                <w:szCs w:val="22"/>
              </w:rPr>
              <w:br w:type="textWrapping"/>
            </w:r>
            <w:r>
              <w:rPr>
                <w:rFonts w:ascii="宋体" w:hAnsi="宋体" w:eastAsia="宋体" w:cs="宋体"/>
                <w:sz w:val="18"/>
                <w:szCs w:val="22"/>
              </w:rPr>
              <w:t>业绩报酬计提基准的设定：管理人对本产品设定业绩报酬计提基准：</w:t>
            </w:r>
            <w:r>
              <w:rPr>
                <w:rFonts w:ascii="宋体" w:hAnsi="宋体" w:eastAsia="宋体" w:cs="宋体"/>
                <w:sz w:val="18"/>
                <w:szCs w:val="22"/>
              </w:rPr>
              <w:br w:type="textWrapping"/>
            </w:r>
            <w:r>
              <w:rPr>
                <w:rFonts w:ascii="宋体" w:hAnsi="宋体" w:eastAsia="宋体" w:cs="宋体"/>
                <w:sz w:val="18"/>
                <w:szCs w:val="22"/>
              </w:rPr>
              <w:t>年化【2.15%】。（适用【A】类份额)</w:t>
            </w:r>
            <w:r>
              <w:rPr>
                <w:rFonts w:ascii="宋体" w:hAnsi="宋体" w:eastAsia="宋体" w:cs="宋体"/>
                <w:sz w:val="18"/>
                <w:szCs w:val="22"/>
              </w:rPr>
              <w:br w:type="textWrapping"/>
            </w:r>
            <w:r>
              <w:rPr>
                <w:rFonts w:ascii="宋体" w:hAnsi="宋体" w:eastAsia="宋体" w:cs="宋体"/>
                <w:sz w:val="18"/>
                <w:szCs w:val="22"/>
              </w:rPr>
              <w:t>年化【2.16%】。（适用【C】类份额)</w:t>
            </w:r>
            <w:r>
              <w:rPr>
                <w:rFonts w:ascii="宋体" w:hAnsi="宋体" w:eastAsia="宋体" w:cs="宋体"/>
                <w:sz w:val="18"/>
                <w:szCs w:val="22"/>
              </w:rPr>
              <w:br w:type="textWrapping"/>
            </w:r>
            <w:r>
              <w:rPr>
                <w:rFonts w:ascii="宋体" w:hAnsi="宋体" w:eastAsia="宋体" w:cs="宋体"/>
                <w:sz w:val="18"/>
                <w:szCs w:val="22"/>
              </w:rPr>
              <w:t>年化【2.11%】。（适用【D】类份额)</w:t>
            </w:r>
            <w:r>
              <w:rPr>
                <w:rFonts w:ascii="宋体" w:hAnsi="宋体" w:eastAsia="宋体" w:cs="宋体"/>
                <w:sz w:val="18"/>
                <w:szCs w:val="22"/>
              </w:rPr>
              <w:br w:type="textWrapping"/>
            </w:r>
            <w:r>
              <w:rPr>
                <w:rFonts w:ascii="宋体" w:hAnsi="宋体" w:eastAsia="宋体" w:cs="宋体"/>
                <w:sz w:val="18"/>
                <w:szCs w:val="22"/>
              </w:rPr>
              <w:t>年化【2.01%】。（适用【F】类份额)</w:t>
            </w:r>
            <w:r>
              <w:rPr>
                <w:rFonts w:ascii="宋体" w:hAnsi="宋体" w:eastAsia="宋体" w:cs="宋体"/>
                <w:sz w:val="18"/>
                <w:szCs w:val="22"/>
              </w:rPr>
              <w:br w:type="textWrapping"/>
            </w:r>
            <w:r>
              <w:rPr>
                <w:rFonts w:ascii="宋体" w:hAnsi="宋体" w:eastAsia="宋体" w:cs="宋体"/>
                <w:sz w:val="18"/>
                <w:szCs w:val="22"/>
              </w:rPr>
              <w:t>年化【2.06%】。（适用【E】类份额)</w:t>
            </w:r>
            <w:r>
              <w:rPr>
                <w:rFonts w:ascii="宋体" w:hAnsi="宋体" w:eastAsia="宋体" w:cs="宋体"/>
                <w:sz w:val="18"/>
                <w:szCs w:val="22"/>
              </w:rPr>
              <w:br w:type="textWrapping"/>
            </w:r>
            <w:r>
              <w:rPr>
                <w:rFonts w:ascii="宋体" w:hAnsi="宋体" w:eastAsia="宋体" w:cs="宋体"/>
                <w:sz w:val="18"/>
                <w:szCs w:val="22"/>
              </w:rPr>
              <w:t>□ 产品管理人不设置业绩报酬计提基准。</w:t>
            </w:r>
          </w:p>
          <w:p>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spacing w:line="360" w:lineRule="auto"/>
              <w:rPr>
                <w:rFonts w:hint="eastAsia" w:ascii="宋体" w:hAnsi="宋体" w:eastAsia="宋体" w:cs="宋体"/>
                <w:bCs/>
                <w:color w:val="000000"/>
                <w:sz w:val="18"/>
                <w:szCs w:val="18"/>
              </w:rPr>
            </w:pPr>
            <w:r>
              <w:rPr>
                <w:rFonts w:ascii="黑体" w:hAnsi="黑体" w:eastAsia="黑体" w:cs="黑体"/>
                <w:sz w:val="18"/>
                <w:szCs w:val="22"/>
              </w:rPr>
              <w:t>1.理财产品的费率标准</w:t>
            </w:r>
            <w:r>
              <w:rPr>
                <w:rFonts w:ascii="黑体" w:hAnsi="黑体" w:eastAsia="黑体" w:cs="黑体"/>
                <w:sz w:val="18"/>
                <w:szCs w:val="22"/>
              </w:rPr>
              <w:br w:type="textWrapping"/>
            </w:r>
            <w:r>
              <w:rPr>
                <w:rFonts w:ascii="黑体" w:hAnsi="黑体" w:eastAsia="黑体" w:cs="黑体"/>
                <w:sz w:val="18"/>
                <w:szCs w:val="22"/>
              </w:rPr>
              <w:t>（1）认购费：</w:t>
            </w:r>
            <w:r>
              <w:rPr>
                <w:rFonts w:ascii="黑体" w:hAnsi="黑体" w:eastAsia="黑体" w:cs="黑体"/>
                <w:sz w:val="18"/>
                <w:szCs w:val="22"/>
              </w:rPr>
              <w:br w:type="textWrapping"/>
            </w:r>
            <w:r>
              <w:rPr>
                <w:rFonts w:ascii="黑体" w:hAnsi="黑体" w:eastAsia="黑体" w:cs="黑体"/>
                <w:sz w:val="18"/>
                <w:szCs w:val="22"/>
              </w:rPr>
              <w:t>【/】。（适用【A】类份额）</w:t>
            </w:r>
            <w:r>
              <w:rPr>
                <w:rFonts w:ascii="黑体" w:hAnsi="黑体" w:eastAsia="黑体" w:cs="黑体"/>
                <w:sz w:val="18"/>
                <w:szCs w:val="22"/>
              </w:rPr>
              <w:br w:type="textWrapping"/>
            </w:r>
            <w:r>
              <w:rPr>
                <w:rFonts w:ascii="黑体" w:hAnsi="黑体" w:eastAsia="黑体" w:cs="黑体"/>
                <w:sz w:val="18"/>
                <w:szCs w:val="22"/>
              </w:rPr>
              <w:t>【/】。（适用【C】类份额）</w:t>
            </w:r>
            <w:r>
              <w:rPr>
                <w:rFonts w:ascii="黑体" w:hAnsi="黑体" w:eastAsia="黑体" w:cs="黑体"/>
                <w:sz w:val="18"/>
                <w:szCs w:val="22"/>
              </w:rPr>
              <w:br w:type="textWrapping"/>
            </w:r>
            <w:r>
              <w:rPr>
                <w:rFonts w:ascii="黑体" w:hAnsi="黑体" w:eastAsia="黑体" w:cs="黑体"/>
                <w:sz w:val="18"/>
                <w:szCs w:val="22"/>
              </w:rPr>
              <w:t>【/】。（适用【D】类份额）</w:t>
            </w:r>
            <w:r>
              <w:rPr>
                <w:rFonts w:ascii="黑体" w:hAnsi="黑体" w:eastAsia="黑体" w:cs="黑体"/>
                <w:sz w:val="18"/>
                <w:szCs w:val="22"/>
              </w:rPr>
              <w:br w:type="textWrapping"/>
            </w:r>
            <w:r>
              <w:rPr>
                <w:rFonts w:ascii="黑体" w:hAnsi="黑体" w:eastAsia="黑体" w:cs="黑体"/>
                <w:sz w:val="18"/>
                <w:szCs w:val="22"/>
              </w:rPr>
              <w:t>【/】。（适用【F】类份额）</w:t>
            </w:r>
            <w:r>
              <w:rPr>
                <w:rFonts w:ascii="黑体" w:hAnsi="黑体" w:eastAsia="黑体" w:cs="黑体"/>
                <w:sz w:val="18"/>
                <w:szCs w:val="22"/>
              </w:rPr>
              <w:br w:type="textWrapping"/>
            </w:r>
            <w:r>
              <w:rPr>
                <w:rFonts w:ascii="黑体" w:hAnsi="黑体" w:eastAsia="黑体" w:cs="黑体"/>
                <w:sz w:val="18"/>
                <w:szCs w:val="22"/>
              </w:rPr>
              <w:t>【/】。（适用【E】类份额）</w:t>
            </w:r>
            <w:r>
              <w:rPr>
                <w:rFonts w:ascii="黑体" w:hAnsi="黑体" w:eastAsia="黑体" w:cs="黑体"/>
                <w:sz w:val="18"/>
                <w:szCs w:val="22"/>
              </w:rPr>
              <w:br w:type="textWrapping"/>
            </w:r>
            <w:r>
              <w:rPr>
                <w:rFonts w:ascii="黑体" w:hAnsi="黑体" w:eastAsia="黑体" w:cs="黑体"/>
                <w:sz w:val="18"/>
                <w:szCs w:val="22"/>
              </w:rPr>
              <w:t>（2）销售服务费：</w:t>
            </w:r>
            <w:r>
              <w:rPr>
                <w:rFonts w:ascii="黑体" w:hAnsi="黑体" w:eastAsia="黑体" w:cs="黑体"/>
                <w:sz w:val="18"/>
                <w:szCs w:val="22"/>
              </w:rPr>
              <w:br w:type="textWrapping"/>
            </w:r>
            <w:r>
              <w:rPr>
                <w:rFonts w:ascii="黑体" w:hAnsi="黑体" w:eastAsia="黑体" w:cs="黑体"/>
                <w:sz w:val="18"/>
                <w:szCs w:val="22"/>
              </w:rPr>
              <w:t>年化费率【0.06%】。（适用【A】类份额）</w:t>
            </w:r>
            <w:r>
              <w:rPr>
                <w:rFonts w:ascii="黑体" w:hAnsi="黑体" w:eastAsia="黑体" w:cs="黑体"/>
                <w:sz w:val="18"/>
                <w:szCs w:val="22"/>
              </w:rPr>
              <w:br w:type="textWrapping"/>
            </w:r>
            <w:r>
              <w:rPr>
                <w:rFonts w:ascii="黑体" w:hAnsi="黑体" w:eastAsia="黑体" w:cs="黑体"/>
                <w:sz w:val="18"/>
                <w:szCs w:val="22"/>
              </w:rPr>
              <w:t>年化费率【0.05%】。（适用【C】类份额）</w:t>
            </w:r>
            <w:r>
              <w:rPr>
                <w:rFonts w:ascii="黑体" w:hAnsi="黑体" w:eastAsia="黑体" w:cs="黑体"/>
                <w:sz w:val="18"/>
                <w:szCs w:val="22"/>
              </w:rPr>
              <w:br w:type="textWrapping"/>
            </w:r>
            <w:r>
              <w:rPr>
                <w:rFonts w:ascii="黑体" w:hAnsi="黑体" w:eastAsia="黑体" w:cs="黑体"/>
                <w:sz w:val="18"/>
                <w:szCs w:val="22"/>
              </w:rPr>
              <w:t>年化费率【0.1%】。（适用【D】类份额）</w:t>
            </w:r>
            <w:r>
              <w:rPr>
                <w:rFonts w:ascii="黑体" w:hAnsi="黑体" w:eastAsia="黑体" w:cs="黑体"/>
                <w:sz w:val="18"/>
                <w:szCs w:val="22"/>
              </w:rPr>
              <w:br w:type="textWrapping"/>
            </w:r>
            <w:r>
              <w:rPr>
                <w:rFonts w:ascii="黑体" w:hAnsi="黑体" w:eastAsia="黑体" w:cs="黑体"/>
                <w:sz w:val="18"/>
                <w:szCs w:val="22"/>
              </w:rPr>
              <w:t>年化费率【0.2%】。（适用【F】类份额）</w:t>
            </w:r>
            <w:r>
              <w:rPr>
                <w:rFonts w:ascii="黑体" w:hAnsi="黑体" w:eastAsia="黑体" w:cs="黑体"/>
                <w:sz w:val="18"/>
                <w:szCs w:val="22"/>
              </w:rPr>
              <w:br w:type="textWrapping"/>
            </w:r>
            <w:r>
              <w:rPr>
                <w:rFonts w:ascii="黑体" w:hAnsi="黑体" w:eastAsia="黑体" w:cs="黑体"/>
                <w:sz w:val="18"/>
                <w:szCs w:val="22"/>
              </w:rPr>
              <w:t>年化费率【0.15%】。（适用【E】类份额）</w:t>
            </w:r>
            <w:r>
              <w:rPr>
                <w:rFonts w:ascii="黑体" w:hAnsi="黑体" w:eastAsia="黑体" w:cs="黑体"/>
                <w:sz w:val="18"/>
                <w:szCs w:val="22"/>
              </w:rPr>
              <w:br w:type="textWrapping"/>
            </w:r>
            <w:r>
              <w:rPr>
                <w:rFonts w:ascii="黑体" w:hAnsi="黑体" w:eastAsia="黑体" w:cs="黑体"/>
                <w:sz w:val="18"/>
                <w:szCs w:val="22"/>
              </w:rPr>
              <w:t>（3）投资管理费：年化费率【0.01%】</w:t>
            </w:r>
            <w:r>
              <w:rPr>
                <w:rFonts w:ascii="黑体" w:hAnsi="黑体" w:eastAsia="黑体" w:cs="黑体"/>
                <w:sz w:val="18"/>
                <w:szCs w:val="22"/>
              </w:rPr>
              <w:br w:type="textWrapping"/>
            </w:r>
            <w:r>
              <w:rPr>
                <w:rFonts w:ascii="黑体" w:hAnsi="黑体" w:eastAsia="黑体" w:cs="黑体"/>
                <w:sz w:val="18"/>
                <w:szCs w:val="22"/>
              </w:rPr>
              <w:t>（4）产品托管费：年化费率【0.01%】</w:t>
            </w:r>
            <w:r>
              <w:rPr>
                <w:rFonts w:ascii="黑体" w:hAnsi="黑体" w:eastAsia="黑体" w:cs="黑体"/>
                <w:sz w:val="18"/>
                <w:szCs w:val="22"/>
              </w:rPr>
              <w:br w:type="textWrapping"/>
            </w:r>
            <w:r>
              <w:rPr>
                <w:rFonts w:ascii="黑体" w:hAnsi="黑体" w:eastAsia="黑体" w:cs="黑体"/>
                <w:sz w:val="18"/>
                <w:szCs w:val="22"/>
              </w:rPr>
              <w:t>（5）超额业绩报酬：</w:t>
            </w:r>
            <w:r>
              <w:rPr>
                <w:rFonts w:ascii="黑体" w:hAnsi="黑体" w:eastAsia="黑体" w:cs="黑体"/>
                <w:sz w:val="18"/>
                <w:szCs w:val="22"/>
              </w:rPr>
              <w:br w:type="textWrapping"/>
            </w:r>
            <w:r>
              <w:rPr>
                <w:rFonts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spacing w:line="360" w:lineRule="auto"/>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spacing w:line="360" w:lineRule="auto"/>
              <w:rPr>
                <w:rFonts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投资者认购资金实际扣划至管理人募集账户后，认购资金在认购期/募集期内产生的利息（如有）归投资者所有；投资者认购资金实际扣划至管理人募集账户前的计息规则，具体以销售机构实际情况为准。</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16265"/>
      <w:bookmarkStart w:id="78" w:name="_Toc27189"/>
      <w:bookmarkStart w:id="79" w:name="_Toc79154668"/>
      <w:bookmarkStart w:id="80" w:name="_Toc90742688"/>
      <w:bookmarkStart w:id="81" w:name="_Toc90742321"/>
      <w:bookmarkStart w:id="82" w:name="_Toc7151"/>
      <w:bookmarkStart w:id="83" w:name="_Toc29948"/>
      <w:bookmarkStart w:id="84" w:name="_Toc22074"/>
      <w:bookmarkStart w:id="85" w:name="_Toc27226"/>
      <w:bookmarkStart w:id="86" w:name="_Toc29784"/>
      <w:bookmarkStart w:id="87" w:name="_Toc15203"/>
      <w:bookmarkStart w:id="88" w:name="_Toc6714"/>
      <w:bookmarkStart w:id="89" w:name="_Toc90742390"/>
      <w:bookmarkStart w:id="90" w:name="_Toc74065741"/>
      <w:bookmarkStart w:id="91" w:name="_Toc32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ascii="宋体" w:hAnsi="宋体" w:eastAsia="宋体" w:cs="宋体"/>
          <w:sz w:val="18"/>
          <w:szCs w:val="22"/>
        </w:rPr>
        <w:t>（1）银行存款、债券逆回购、货币基金等货币市场工具及其它银行间和交易所资金融通工具；</w:t>
      </w:r>
      <w:r>
        <w:rPr>
          <w:rFonts w:ascii="宋体" w:hAnsi="宋体" w:eastAsia="宋体" w:cs="宋体"/>
          <w:sz w:val="18"/>
          <w:szCs w:val="22"/>
        </w:rPr>
        <w:br w:type="textWrapping"/>
      </w:r>
      <w:r>
        <w:rPr>
          <w:rFonts w:ascii="宋体" w:hAnsi="宋体" w:eastAsia="宋体" w:cs="宋体"/>
          <w:sz w:val="18"/>
          <w:szCs w:val="22"/>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r>
        <w:rPr>
          <w:rFonts w:ascii="宋体" w:hAnsi="宋体" w:eastAsia="宋体" w:cs="宋体"/>
          <w:sz w:val="18"/>
          <w:szCs w:val="22"/>
        </w:rPr>
        <w:br w:type="textWrapping"/>
      </w:r>
      <w:r>
        <w:rPr>
          <w:rFonts w:ascii="宋体" w:hAnsi="宋体" w:eastAsia="宋体" w:cs="宋体"/>
          <w:sz w:val="18"/>
          <w:szCs w:val="22"/>
        </w:rPr>
        <w:t>（3）符合监管要求的债权类资产；</w:t>
      </w:r>
      <w:r>
        <w:rPr>
          <w:rFonts w:ascii="宋体" w:hAnsi="宋体" w:eastAsia="宋体" w:cs="宋体"/>
          <w:sz w:val="18"/>
          <w:szCs w:val="22"/>
        </w:rPr>
        <w:br w:type="textWrapping"/>
      </w:r>
      <w:r>
        <w:rPr>
          <w:rFonts w:ascii="宋体" w:hAnsi="宋体" w:eastAsia="宋体" w:cs="宋体"/>
          <w:sz w:val="18"/>
          <w:szCs w:val="22"/>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szCs w:val="22"/>
        </w:rPr>
        <w:br w:type="textWrapping"/>
      </w:r>
      <w:r>
        <w:rPr>
          <w:rFonts w:ascii="宋体" w:hAnsi="宋体" w:eastAsia="宋体" w:cs="宋体"/>
          <w:sz w:val="18"/>
          <w:szCs w:val="22"/>
        </w:rPr>
        <w:t>（5）其他风险不高于前述资产的资产。</w:t>
      </w:r>
      <w:r>
        <w:rPr>
          <w:rFonts w:ascii="宋体" w:hAnsi="宋体" w:eastAsia="宋体" w:cs="宋体"/>
          <w:sz w:val="18"/>
          <w:szCs w:val="22"/>
        </w:rPr>
        <w:br w:type="textWrapping"/>
      </w: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ascii="宋体" w:hAnsi="宋体" w:eastAsia="宋体" w:cs="宋体"/>
          <w:sz w:val="18"/>
          <w:szCs w:val="22"/>
        </w:rPr>
        <w:t>（1）本产品投资于债权类资产的比例不低于产品总资产的80%。</w:t>
      </w:r>
      <w:r>
        <w:rPr>
          <w:rFonts w:ascii="宋体" w:hAnsi="宋体" w:eastAsia="宋体" w:cs="宋体"/>
          <w:sz w:val="18"/>
          <w:szCs w:val="22"/>
        </w:rPr>
        <w:br w:type="textWrapping"/>
      </w:r>
      <w:r>
        <w:rPr>
          <w:rFonts w:ascii="宋体" w:hAnsi="宋体" w:eastAsia="宋体" w:cs="宋体"/>
          <w:sz w:val="18"/>
          <w:szCs w:val="22"/>
        </w:rPr>
        <w:t>（2）符合监管要求的非标准化债权类资产低于产品净资产的50%。</w:t>
      </w:r>
      <w:r>
        <w:rPr>
          <w:rFonts w:ascii="宋体" w:hAnsi="宋体" w:eastAsia="宋体" w:cs="宋体"/>
          <w:sz w:val="18"/>
          <w:szCs w:val="22"/>
        </w:rPr>
        <w:br w:type="textWrapping"/>
      </w:r>
      <w:r>
        <w:rPr>
          <w:rFonts w:hint="eastAsia" w:ascii="宋体" w:hAnsi="宋体" w:cs="宋体"/>
          <w:sz w:val="18"/>
          <w:szCs w:val="22"/>
          <w:lang w:val="en-US" w:eastAsia="zh-CN"/>
        </w:rPr>
        <w:tab/>
      </w: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hint="eastAsia" w:ascii="宋体" w:hAnsi="宋体" w:eastAsia="宋体" w:cs="宋体"/>
          <w:b/>
          <w:bCs w:val="0"/>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（6）本产品投资于信用债券、银行存款、非标准化债权类资产融资人的信用评级均不得低于AA+。</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【产品采取绝对收益策略，追求资产长期稳定增值。】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8329"/>
      <w:bookmarkStart w:id="94" w:name="_Toc7848"/>
      <w:bookmarkStart w:id="95" w:name="_Toc1823"/>
      <w:bookmarkStart w:id="96" w:name="_Toc79154669"/>
      <w:bookmarkStart w:id="97" w:name="_Toc18797"/>
      <w:bookmarkStart w:id="98" w:name="_Toc18526"/>
      <w:bookmarkStart w:id="99" w:name="_Toc21988"/>
      <w:bookmarkStart w:id="100" w:name="_Toc17912"/>
      <w:bookmarkStart w:id="101" w:name="_Toc14893"/>
      <w:bookmarkStart w:id="102" w:name="_Toc74065742"/>
      <w:bookmarkStart w:id="103" w:name="_Toc139991735"/>
      <w:bookmarkStart w:id="104" w:name="_Toc176189758"/>
      <w:bookmarkStart w:id="105" w:name="_Toc4741"/>
      <w:bookmarkStart w:id="106" w:name="_Toc26986"/>
      <w:bookmarkStart w:id="107" w:name="_Toc141703885"/>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23822"/>
      <w:bookmarkStart w:id="110" w:name="_Toc7920"/>
      <w:bookmarkStart w:id="111" w:name="_Toc123102453"/>
      <w:bookmarkStart w:id="112" w:name="_Toc10463"/>
      <w:bookmarkStart w:id="113" w:name="_Toc23261"/>
      <w:bookmarkStart w:id="114" w:name="_Toc1270"/>
      <w:bookmarkStart w:id="115" w:name="_Toc98560352"/>
      <w:bookmarkStart w:id="116" w:name="_Toc20733"/>
      <w:bookmarkStart w:id="117" w:name="_Toc176189759"/>
      <w:bookmarkStart w:id="118" w:name="_Toc17244"/>
      <w:bookmarkStart w:id="119" w:name="_Toc141703886"/>
      <w:bookmarkStart w:id="120" w:name="_Toc139991736"/>
      <w:bookmarkStart w:id="121" w:name="_Toc74065743"/>
      <w:bookmarkStart w:id="122" w:name="_Toc79154670"/>
      <w:bookmarkStart w:id="123" w:name="_Toc123112234"/>
      <w:bookmarkStart w:id="124" w:name="_Toc610"/>
      <w:bookmarkStart w:id="125" w:name="_Toc48649707"/>
      <w:bookmarkStart w:id="126" w:name="_Toc123051452"/>
      <w:bookmarkStart w:id="127" w:name="_Toc1427"/>
      <w:bookmarkStart w:id="128" w:name="_Toc79392606"/>
      <w:bookmarkStart w:id="129" w:name="_Toc4003"/>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3601"/>
      <w:bookmarkStart w:id="132" w:name="_Toc141703887"/>
      <w:bookmarkStart w:id="133" w:name="_Toc123112235"/>
      <w:bookmarkStart w:id="134" w:name="_Toc79154671"/>
      <w:bookmarkStart w:id="135" w:name="_Toc123102454"/>
      <w:bookmarkStart w:id="136" w:name="_Toc14835"/>
      <w:bookmarkStart w:id="137" w:name="_Toc26207"/>
      <w:bookmarkStart w:id="138" w:name="_Toc98560353"/>
      <w:bookmarkStart w:id="139" w:name="_Toc123051453"/>
      <w:bookmarkStart w:id="140" w:name="_Toc12245"/>
      <w:bookmarkStart w:id="141" w:name="_Toc176189760"/>
      <w:bookmarkStart w:id="142" w:name="_Toc31644"/>
      <w:bookmarkStart w:id="143" w:name="_Toc6405"/>
      <w:bookmarkStart w:id="144" w:name="_Toc139991737"/>
      <w:bookmarkStart w:id="145" w:name="_Toc31653"/>
      <w:bookmarkStart w:id="146" w:name="_Toc29251"/>
      <w:bookmarkStart w:id="147" w:name="_Toc31235"/>
      <w:bookmarkStart w:id="148" w:name="_Toc15143"/>
      <w:bookmarkStart w:id="149" w:name="_Toc74065744"/>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7530239"/>
      <w:bookmarkStart w:id="152" w:name="_Toc15118234"/>
      <w:bookmarkStart w:id="153" w:name="_Toc79392580"/>
      <w:bookmarkStart w:id="154" w:name="_Toc523711668"/>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4559"/>
      <w:bookmarkStart w:id="158" w:name="_Toc123112236"/>
      <w:bookmarkStart w:id="159" w:name="_Toc79392583"/>
      <w:bookmarkStart w:id="160" w:name="_Toc25783"/>
      <w:bookmarkStart w:id="161" w:name="_Toc6447"/>
      <w:bookmarkStart w:id="162" w:name="_Toc98560354"/>
      <w:bookmarkStart w:id="163" w:name="_Toc18567"/>
      <w:bookmarkStart w:id="164" w:name="_Toc123102455"/>
      <w:bookmarkStart w:id="165" w:name="_Toc139991738"/>
      <w:bookmarkStart w:id="166" w:name="_Toc9706"/>
      <w:bookmarkStart w:id="167" w:name="_Toc123051454"/>
      <w:bookmarkStart w:id="168" w:name="_Toc10650"/>
      <w:bookmarkStart w:id="169" w:name="_Toc3771"/>
      <w:bookmarkStart w:id="170" w:name="_Toc11030"/>
      <w:bookmarkStart w:id="171" w:name="_Toc74065745"/>
      <w:bookmarkStart w:id="172" w:name="_Toc79154672"/>
      <w:bookmarkStart w:id="173" w:name="_Toc7058"/>
      <w:bookmarkStart w:id="174" w:name="_Toc3321"/>
      <w:bookmarkStart w:id="175" w:name="_Toc176189761"/>
      <w:bookmarkStart w:id="176" w:name="_Toc141703888"/>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ascii="宋体" w:hAnsi="宋体" w:eastAsia="宋体" w:cs="宋体"/>
          <w:color w:val="000000"/>
          <w:sz w:val="18"/>
          <w:szCs w:val="24"/>
          <w:lang w:val="en-US" w:eastAsia="zh-CN" w:bidi="ar-SA"/>
        </w:rPr>
        <w:t>本产品的销售服务费于产品成立日一次性计提，每日摊销。销售服务费的计算方法如下：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H＝E×销售服务费年费率×产品期限总天数÷365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H为应计提的产品销售服务费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E为产品成立日的产品总份额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w:t>
      </w:r>
      <w:r>
        <w:rPr>
          <w:rFonts w:ascii="宋体" w:hAnsi="宋体" w:eastAsia="宋体" w:cs="宋体"/>
          <w:b/>
          <w:bCs/>
          <w:color w:val="000000"/>
          <w:sz w:val="18"/>
          <w:szCs w:val="24"/>
          <w:lang w:val="en-US" w:eastAsia="zh-CN" w:bidi="ar-SA"/>
        </w:rPr>
        <w:t xml:space="preserve"> 注：</w:t>
      </w:r>
      <w:r>
        <w:rPr>
          <w:rFonts w:ascii="宋体" w:hAnsi="宋体" w:eastAsia="宋体" w:cs="宋体"/>
          <w:b/>
          <w:bCs/>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1）H对应的销售服务主要集中于产品认购募集期间。</w:t>
      </w:r>
      <w:r>
        <w:rPr>
          <w:rFonts w:ascii="宋体" w:hAnsi="宋体" w:eastAsia="宋体" w:cs="宋体"/>
          <w:b/>
          <w:bCs/>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2）如本产品发生提前终止，则产品管理人根据实际产品期限天数/实际份额计算销售服务费，多收取的销售服务费退还至理财产品资产。</w:t>
      </w:r>
      <w:r>
        <w:rPr>
          <w:rFonts w:ascii="宋体" w:hAnsi="宋体" w:eastAsia="宋体" w:cs="宋体"/>
          <w:color w:val="000000"/>
          <w:sz w:val="18"/>
          <w:szCs w:val="24"/>
          <w:lang w:val="en-US" w:eastAsia="zh-CN" w:bidi="ar-SA"/>
        </w:rPr>
        <w:t xml:space="preserve"> </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业绩报酬计提基准的设置、超额业绩报酬的具体比例数值以《产品说明书》“第二条 理财产品基本情况”为准。</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1）收取超额业绩报酬的原则：</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①按投资者每份产品份额分别计算年化收益率并计提超额业绩报酬；</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③在产品终止日提取超额业绩报酬的，超额业绩报酬从清算资金中扣除；</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2）超额业绩报酬计提方法</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①超额业绩报酬计提起始日</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每份产品份额超额业绩报酬计提起始日为：募集期内认购的产品份额，以产品成立日为该份产品份额超额业绩报酬计提起始日。</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②超额业绩报酬计提日</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每份产品份额超额业绩报酬每日计提，产品终止日（不含部分终止日）结算。</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③超额业绩报酬的计算</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产品管理人对每份份额当前年化收益率（R）超过当前业绩报酬计提基准的部分，按比例（N）以及产品份额持有天数（D）提取超额业绩报酬，计算方法如下：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当R≤当前业绩报酬计提基准，超额业绩报酬=0；</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当R＞当前业绩报酬计提基准，超额业绩报酬=产品终止（不含部分终止）时投资者持有的产品份额×产品成立日产品份额净值×（R-当前业绩报酬计提基准）×N×D/365。</w:t>
      </w:r>
    </w:p>
    <w:p>
      <w:pPr>
        <w:widowControl/>
        <w:spacing w:line="360" w:lineRule="auto"/>
        <w:ind w:firstLine="361" w:firstLineChars="200"/>
        <w:jc w:val="left"/>
        <w:rPr>
          <w:rFonts w:hint="eastAsia" w:ascii="黑体" w:hAnsi="黑体" w:eastAsia="黑体" w:cs="黑体"/>
          <w:b/>
          <w:bCs/>
          <w:sz w:val="18"/>
          <w:szCs w:val="18"/>
        </w:rPr>
      </w:pPr>
      <w:r>
        <w:rPr>
          <w:rFonts w:hint="eastAsia" w:ascii="黑体" w:hAnsi="黑体" w:eastAsia="黑体" w:cs="黑体"/>
          <w:b/>
          <w:bCs/>
          <w:kern w:val="0"/>
          <w:sz w:val="18"/>
          <w:szCs w:val="18"/>
        </w:rPr>
        <w:t>注：产品部分提前终止情况下，部分提前终止份额不收取超额业绩报酬</w:t>
      </w:r>
      <w:r>
        <w:rPr>
          <w:rFonts w:hint="eastAsia" w:ascii="黑体" w:hAnsi="黑体" w:eastAsia="黑体" w:cs="黑体"/>
          <w:b/>
          <w:bCs/>
          <w:sz w:val="18"/>
          <w:szCs w:val="18"/>
        </w:rPr>
        <w:t>。</w:t>
      </w:r>
    </w:p>
    <w:p>
      <w:pPr>
        <w:widowControl/>
        <w:spacing w:line="360" w:lineRule="auto"/>
        <w:ind w:firstLine="361" w:firstLineChars="200"/>
        <w:jc w:val="left"/>
        <w:rPr>
          <w:rFonts w:hint="eastAsia" w:ascii="黑体" w:hAnsi="黑体" w:eastAsia="黑体" w:cs="黑体"/>
          <w:b/>
          <w:bCs/>
          <w:sz w:val="18"/>
          <w:szCs w:val="18"/>
        </w:rPr>
      </w:pP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18206"/>
      <w:bookmarkStart w:id="180" w:name="_Toc21735"/>
      <w:bookmarkStart w:id="181" w:name="_Toc123102456"/>
      <w:bookmarkStart w:id="182" w:name="_Toc10398"/>
      <w:bookmarkStart w:id="183" w:name="_Toc3572"/>
      <w:bookmarkStart w:id="184" w:name="_Toc74065746"/>
      <w:bookmarkStart w:id="185" w:name="_Toc3080"/>
      <w:bookmarkStart w:id="186" w:name="_Toc123051455"/>
      <w:bookmarkStart w:id="187" w:name="_Toc725"/>
      <w:bookmarkStart w:id="188" w:name="_Toc31821"/>
      <w:bookmarkStart w:id="189" w:name="_Toc123112237"/>
      <w:bookmarkStart w:id="190" w:name="_Toc98560355"/>
      <w:bookmarkStart w:id="191" w:name="_Toc141703889"/>
      <w:bookmarkStart w:id="192" w:name="_Toc79154673"/>
      <w:bookmarkStart w:id="193" w:name="_Toc139991739"/>
      <w:bookmarkStart w:id="194" w:name="_Toc16164"/>
      <w:bookmarkStart w:id="195" w:name="_Toc176189762"/>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57530252"/>
      <w:bookmarkStart w:id="197" w:name="_Toc15118245"/>
      <w:bookmarkStart w:id="198" w:name="_Toc79392593"/>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74065747"/>
      <w:bookmarkStart w:id="200" w:name="_Toc123112238"/>
      <w:bookmarkStart w:id="201" w:name="_Toc79392622"/>
      <w:bookmarkStart w:id="202" w:name="_Toc17198"/>
      <w:bookmarkStart w:id="203" w:name="_Toc21237"/>
      <w:bookmarkStart w:id="204" w:name="_Toc29408"/>
      <w:bookmarkStart w:id="205" w:name="_Toc8791"/>
      <w:bookmarkStart w:id="206" w:name="_Toc98560356"/>
      <w:bookmarkStart w:id="207" w:name="_Toc32584"/>
      <w:bookmarkStart w:id="208" w:name="_Toc141703890"/>
      <w:bookmarkStart w:id="209" w:name="_Toc176189763"/>
      <w:bookmarkStart w:id="210" w:name="_Toc123051456"/>
      <w:bookmarkStart w:id="211" w:name="_Toc123102457"/>
      <w:bookmarkStart w:id="212" w:name="_Toc79154674"/>
      <w:bookmarkStart w:id="213" w:name="_Toc139991740"/>
      <w:bookmarkStart w:id="214" w:name="_Toc48649708"/>
      <w:bookmarkStart w:id="215" w:name="_Toc32092"/>
      <w:bookmarkStart w:id="216" w:name="_Toc17920"/>
      <w:bookmarkStart w:id="217" w:name="_Toc5170"/>
      <w:bookmarkStart w:id="218" w:name="_Toc739"/>
      <w:bookmarkStart w:id="219" w:name="_Toc3329"/>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期间，每【周】向投资者披露一次估值日公告，估值日公告披露的内容包括估值日的产品份额净值、产品份额累计净值等。如遇法定节假日顺延。此外，如遇其他特殊情况，以产品管理人信息披露为准。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2" w:name="_GoBack"/>
      <w:bookmarkEnd w:id="222"/>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spacing w:line="360" w:lineRule="auto"/>
        <w:ind w:firstLine="360" w:firstLineChars="200"/>
        <w:rPr>
          <w:rFonts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spacing w:line="280" w:lineRule="atLeast"/>
              <w:ind w:firstLine="422"/>
              <w:jc w:val="center"/>
              <w:rPr>
                <w:rFonts w:ascii="宋体" w:hAnsi="宋体" w:cs="Arial"/>
                <w:b/>
                <w:szCs w:val="21"/>
              </w:rPr>
            </w:pPr>
            <w:r>
              <w:rPr>
                <w:rFonts w:hint="eastAsia" w:ascii="宋体" w:hAnsi="宋体" w:cs="Arial"/>
                <w:b/>
                <w:szCs w:val="21"/>
              </w:rPr>
              <w:t>投资者确认栏</w:t>
            </w:r>
          </w:p>
          <w:p>
            <w:pPr>
              <w:spacing w:line="360" w:lineRule="auto"/>
              <w:ind w:firstLine="361"/>
              <w:rPr>
                <w:rFonts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pPr>
              <w:spacing w:line="360" w:lineRule="auto"/>
              <w:ind w:firstLine="361"/>
              <w:jc w:val="left"/>
              <w:rPr>
                <w:rFonts w:ascii="Calibri" w:hAnsi="Calibri" w:cs="宋体"/>
                <w:b/>
                <w:sz w:val="18"/>
                <w:szCs w:val="18"/>
              </w:rPr>
            </w:pP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兴银理财【稳利安盈封闭式】理财产品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将理财产品分为【】个风险等级</w:t>
      </w:r>
      <w:r>
        <w:rPr>
          <w:rFonts w:ascii="宋体" w:hAnsi="宋体" w:cs="仿宋_GB2312"/>
          <w:kern w:val="0"/>
          <w:sz w:val="18"/>
          <w:szCs w:val="18"/>
        </w:rPr>
        <w:t>：</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w:t>
      </w:r>
      <w:r>
        <w:rPr>
          <w:rFonts w:hint="eastAsia" w:cs="宋体" w:asciiTheme="majorEastAsia" w:hAnsiTheme="majorEastAsia" w:eastAsiaTheme="majorEastAsia"/>
          <w:sz w:val="18"/>
          <w:szCs w:val="18"/>
          <w:lang w:val="en-US" w:eastAsia="zh-CN"/>
        </w:rPr>
        <w:t>普通</w:t>
      </w:r>
      <w:r>
        <w:rPr>
          <w:rFonts w:hint="eastAsia" w:cs="宋体" w:asciiTheme="majorEastAsia" w:hAnsiTheme="majorEastAsia" w:eastAsiaTheme="majorEastAsia"/>
          <w:sz w:val="18"/>
          <w:szCs w:val="18"/>
        </w:rPr>
        <w:t>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兴银理财【稳利安盈封闭式】</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【兴银理财稳利安盈封闭式2026年408期固收类理财产品</w:t>
      </w:r>
      <w:r>
        <w:rPr>
          <w:rFonts w:hint="eastAsia" w:cs="宋体" w:asciiTheme="majorEastAsia" w:hAnsiTheme="majorEastAsia" w:eastAsiaTheme="majorEastAsia"/>
          <w:bCs/>
          <w:kern w:val="0"/>
          <w:sz w:val="18"/>
          <w:szCs w:val="18"/>
        </w:rPr>
        <w:t>】</w:t>
      </w:r>
    </w:p>
    <w:p>
      <w:pPr>
        <w:ind w:firstLine="448" w:firstLineChars="249"/>
        <w:rPr>
          <w:rFonts w:ascii="宋体" w:hAnsi="宋体" w:cs="仿宋_GB2312"/>
          <w:kern w:val="0"/>
          <w:sz w:val="18"/>
          <w:szCs w:val="18"/>
        </w:rPr>
      </w:pPr>
      <w:r>
        <w:rPr>
          <w:rFonts w:ascii="宋体" w:hAnsi="宋体" w:eastAsia="宋体" w:cs="宋体"/>
          <w:sz w:val="18"/>
          <w:szCs w:val="22"/>
        </w:rPr>
        <w:t>销售名称：【稳利安盈2026年408期A】 (适用【A】类份额)</w:t>
      </w:r>
      <w:r>
        <w:rPr>
          <w:rFonts w:ascii="宋体" w:hAnsi="宋体" w:eastAsia="宋体" w:cs="宋体"/>
          <w:sz w:val="18"/>
          <w:szCs w:val="22"/>
        </w:rPr>
        <w:br w:type="textWrapping"/>
      </w:r>
      <w:r>
        <w:rPr>
          <w:rFonts w:ascii="宋体" w:hAnsi="宋体" w:eastAsia="宋体" w:cs="宋体"/>
          <w:sz w:val="18"/>
          <w:szCs w:val="22"/>
        </w:rPr>
        <w:t xml:space="preserve">     【稳利安盈2026年408期C】 (适用【C】类份额)</w:t>
      </w:r>
      <w:r>
        <w:rPr>
          <w:rFonts w:ascii="宋体" w:hAnsi="宋体" w:eastAsia="宋体" w:cs="宋体"/>
          <w:sz w:val="18"/>
          <w:szCs w:val="22"/>
        </w:rPr>
        <w:br w:type="textWrapping"/>
      </w:r>
      <w:r>
        <w:rPr>
          <w:rFonts w:ascii="宋体" w:hAnsi="宋体" w:eastAsia="宋体" w:cs="宋体"/>
          <w:sz w:val="18"/>
          <w:szCs w:val="22"/>
        </w:rPr>
        <w:t xml:space="preserve">     【稳利安盈2026年408期D】 (适用【D】类份额)</w:t>
      </w:r>
      <w:r>
        <w:rPr>
          <w:rFonts w:ascii="宋体" w:hAnsi="宋体" w:eastAsia="宋体" w:cs="宋体"/>
          <w:sz w:val="18"/>
          <w:szCs w:val="22"/>
        </w:rPr>
        <w:br w:type="textWrapping"/>
      </w:r>
      <w:r>
        <w:rPr>
          <w:rFonts w:ascii="宋体" w:hAnsi="宋体" w:eastAsia="宋体" w:cs="宋体"/>
          <w:sz w:val="18"/>
          <w:szCs w:val="22"/>
        </w:rPr>
        <w:t xml:space="preserve">     【稳利安盈2026年408期F】 (适用【F】类份额)</w:t>
      </w:r>
      <w:r>
        <w:rPr>
          <w:rFonts w:ascii="宋体" w:hAnsi="宋体" w:eastAsia="宋体" w:cs="宋体"/>
          <w:sz w:val="18"/>
          <w:szCs w:val="22"/>
        </w:rPr>
        <w:br w:type="textWrapping"/>
      </w:r>
      <w:r>
        <w:rPr>
          <w:rFonts w:ascii="宋体" w:hAnsi="宋体" w:eastAsia="宋体" w:cs="宋体"/>
          <w:sz w:val="18"/>
          <w:szCs w:val="22"/>
        </w:rPr>
        <w:t xml:space="preserve">     【稳利安盈2026年408期E】 (适用【E】类份额)</w:t>
      </w: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Z7002026000215</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【■有固定期限:【427天】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本理财产品风险评级最终定义为【R1】（产品管理人定义的产品风险评级为【R1】；代理销售机构定义的产品风险评级为【R1】）。</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 C2、■ C3、■ C4、■ C5、■ C6】</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 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ind w:firstLine="360" w:firstLineChars="200"/>
        <w:rPr>
          <w:rFonts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 xml:space="preserve">销售机构（【  </w:t>
      </w:r>
      <w:r>
        <w:rPr>
          <w:rFonts w:ascii="宋体" w:hAnsi="宋体" w:cs="宋体"/>
          <w:sz w:val="18"/>
          <w:szCs w:val="18"/>
        </w:rPr>
        <w:t xml:space="preserve">                 </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兴银理财【稳利安盈封闭式】理财产品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pPr>
        <w:ind w:firstLine="360" w:firstLineChars="200"/>
        <w:rPr>
          <w:rFonts w:ascii="宋体" w:hAnsi="宋体"/>
          <w:sz w:val="18"/>
          <w:szCs w:val="18"/>
        </w:rPr>
      </w:pPr>
      <w:r>
        <w:rPr>
          <w:rFonts w:hint="eastAsia" w:ascii="宋体" w:hAnsi="宋体"/>
          <w:sz w:val="18"/>
          <w:szCs w:val="18"/>
        </w:rPr>
        <w:t>【】</w:t>
      </w:r>
    </w:p>
    <w:p>
      <w:pPr>
        <w:ind w:right="84" w:rightChars="40"/>
        <w:jc w:val="right"/>
        <w:rPr>
          <w:rFonts w:ascii="宋体" w:hAnsi="宋体"/>
          <w:sz w:val="18"/>
          <w:szCs w:val="18"/>
        </w:rPr>
      </w:pPr>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兴银理财【稳利安盈封闭式】理财产品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2C1F52B1"/>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73</Pages>
  <Words>48319</Words>
  <Characters>49159</Characters>
  <Lines>0</Lines>
  <Paragraphs>0</Paragraphs>
  <TotalTime>1</TotalTime>
  <ScaleCrop>false</ScaleCrop>
  <LinksUpToDate>false</LinksUpToDate>
  <CharactersWithSpaces>50426</CharactersWithSpaces>
  <Application>WPS Office_11.8.2.10164_F1E327BC-269C-435d-A152-05C5408002CA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cib</cp:lastModifiedBy>
  <dcterms:modified xsi:type="dcterms:W3CDTF">2026-03-06T06:46:34Z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ies>
</file>