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1726"/>
      <w:bookmarkStart w:id="1" w:name="_Toc123112263"/>
      <w:bookmarkStart w:id="2" w:name="_Toc139992301"/>
      <w:bookmarkStart w:id="3" w:name="_Toc123112224"/>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701384"/>
      <w:bookmarkStart w:id="6" w:name="_Toc123112225"/>
      <w:bookmarkStart w:id="7" w:name="_Toc139991727"/>
      <w:bookmarkStart w:id="8" w:name="_Toc123112264"/>
      <w:bookmarkStart w:id="9" w:name="_Toc139992302"/>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39991729"/>
      <w:bookmarkStart w:id="12" w:name="_Toc12311226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39991730"/>
      <w:bookmarkStart w:id="15" w:name="_Toc123112229"/>
      <w:bookmarkStart w:id="16" w:name="_Toc4966"/>
      <w:bookmarkStart w:id="17" w:name="_Toc123112268"/>
      <w:bookmarkStart w:id="18" w:name="_Toc6306"/>
      <w:bookmarkStart w:id="19" w:name="_Toc8727"/>
      <w:bookmarkStart w:id="20" w:name="_Toc4867"/>
      <w:bookmarkStart w:id="21" w:name="_Toc30935"/>
      <w:bookmarkStart w:id="22" w:name="_Toc123701389"/>
      <w:bookmarkStart w:id="23" w:name="_Toc29629"/>
      <w:bookmarkStart w:id="24" w:name="_Toc26897"/>
      <w:bookmarkStart w:id="25" w:name="_Toc141703880"/>
      <w:bookmarkStart w:id="26" w:name="_Toc32639"/>
      <w:bookmarkStart w:id="27" w:name="_Toc23386"/>
      <w:bookmarkStart w:id="28" w:name="_Toc1551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58829399"/>
      <w:bookmarkStart w:id="33" w:name="_Toc3224"/>
      <w:bookmarkStart w:id="34" w:name="_Toc2465"/>
      <w:bookmarkStart w:id="35" w:name="_Toc15067"/>
      <w:bookmarkStart w:id="36" w:name="_Toc819"/>
      <w:bookmarkStart w:id="37" w:name="_Toc22864"/>
      <w:bookmarkStart w:id="38" w:name="_Toc24860"/>
      <w:bookmarkStart w:id="39" w:name="_Toc13020"/>
      <w:bookmarkStart w:id="40" w:name="_Toc21301"/>
      <w:bookmarkStart w:id="41" w:name="_Toc19592"/>
      <w:bookmarkStart w:id="42" w:name="_Toc6617"/>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733"/>
      <w:bookmarkStart w:id="48" w:name="_Toc6149"/>
      <w:bookmarkStart w:id="49" w:name="_Toc20627"/>
      <w:bookmarkStart w:id="50" w:name="_Toc6683"/>
      <w:bookmarkStart w:id="51" w:name="_Toc24571"/>
      <w:bookmarkStart w:id="52" w:name="_Toc545"/>
      <w:bookmarkStart w:id="53" w:name="_Toc22708"/>
      <w:bookmarkStart w:id="54" w:name="_Toc20318"/>
      <w:bookmarkStart w:id="55" w:name="_Toc18631"/>
      <w:bookmarkStart w:id="56" w:name="_Toc13288"/>
      <w:bookmarkStart w:id="57" w:name="_Toc74065740"/>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兴银理财【</w:t>
      </w:r>
      <w:r>
        <w:rPr>
          <w:rFonts w:hint="eastAsia" w:ascii="黑体" w:hAnsi="黑体" w:eastAsia="黑体" w:cs="Times New Roman"/>
          <w:b/>
          <w:bCs/>
          <w:sz w:val="44"/>
          <w:szCs w:val="44"/>
          <w:lang w:val="en-US" w:eastAsia="zh-CN"/>
        </w:rPr>
        <w:t>稳利恒盈封闭式固收类</w:t>
      </w:r>
      <w:r>
        <w:rPr>
          <w:rFonts w:hint="eastAsia" w:ascii="黑体" w:hAnsi="黑体" w:eastAsia="黑体" w:cs="Times New Roman"/>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【2026】年【2】月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176189754"/>
      <w:bookmarkStart w:id="69" w:name="_Toc79154665"/>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【兴银理财稳利恒盈封闭式2026年801期固收类理财产品】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【稳利恒盈封闭2026年801期(兴嘉选迎春款)A】 (适用【A】类份额)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【稳利恒盈封闭2026年801期(兴嘉选迎春款)B】 (适用【B】类份额)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【稳利恒盈封闭2026年801期(兴嘉选迎春款)C】 (适用【C】类份额)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【稳利恒盈封闭2026年801期(兴嘉选迎春款)D】 (适用【D】类份额)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【稳利恒盈封闭2026年801期(兴嘉选迎春款)E】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Z7002026000229</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【9N268010】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【9N26801A】 (适用【A】类份额)</w:t>
            </w:r>
            <w:r>
              <w:rPr>
                <w:rFonts w:hint="default" w:ascii="宋体" w:hAnsi="宋体" w:eastAsia="宋体" w:cs="宋体"/>
                <w:sz w:val="18"/>
                <w:szCs w:val="22"/>
              </w:rPr>
              <w:br w:type="textWrapping"/>
            </w:r>
            <w:r>
              <w:rPr>
                <w:rFonts w:hint="default" w:ascii="宋体" w:hAnsi="宋体" w:eastAsia="宋体" w:cs="宋体"/>
                <w:sz w:val="18"/>
                <w:szCs w:val="22"/>
              </w:rPr>
              <w:t>【9N26801B】 (适用【B】类份额)</w:t>
            </w:r>
            <w:r>
              <w:rPr>
                <w:rFonts w:hint="default" w:ascii="宋体" w:hAnsi="宋体" w:eastAsia="宋体" w:cs="宋体"/>
                <w:sz w:val="18"/>
                <w:szCs w:val="22"/>
              </w:rPr>
              <w:br w:type="textWrapping"/>
            </w:r>
            <w:r>
              <w:rPr>
                <w:rFonts w:hint="default" w:ascii="宋体" w:hAnsi="宋体" w:eastAsia="宋体" w:cs="宋体"/>
                <w:sz w:val="18"/>
                <w:szCs w:val="22"/>
              </w:rPr>
              <w:t>【9N26801C】 (适用【C】类份额)</w:t>
            </w:r>
            <w:r>
              <w:rPr>
                <w:rFonts w:hint="default" w:ascii="宋体" w:hAnsi="宋体" w:eastAsia="宋体" w:cs="宋体"/>
                <w:sz w:val="18"/>
                <w:szCs w:val="22"/>
              </w:rPr>
              <w:br w:type="textWrapping"/>
            </w:r>
            <w:r>
              <w:rPr>
                <w:rFonts w:hint="default" w:ascii="宋体" w:hAnsi="宋体" w:eastAsia="宋体" w:cs="宋体"/>
                <w:sz w:val="18"/>
                <w:szCs w:val="22"/>
              </w:rPr>
              <w:t>【9N26801D】 (适用【D】类份额)</w:t>
            </w:r>
            <w:r>
              <w:rPr>
                <w:rFonts w:hint="default" w:ascii="宋体" w:hAnsi="宋体" w:eastAsia="宋体" w:cs="宋体"/>
                <w:sz w:val="18"/>
                <w:szCs w:val="22"/>
              </w:rPr>
              <w:br w:type="textWrapping"/>
            </w:r>
            <w:r>
              <w:rPr>
                <w:rFonts w:hint="default" w:ascii="宋体" w:hAnsi="宋体" w:eastAsia="宋体" w:cs="宋体"/>
                <w:sz w:val="18"/>
                <w:szCs w:val="22"/>
              </w:rPr>
              <w:t>【9N26801E】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 (适用【</w:t>
            </w:r>
            <w:r>
              <w:rPr>
                <w:rFonts w:hint="eastAsia" w:ascii="宋体" w:hAnsi="宋体" w:eastAsia="宋体" w:cs="宋体"/>
                <w:bCs/>
                <w:color w:val="000000"/>
                <w:sz w:val="18"/>
                <w:szCs w:val="18"/>
                <w:lang w:val="en-US" w:eastAsia="zh-CN"/>
              </w:rPr>
              <w:t>A/B/C/D/</w:t>
            </w:r>
            <w:r>
              <w:rPr>
                <w:rFonts w:hint="default" w:ascii="宋体" w:hAnsi="宋体" w:eastAsia="宋体" w:cs="宋体"/>
                <w:bCs/>
                <w:color w:val="000000"/>
                <w:sz w:val="18"/>
                <w:szCs w:val="18"/>
              </w:rPr>
              <w:t>E】类份额)</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4</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■有固定期限:【363天】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【2026年02月05日】【09:00】至【2026年02月11日】【17:00】。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【2026年02月12日】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【2027年02月10日】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产品存续期间，单一投资者最高持有份额上限为【/】份，符合产品管理人流动性管理的稳定资金除外。（适用【E】类份额)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（1）业绩比较基准的说明：【以一年期定期存款利率为无风险利率，基于当前对未来市场的判断，根据拟投资债权类资产的信用利差、久期敞口以及流动性溢价，预判组合的波动幅度，设定业绩比较基准】。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年化【2.45%-2.75%】。（适用【A】类份额)</w:t>
            </w:r>
            <w:r>
              <w:rPr>
                <w:rFonts w:hint="default" w:ascii="宋体" w:hAnsi="宋体" w:eastAsia="宋体" w:cs="宋体"/>
                <w:sz w:val="18"/>
                <w:szCs w:val="22"/>
              </w:rPr>
              <w:br w:type="textWrapping"/>
            </w:r>
            <w:r>
              <w:rPr>
                <w:rFonts w:hint="default" w:ascii="宋体" w:hAnsi="宋体" w:eastAsia="宋体" w:cs="宋体"/>
                <w:sz w:val="18"/>
                <w:szCs w:val="22"/>
              </w:rPr>
              <w:t>年化【2.4%-2.7%】。（适用【B】类份额)</w:t>
            </w:r>
            <w:r>
              <w:rPr>
                <w:rFonts w:hint="default" w:ascii="宋体" w:hAnsi="宋体" w:eastAsia="宋体" w:cs="宋体"/>
                <w:sz w:val="18"/>
                <w:szCs w:val="22"/>
              </w:rPr>
              <w:br w:type="textWrapping"/>
            </w:r>
            <w:r>
              <w:rPr>
                <w:rFonts w:hint="default" w:ascii="宋体" w:hAnsi="宋体" w:eastAsia="宋体" w:cs="宋体"/>
                <w:sz w:val="18"/>
                <w:szCs w:val="22"/>
              </w:rPr>
              <w:t>年化【2.35%-2.65%】。（适用【C】类份额)</w:t>
            </w:r>
            <w:r>
              <w:rPr>
                <w:rFonts w:hint="default" w:ascii="宋体" w:hAnsi="宋体" w:eastAsia="宋体" w:cs="宋体"/>
                <w:sz w:val="18"/>
                <w:szCs w:val="22"/>
              </w:rPr>
              <w:br w:type="textWrapping"/>
            </w:r>
            <w:r>
              <w:rPr>
                <w:rFonts w:hint="default" w:ascii="宋体" w:hAnsi="宋体" w:eastAsia="宋体" w:cs="宋体"/>
                <w:sz w:val="18"/>
                <w:szCs w:val="22"/>
              </w:rPr>
              <w:t>年化【2.3%-2.6%】。（适用【D】类份额)</w:t>
            </w:r>
            <w:r>
              <w:rPr>
                <w:rFonts w:hint="default" w:ascii="宋体" w:hAnsi="宋体" w:eastAsia="宋体" w:cs="宋体"/>
                <w:sz w:val="18"/>
                <w:szCs w:val="22"/>
              </w:rPr>
              <w:br w:type="textWrapping"/>
            </w:r>
            <w:r>
              <w:rPr>
                <w:rFonts w:hint="default" w:ascii="宋体" w:hAnsi="宋体" w:eastAsia="宋体" w:cs="宋体"/>
                <w:sz w:val="18"/>
                <w:szCs w:val="22"/>
              </w:rPr>
              <w:t>年化【2.2%-2.5%】。（适用【E】类份额)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年化【2.6%】。（适用【A】类份额)</w:t>
            </w:r>
            <w:r>
              <w:rPr>
                <w:rFonts w:hint="default" w:ascii="宋体" w:hAnsi="宋体" w:eastAsia="宋体" w:cs="宋体"/>
                <w:sz w:val="18"/>
                <w:szCs w:val="22"/>
              </w:rPr>
              <w:br w:type="textWrapping"/>
            </w:r>
            <w:r>
              <w:rPr>
                <w:rFonts w:hint="default" w:ascii="宋体" w:hAnsi="宋体" w:eastAsia="宋体" w:cs="宋体"/>
                <w:sz w:val="18"/>
                <w:szCs w:val="22"/>
              </w:rPr>
              <w:t>年化【2.55%】。（适用【B】类份额)</w:t>
            </w:r>
            <w:r>
              <w:rPr>
                <w:rFonts w:hint="default" w:ascii="宋体" w:hAnsi="宋体" w:eastAsia="宋体" w:cs="宋体"/>
                <w:sz w:val="18"/>
                <w:szCs w:val="22"/>
              </w:rPr>
              <w:br w:type="textWrapping"/>
            </w:r>
            <w:r>
              <w:rPr>
                <w:rFonts w:hint="default" w:ascii="宋体" w:hAnsi="宋体" w:eastAsia="宋体" w:cs="宋体"/>
                <w:sz w:val="18"/>
                <w:szCs w:val="22"/>
              </w:rPr>
              <w:t>年化【2.5%】。（适用【C】类份额)</w:t>
            </w:r>
            <w:r>
              <w:rPr>
                <w:rFonts w:hint="default" w:ascii="宋体" w:hAnsi="宋体" w:eastAsia="宋体" w:cs="宋体"/>
                <w:sz w:val="18"/>
                <w:szCs w:val="22"/>
              </w:rPr>
              <w:br w:type="textWrapping"/>
            </w:r>
            <w:r>
              <w:rPr>
                <w:rFonts w:hint="default" w:ascii="宋体" w:hAnsi="宋体" w:eastAsia="宋体" w:cs="宋体"/>
                <w:sz w:val="18"/>
                <w:szCs w:val="22"/>
              </w:rPr>
              <w:t>年化【2.45%】。（适用【D】类份额)</w:t>
            </w:r>
            <w:r>
              <w:rPr>
                <w:rFonts w:hint="default" w:ascii="宋体" w:hAnsi="宋体" w:eastAsia="宋体" w:cs="宋体"/>
                <w:sz w:val="18"/>
                <w:szCs w:val="22"/>
              </w:rPr>
              <w:br w:type="textWrapping"/>
            </w:r>
            <w:r>
              <w:rPr>
                <w:rFonts w:hint="default" w:ascii="宋体" w:hAnsi="宋体" w:eastAsia="宋体" w:cs="宋体"/>
                <w:sz w:val="18"/>
                <w:szCs w:val="22"/>
              </w:rPr>
              <w:t>年化【2.35%】。（适用【E】类份额)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年化费率【0.05%】。（适用【A】类份额）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年化费率【0.15%】。（适用【C】类份额）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年化费率【0.2%】。（适用【D】类份额）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年化费率【0.3%】。（适用【E】类份额）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（3）投资管理费：年化费率【0.05%】</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6714"/>
      <w:bookmarkStart w:id="78" w:name="_Toc90742390"/>
      <w:bookmarkStart w:id="79" w:name="_Toc27189"/>
      <w:bookmarkStart w:id="80" w:name="_Toc15203"/>
      <w:bookmarkStart w:id="81" w:name="_Toc22074"/>
      <w:bookmarkStart w:id="82" w:name="_Toc27226"/>
      <w:bookmarkStart w:id="83" w:name="_Toc74065741"/>
      <w:bookmarkStart w:id="84" w:name="_Toc16265"/>
      <w:bookmarkStart w:id="85" w:name="_Toc7151"/>
      <w:bookmarkStart w:id="86" w:name="_Toc90742688"/>
      <w:bookmarkStart w:id="87" w:name="_Toc79154668"/>
      <w:bookmarkStart w:id="88" w:name="_Toc3266"/>
      <w:bookmarkStart w:id="89" w:name="_Toc29784"/>
      <w:bookmarkStart w:id="90" w:name="_Toc29948"/>
      <w:bookmarkStart w:id="91" w:name="_Toc90742321"/>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sz w:val="18"/>
          <w:szCs w:val="22"/>
        </w:rPr>
        <w:t>【（1）银行存款、债券逆回购、货币基金等货币市场工具及其它银行间和交易所资金融通工具；</w:t>
      </w:r>
      <w:r>
        <w:rPr>
          <w:rFonts w:ascii="宋体" w:hAnsi="宋体" w:eastAsia="宋体" w:cs="宋体"/>
          <w:sz w:val="18"/>
          <w:szCs w:val="22"/>
        </w:rPr>
        <w:br w:type="textWrapping"/>
      </w:r>
      <w:r>
        <w:rPr>
          <w:rFonts w:ascii="宋体" w:hAnsi="宋体" w:eastAsia="宋体" w:cs="宋体"/>
          <w:sz w:val="18"/>
          <w:szCs w:val="22"/>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sz w:val="18"/>
          <w:szCs w:val="22"/>
        </w:rPr>
        <w:br w:type="textWrapping"/>
      </w:r>
      <w:r>
        <w:rPr>
          <w:rFonts w:ascii="宋体" w:hAnsi="宋体" w:eastAsia="宋体" w:cs="宋体"/>
          <w:sz w:val="18"/>
          <w:szCs w:val="22"/>
        </w:rPr>
        <w:t>（3）以套期保值为目的的国债期货、利率互换、信用风险缓释工具、债券借贷。</w:t>
      </w:r>
      <w:r>
        <w:rPr>
          <w:rFonts w:ascii="宋体" w:hAnsi="宋体" w:eastAsia="宋体" w:cs="宋体"/>
          <w:sz w:val="18"/>
          <w:szCs w:val="22"/>
        </w:rPr>
        <w:br w:type="textWrapping"/>
      </w:r>
      <w:r>
        <w:rPr>
          <w:rFonts w:ascii="宋体" w:hAnsi="宋体" w:eastAsia="宋体" w:cs="宋体"/>
          <w:sz w:val="18"/>
          <w:szCs w:val="22"/>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ascii="宋体" w:hAnsi="宋体" w:eastAsia="宋体" w:cs="宋体"/>
          <w:sz w:val="18"/>
          <w:szCs w:val="22"/>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ascii="宋体" w:hAnsi="宋体" w:eastAsia="宋体" w:cs="宋体"/>
          <w:sz w:val="18"/>
          <w:szCs w:val="22"/>
        </w:rPr>
        <w:t xml:space="preserve">【（1）本产品投资于债权类资产的比例不低于产品总资产的80%。 </w:t>
      </w:r>
      <w:r>
        <w:rPr>
          <w:rFonts w:ascii="宋体" w:hAnsi="宋体" w:eastAsia="宋体" w:cs="宋体"/>
          <w:sz w:val="18"/>
          <w:szCs w:val="22"/>
        </w:rPr>
        <w:br w:type="textWrapping"/>
      </w:r>
      <w:r>
        <w:rPr>
          <w:rFonts w:hint="eastAsia" w:ascii="宋体" w:hAnsi="宋体" w:cs="宋体"/>
          <w:sz w:val="18"/>
          <w:szCs w:val="22"/>
          <w:lang w:val="en-US" w:eastAsia="zh-CN"/>
        </w:rPr>
        <w:tab/>
      </w:r>
      <w:r>
        <w:rPr>
          <w:rFonts w:ascii="宋体" w:hAnsi="宋体" w:eastAsia="宋体" w:cs="宋体"/>
          <w:sz w:val="18"/>
          <w:szCs w:val="22"/>
        </w:rPr>
        <w:t>（2）国债期货、利率互换、信用风险缓释工具等衍生品占产品总资产比例低于5%。</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ascii="宋体" w:hAnsi="宋体" w:eastAsia="宋体" w:cs="宋体"/>
          <w:sz w:val="18"/>
          <w:szCs w:val="22"/>
        </w:rPr>
        <w:t>（1）本产品投资单只证券或者单只公募证券投资基金的市值不得超过该理财产品净资产的10%。</w:t>
      </w:r>
      <w:r>
        <w:rPr>
          <w:rFonts w:ascii="宋体" w:hAnsi="宋体" w:eastAsia="宋体" w:cs="宋体"/>
          <w:sz w:val="18"/>
          <w:szCs w:val="22"/>
        </w:rPr>
        <w:br w:type="textWrapping"/>
      </w:r>
      <w:r>
        <w:rPr>
          <w:rFonts w:ascii="宋体" w:hAnsi="宋体" w:eastAsia="宋体" w:cs="宋体"/>
          <w:sz w:val="18"/>
          <w:szCs w:val="22"/>
        </w:rPr>
        <w:t>（2）本产品管理人全部公募理财产品持有单只证券或单只公募证券投资基金的市值，不得超过该证券市值或该公募证券投资基金市值的30%。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ascii="宋体" w:hAnsi="宋体" w:eastAsia="宋体" w:cs="宋体"/>
          <w:sz w:val="18"/>
          <w:szCs w:val="22"/>
        </w:rPr>
        <w:t>（3）本产品管理人全部理财产品持有单一上市公司发行的股票，不得超过该上市公司可流通股票的30%。</w:t>
      </w:r>
      <w:r>
        <w:rPr>
          <w:rFonts w:ascii="宋体" w:hAnsi="宋体" w:eastAsia="宋体" w:cs="宋体"/>
          <w:sz w:val="18"/>
          <w:szCs w:val="22"/>
        </w:rPr>
        <w:br w:type="textWrapping"/>
      </w:r>
      <w:r>
        <w:rPr>
          <w:rFonts w:ascii="宋体" w:hAnsi="宋体" w:eastAsia="宋体" w:cs="宋体"/>
          <w:sz w:val="18"/>
          <w:szCs w:val="22"/>
        </w:rPr>
        <w:t>（4）本产品管理人全部开放式公募理财产品投资单一上市公司发行的股票不得超过该上市公司可流通股票的15%。</w:t>
      </w:r>
      <w:r>
        <w:rPr>
          <w:rFonts w:ascii="宋体" w:hAnsi="宋体" w:eastAsia="宋体" w:cs="宋体"/>
          <w:sz w:val="18"/>
          <w:szCs w:val="22"/>
        </w:rPr>
        <w:br w:type="textWrapping"/>
      </w:r>
      <w:r>
        <w:rPr>
          <w:rFonts w:ascii="宋体" w:hAnsi="宋体" w:eastAsia="宋体" w:cs="宋体"/>
          <w:sz w:val="18"/>
          <w:szCs w:val="22"/>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26986"/>
      <w:bookmarkStart w:id="94" w:name="_Toc18526"/>
      <w:bookmarkStart w:id="95" w:name="_Toc18329"/>
      <w:bookmarkStart w:id="96" w:name="_Toc79154669"/>
      <w:bookmarkStart w:id="97" w:name="_Toc18797"/>
      <w:bookmarkStart w:id="98" w:name="_Toc176189758"/>
      <w:bookmarkStart w:id="99" w:name="_Toc14893"/>
      <w:bookmarkStart w:id="100" w:name="_Toc1823"/>
      <w:bookmarkStart w:id="101" w:name="_Toc139991735"/>
      <w:bookmarkStart w:id="102" w:name="_Toc141703885"/>
      <w:bookmarkStart w:id="103" w:name="_Toc74065742"/>
      <w:bookmarkStart w:id="104" w:name="_Toc7848"/>
      <w:bookmarkStart w:id="105" w:name="_Toc17912"/>
      <w:bookmarkStart w:id="106" w:name="_Toc21988"/>
      <w:bookmarkStart w:id="107" w:name="_Toc4741"/>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79392606"/>
      <w:bookmarkStart w:id="110" w:name="_Toc17244"/>
      <w:bookmarkStart w:id="111" w:name="_Toc48649707"/>
      <w:bookmarkStart w:id="112" w:name="_Toc98560352"/>
      <w:bookmarkStart w:id="113" w:name="_Toc610"/>
      <w:bookmarkStart w:id="114" w:name="_Toc123112234"/>
      <w:bookmarkStart w:id="115" w:name="_Toc20733"/>
      <w:bookmarkStart w:id="116" w:name="_Toc23261"/>
      <w:bookmarkStart w:id="117" w:name="_Toc74065743"/>
      <w:bookmarkStart w:id="118" w:name="_Toc1270"/>
      <w:bookmarkStart w:id="119" w:name="_Toc4003"/>
      <w:bookmarkStart w:id="120" w:name="_Toc10463"/>
      <w:bookmarkStart w:id="121" w:name="_Toc7920"/>
      <w:bookmarkStart w:id="122" w:name="_Toc123102453"/>
      <w:bookmarkStart w:id="123" w:name="_Toc23822"/>
      <w:bookmarkStart w:id="124" w:name="_Toc141703886"/>
      <w:bookmarkStart w:id="125" w:name="_Toc1427"/>
      <w:bookmarkStart w:id="126" w:name="_Toc123051452"/>
      <w:bookmarkStart w:id="127" w:name="_Toc139991736"/>
      <w:bookmarkStart w:id="128" w:name="_Toc176189759"/>
      <w:bookmarkStart w:id="129" w:name="_Toc7915467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29251"/>
      <w:bookmarkStart w:id="132" w:name="_Toc12245"/>
      <w:bookmarkStart w:id="133" w:name="_Toc15143"/>
      <w:bookmarkStart w:id="134" w:name="_Toc123112235"/>
      <w:bookmarkStart w:id="135" w:name="_Toc31653"/>
      <w:bookmarkStart w:id="136" w:name="_Toc31644"/>
      <w:bookmarkStart w:id="137" w:name="_Toc31235"/>
      <w:bookmarkStart w:id="138" w:name="_Toc141703887"/>
      <w:bookmarkStart w:id="139" w:name="_Toc14835"/>
      <w:bookmarkStart w:id="140" w:name="_Toc26207"/>
      <w:bookmarkStart w:id="141" w:name="_Toc123051453"/>
      <w:bookmarkStart w:id="142" w:name="_Toc123102454"/>
      <w:bookmarkStart w:id="143" w:name="_Toc74065744"/>
      <w:bookmarkStart w:id="144" w:name="_Toc139991737"/>
      <w:bookmarkStart w:id="145" w:name="_Toc6405"/>
      <w:bookmarkStart w:id="146" w:name="_Toc98560353"/>
      <w:bookmarkStart w:id="147" w:name="_Toc3601"/>
      <w:bookmarkStart w:id="148" w:name="_Toc176189760"/>
      <w:bookmarkStart w:id="149" w:name="_Toc79154671"/>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523711668"/>
      <w:bookmarkStart w:id="153" w:name="_Toc57530239"/>
      <w:bookmarkStart w:id="154" w:name="_Toc15118234"/>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10650"/>
      <w:bookmarkStart w:id="158" w:name="_Toc139991738"/>
      <w:bookmarkStart w:id="159" w:name="_Toc141703888"/>
      <w:bookmarkStart w:id="160" w:name="_Toc11030"/>
      <w:bookmarkStart w:id="161" w:name="_Toc25783"/>
      <w:bookmarkStart w:id="162" w:name="_Toc18567"/>
      <w:bookmarkStart w:id="163" w:name="_Toc123112236"/>
      <w:bookmarkStart w:id="164" w:name="_Toc79154672"/>
      <w:bookmarkStart w:id="165" w:name="_Toc123051454"/>
      <w:bookmarkStart w:id="166" w:name="_Toc123102455"/>
      <w:bookmarkStart w:id="167" w:name="_Toc3321"/>
      <w:bookmarkStart w:id="168" w:name="_Toc3771"/>
      <w:bookmarkStart w:id="169" w:name="_Toc74065745"/>
      <w:bookmarkStart w:id="170" w:name="_Toc79392583"/>
      <w:bookmarkStart w:id="171" w:name="_Toc7058"/>
      <w:bookmarkStart w:id="172" w:name="_Toc176189761"/>
      <w:bookmarkStart w:id="173" w:name="_Toc4559"/>
      <w:bookmarkStart w:id="174" w:name="_Toc98560354"/>
      <w:bookmarkStart w:id="175" w:name="_Toc6447"/>
      <w:bookmarkStart w:id="176" w:name="_Toc9706"/>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23051455"/>
      <w:bookmarkStart w:id="180" w:name="_Toc139991739"/>
      <w:bookmarkStart w:id="181" w:name="_Toc31821"/>
      <w:bookmarkStart w:id="182" w:name="_Toc10398"/>
      <w:bookmarkStart w:id="183" w:name="_Toc98560355"/>
      <w:bookmarkStart w:id="184" w:name="_Toc16164"/>
      <w:bookmarkStart w:id="185" w:name="_Toc123112237"/>
      <w:bookmarkStart w:id="186" w:name="_Toc725"/>
      <w:bookmarkStart w:id="187" w:name="_Toc18206"/>
      <w:bookmarkStart w:id="188" w:name="_Toc21735"/>
      <w:bookmarkStart w:id="189" w:name="_Toc3080"/>
      <w:bookmarkStart w:id="190" w:name="_Toc79154673"/>
      <w:bookmarkStart w:id="191" w:name="_Toc141703889"/>
      <w:bookmarkStart w:id="192" w:name="_Toc176189762"/>
      <w:bookmarkStart w:id="193" w:name="_Toc74065746"/>
      <w:bookmarkStart w:id="194" w:name="_Toc123102456"/>
      <w:bookmarkStart w:id="195" w:name="_Toc3572"/>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15118245"/>
      <w:bookmarkStart w:id="197" w:name="_Toc79392593"/>
      <w:bookmarkStart w:id="198" w:name="_Toc57530252"/>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79392622"/>
      <w:bookmarkStart w:id="200" w:name="_Toc74065747"/>
      <w:bookmarkStart w:id="201" w:name="_Toc21237"/>
      <w:bookmarkStart w:id="202" w:name="_Toc139991740"/>
      <w:bookmarkStart w:id="203" w:name="_Toc32584"/>
      <w:bookmarkStart w:id="204" w:name="_Toc17920"/>
      <w:bookmarkStart w:id="205" w:name="_Toc48649708"/>
      <w:bookmarkStart w:id="206" w:name="_Toc29408"/>
      <w:bookmarkStart w:id="207" w:name="_Toc5170"/>
      <w:bookmarkStart w:id="208" w:name="_Toc79154674"/>
      <w:bookmarkStart w:id="209" w:name="_Toc176189763"/>
      <w:bookmarkStart w:id="210" w:name="_Toc123102457"/>
      <w:bookmarkStart w:id="211" w:name="_Toc32092"/>
      <w:bookmarkStart w:id="212" w:name="_Toc739"/>
      <w:bookmarkStart w:id="213" w:name="_Toc3329"/>
      <w:bookmarkStart w:id="214" w:name="_Toc8791"/>
      <w:bookmarkStart w:id="215" w:name="_Toc123112238"/>
      <w:bookmarkStart w:id="216" w:name="_Toc123051456"/>
      <w:bookmarkStart w:id="217" w:name="_Toc98560356"/>
      <w:bookmarkStart w:id="218" w:name="_Toc17198"/>
      <w:bookmarkStart w:id="219" w:name="_Toc141703890"/>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【兴银理财稳利恒盈封闭式2026年801期固收类理财产品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ascii="宋体" w:hAnsi="宋体" w:eastAsia="宋体" w:cs="宋体"/>
          <w:sz w:val="18"/>
          <w:szCs w:val="22"/>
        </w:rPr>
        <w:t>销售名称：【稳利恒盈封闭2026年801期(兴嘉选迎春款)A】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【稳利恒盈封闭2026年801期(兴嘉选迎春款)B】 (适用【B】类份额)</w:t>
      </w:r>
      <w:r>
        <w:rPr>
          <w:rFonts w:ascii="宋体" w:hAnsi="宋体" w:eastAsia="宋体" w:cs="宋体"/>
          <w:sz w:val="18"/>
          <w:szCs w:val="22"/>
        </w:rPr>
        <w:br w:type="textWrapping"/>
      </w:r>
      <w:r>
        <w:rPr>
          <w:rFonts w:ascii="宋体" w:hAnsi="宋体" w:eastAsia="宋体" w:cs="宋体"/>
          <w:sz w:val="18"/>
          <w:szCs w:val="22"/>
        </w:rPr>
        <w:t xml:space="preserve">     【稳利恒盈封闭2026年801期(兴嘉选迎春款)C】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【稳利恒盈封闭2026年801期(兴嘉选迎春款)D】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【稳利恒盈封闭2026年801期(兴嘉选迎春款)E】 (适用【E】类份额)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Z7002026000229</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■有固定期限:【363天】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（2）投资商品和金融衍生品类资产的风险 </w:t>
      </w:r>
    </w:p>
    <w:p>
      <w:pPr>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highlight w:val="yellow"/>
        </w:rPr>
      </w:pPr>
      <w:r>
        <w:rPr>
          <w:rFonts w:hint="eastAsia" w:ascii="宋体" w:hAnsi="宋体"/>
          <w:sz w:val="18"/>
          <w:szCs w:val="18"/>
          <w:highlight w:val="yellow"/>
          <w:lang w:val="en-US" w:eastAsia="zh-CN"/>
        </w:rPr>
        <w:t>2.</w:t>
      </w:r>
      <w:bookmarkStart w:id="222" w:name="_GoBack"/>
      <w:bookmarkEnd w:id="222"/>
      <w:r>
        <w:rPr>
          <w:rFonts w:hint="eastAsia" w:ascii="宋体" w:hAnsi="宋体"/>
          <w:sz w:val="18"/>
          <w:szCs w:val="18"/>
          <w:highlight w:val="yellow"/>
        </w:rPr>
        <w:t>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3C0D67AA"/>
    <w:rsid w:val="5BD25334"/>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45447</Words>
  <Characters>46301</Characters>
  <Lines>0</Lines>
  <Paragraphs>0</Paragraphs>
  <TotalTime>0</TotalTime>
  <ScaleCrop>false</ScaleCrop>
  <LinksUpToDate>false</LinksUpToDate>
  <CharactersWithSpaces>46905</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2026-02-04T01:38:38Z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10015E4B5EA24D1282992A44ADC49F95</vt:lpwstr>
  </property>
</Properties>
</file>