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24"/>
      <w:bookmarkStart w:id="1" w:name="_Toc139991726"/>
      <w:bookmarkStart w:id="2" w:name="_Toc123112263"/>
      <w:bookmarkStart w:id="3" w:name="_Toc123701383"/>
      <w:bookmarkStart w:id="4" w:name="_Toc139992301"/>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112225"/>
      <w:bookmarkStart w:id="6" w:name="_Toc123701384"/>
      <w:bookmarkStart w:id="7" w:name="_Toc123112264"/>
      <w:bookmarkStart w:id="8" w:name="_Toc139991727"/>
      <w:bookmarkStart w:id="9" w:name="_Toc139992302"/>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【2026】年【1】月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112266"/>
      <w:bookmarkStart w:id="12" w:name="_Toc123701386"/>
      <w:bookmarkStart w:id="13" w:name="_Toc139991729"/>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【兴银理财稳利恒盈封闭式2026年504期固收类理财产品】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【稳利恒盈封闭2026年504期14M(纯盈颐养款)A】 (适用【A】类份额)</w:t>
            </w:r>
            <w:r>
              <w:rPr>
                <w:rFonts w:ascii="宋体" w:hAnsi="宋体" w:eastAsia="宋体" w:cs="宋体"/>
                <w:sz w:val="18"/>
              </w:rPr>
              <w:br w:type="textWrapping"/>
            </w:r>
            <w:r>
              <w:rPr>
                <w:rFonts w:ascii="宋体" w:hAnsi="宋体" w:eastAsia="宋体" w:cs="宋体"/>
                <w:sz w:val="18"/>
              </w:rPr>
              <w:t>【稳利恒盈封闭2026年504期14M(纯盈颐养款)C】 (适用【C】类份额)</w:t>
            </w:r>
            <w:r>
              <w:rPr>
                <w:rFonts w:ascii="宋体" w:hAnsi="宋体" w:eastAsia="宋体" w:cs="宋体"/>
                <w:sz w:val="18"/>
              </w:rPr>
              <w:br w:type="textWrapping"/>
            </w:r>
            <w:r>
              <w:rPr>
                <w:rFonts w:ascii="宋体" w:hAnsi="宋体" w:eastAsia="宋体" w:cs="宋体"/>
                <w:sz w:val="18"/>
              </w:rPr>
              <w:t>【稳利恒盈封闭2026年504期14M(纯盈颐养款)D】 (适用【D】类份额)</w:t>
            </w:r>
            <w:r>
              <w:rPr>
                <w:rFonts w:ascii="宋体" w:hAnsi="宋体" w:eastAsia="宋体" w:cs="宋体"/>
                <w:sz w:val="18"/>
              </w:rPr>
              <w:br w:type="textWrapping"/>
            </w:r>
            <w:r>
              <w:rPr>
                <w:rFonts w:ascii="宋体" w:hAnsi="宋体" w:eastAsia="宋体" w:cs="宋体"/>
                <w:sz w:val="18"/>
              </w:rPr>
              <w:t>【稳利恒盈封闭2026年504期14M(纯盈颐养款)E】 (适用【E】类份额)</w:t>
            </w:r>
            <w:r>
              <w:rPr>
                <w:rFonts w:ascii="宋体" w:hAnsi="宋体" w:eastAsia="宋体" w:cs="宋体"/>
                <w:sz w:val="18"/>
              </w:rPr>
              <w:br w:type="textWrapping"/>
            </w:r>
            <w:r>
              <w:rPr>
                <w:rFonts w:ascii="宋体" w:hAnsi="宋体" w:eastAsia="宋体" w:cs="宋体"/>
                <w:sz w:val="18"/>
              </w:rPr>
              <w:t>【稳利恒盈封闭2026年504期14M(纯盈颐养款)F】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bCs/>
                <w:color w:val="auto"/>
                <w:sz w:val="18"/>
                <w:szCs w:val="18"/>
              </w:rPr>
              <w:t>【</w:t>
            </w:r>
            <w:r>
              <w:rPr>
                <w:rFonts w:hint="eastAsia" w:ascii="宋体" w:hAnsi="宋体"/>
                <w:bCs/>
                <w:color w:val="auto"/>
                <w:sz w:val="18"/>
                <w:szCs w:val="18"/>
                <w:lang w:val="en-US" w:eastAsia="zh-CN"/>
              </w:rPr>
              <w:t>Z7002025001988</w:t>
            </w:r>
            <w:r>
              <w:rPr>
                <w:rFonts w:hint="eastAsia" w:ascii="宋体" w:hAnsi="宋体"/>
                <w:bCs/>
                <w:color w:val="auto"/>
                <w:sz w:val="18"/>
                <w:szCs w:val="18"/>
              </w:rPr>
              <w:t>】注：投资者可依据理财产品登记编码在中国理财网查询产品信息</w:t>
            </w:r>
            <w:r>
              <w:rPr>
                <w:rFonts w:hint="default"/>
                <w:color w:val="auto"/>
                <w:szCs w:val="20"/>
              </w:rPr>
              <w:fldChar w:fldCharType="begin"/>
            </w:r>
            <w:r>
              <w:rPr>
                <w:rFonts w:hint="default"/>
                <w:color w:val="auto"/>
                <w:szCs w:val="20"/>
              </w:rPr>
              <w:instrText xml:space="preserve"> HYPERLINK "http://www.chinawealth.com.cn" </w:instrText>
            </w:r>
            <w:r>
              <w:rPr>
                <w:rFonts w:hint="default"/>
                <w:color w:val="auto"/>
                <w:szCs w:val="20"/>
              </w:rPr>
              <w:fldChar w:fldCharType="separate"/>
            </w:r>
            <w:r>
              <w:rPr>
                <w:rFonts w:hint="default" w:ascii="宋体" w:hAnsi="宋体"/>
                <w:bCs/>
                <w:color w:val="auto"/>
                <w:sz w:val="18"/>
                <w:szCs w:val="18"/>
              </w:rPr>
              <w:t>www.chinawealth.com.cn</w:t>
            </w:r>
            <w:r>
              <w:rPr>
                <w:rFonts w:hint="default" w:ascii="宋体" w:hAnsi="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【9N265040】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【9N26504A】 (适用【A】类份额)</w:t>
            </w:r>
            <w:r>
              <w:rPr>
                <w:rFonts w:ascii="宋体" w:hAnsi="宋体" w:eastAsia="宋体" w:cs="宋体"/>
                <w:sz w:val="18"/>
              </w:rPr>
              <w:br w:type="textWrapping"/>
            </w:r>
            <w:r>
              <w:rPr>
                <w:rFonts w:ascii="宋体" w:hAnsi="宋体" w:eastAsia="宋体" w:cs="宋体"/>
                <w:sz w:val="18"/>
              </w:rPr>
              <w:t>【9N26504C】 (适用【C】类份额)</w:t>
            </w:r>
            <w:r>
              <w:rPr>
                <w:rFonts w:ascii="宋体" w:hAnsi="宋体" w:eastAsia="宋体" w:cs="宋体"/>
                <w:sz w:val="18"/>
              </w:rPr>
              <w:br w:type="textWrapping"/>
            </w:r>
            <w:r>
              <w:rPr>
                <w:rFonts w:ascii="宋体" w:hAnsi="宋体" w:eastAsia="宋体" w:cs="宋体"/>
                <w:sz w:val="18"/>
              </w:rPr>
              <w:t>【9N26504D】 (适用【D】类份额)</w:t>
            </w:r>
            <w:r>
              <w:rPr>
                <w:rFonts w:ascii="宋体" w:hAnsi="宋体" w:eastAsia="宋体" w:cs="宋体"/>
                <w:sz w:val="18"/>
              </w:rPr>
              <w:br w:type="textWrapping"/>
            </w:r>
            <w:r>
              <w:rPr>
                <w:rFonts w:ascii="宋体" w:hAnsi="宋体" w:eastAsia="宋体" w:cs="宋体"/>
                <w:sz w:val="18"/>
              </w:rPr>
              <w:t>【9N26504E】 (适用【E】类份额)</w:t>
            </w:r>
            <w:r>
              <w:rPr>
                <w:rFonts w:ascii="宋体" w:hAnsi="宋体" w:eastAsia="宋体" w:cs="宋体"/>
                <w:sz w:val="18"/>
              </w:rPr>
              <w:br w:type="textWrapping"/>
            </w:r>
            <w:r>
              <w:rPr>
                <w:rFonts w:ascii="宋体" w:hAnsi="宋体" w:eastAsia="宋体" w:cs="宋体"/>
                <w:sz w:val="18"/>
              </w:rPr>
              <w:t>【9N26504F】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6306"/>
      <w:bookmarkStart w:id="15" w:name="_Toc123701389"/>
      <w:bookmarkStart w:id="16" w:name="_Toc23386"/>
      <w:bookmarkStart w:id="17" w:name="_Toc123112268"/>
      <w:bookmarkStart w:id="18" w:name="_Toc29629"/>
      <w:bookmarkStart w:id="19" w:name="_Toc15517"/>
      <w:bookmarkStart w:id="20" w:name="_Toc4867"/>
      <w:bookmarkStart w:id="21" w:name="_Toc26897"/>
      <w:bookmarkStart w:id="22" w:name="_Toc4966"/>
      <w:bookmarkStart w:id="23" w:name="_Toc30935"/>
      <w:bookmarkStart w:id="24" w:name="_Toc123112229"/>
      <w:bookmarkStart w:id="25" w:name="_Toc141703880"/>
      <w:bookmarkStart w:id="26" w:name="_Toc139991730"/>
      <w:bookmarkStart w:id="27" w:name="_Toc8727"/>
      <w:bookmarkStart w:id="28" w:name="_Toc3263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9592"/>
      <w:bookmarkStart w:id="33" w:name="_Toc15067"/>
      <w:bookmarkStart w:id="34" w:name="_Toc13020"/>
      <w:bookmarkStart w:id="35" w:name="_Toc24860"/>
      <w:bookmarkStart w:id="36" w:name="_Toc258829399"/>
      <w:bookmarkStart w:id="37" w:name="_Toc22864"/>
      <w:bookmarkStart w:id="38" w:name="_Toc6617"/>
      <w:bookmarkStart w:id="39" w:name="_Toc3224"/>
      <w:bookmarkStart w:id="40" w:name="_Toc2465"/>
      <w:bookmarkStart w:id="41" w:name="_Toc819"/>
      <w:bookmarkStart w:id="42" w:name="_Toc21301"/>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8631"/>
      <w:bookmarkStart w:id="48" w:name="_Toc6149"/>
      <w:bookmarkStart w:id="49" w:name="_Toc20318"/>
      <w:bookmarkStart w:id="50" w:name="_Toc22708"/>
      <w:bookmarkStart w:id="51" w:name="_Toc733"/>
      <w:bookmarkStart w:id="52" w:name="_Toc13288"/>
      <w:bookmarkStart w:id="53" w:name="_Toc6683"/>
      <w:bookmarkStart w:id="54" w:name="_Toc20627"/>
      <w:bookmarkStart w:id="55" w:name="_Toc545"/>
      <w:bookmarkStart w:id="56" w:name="_Toc24571"/>
      <w:bookmarkStart w:id="57" w:name="_Toc74065740"/>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w:t>
      </w:r>
      <w:r>
        <w:rPr>
          <w:rFonts w:hint="eastAsia" w:ascii="黑体" w:hAnsi="黑体" w:eastAsia="黑体"/>
          <w:b/>
          <w:bCs/>
          <w:sz w:val="44"/>
          <w:szCs w:val="44"/>
          <w:lang w:val="en-US" w:eastAsia="zh-CN"/>
        </w:rPr>
        <w:t>稳利恒盈封闭式固收类</w:t>
      </w:r>
      <w:r>
        <w:rPr>
          <w:rFonts w:hint="eastAsia" w:ascii="黑体" w:hAnsi="黑体" w:eastAsia="黑体"/>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【2026】年【1】月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50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【兴银理财稳利恒盈封闭式2026年504期固收类理财产品】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【稳利恒盈封闭2026年504期14M(纯盈颐养款)A】 (适用【A】类份额)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【稳利恒盈封闭2026年504期14M(纯盈颐养款)C】 (适用【C】类份额)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【稳利恒盈封闭2026年504期14M(纯盈颐养款)D】 (适用【D】类份额)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【稳利恒盈封闭2026年504期14M(纯盈颐养款)E】 (适用【E】类份额)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【稳利恒盈封闭2026年504期14M(纯盈颐养款)F】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Z7002025001988</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【9N265040】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【9N26504A】 (适用【A】类份额)</w:t>
            </w:r>
            <w:r>
              <w:rPr>
                <w:rFonts w:hint="default" w:ascii="宋体" w:hAnsi="宋体" w:eastAsia="宋体" w:cs="宋体"/>
                <w:sz w:val="18"/>
                <w:szCs w:val="22"/>
              </w:rPr>
              <w:br w:type="textWrapping"/>
            </w:r>
            <w:r>
              <w:rPr>
                <w:rFonts w:hint="default" w:ascii="宋体" w:hAnsi="宋体" w:eastAsia="宋体" w:cs="宋体"/>
                <w:sz w:val="18"/>
                <w:szCs w:val="22"/>
              </w:rPr>
              <w:t>【9N26504C】 (适用【C】类份额)</w:t>
            </w:r>
            <w:r>
              <w:rPr>
                <w:rFonts w:hint="default" w:ascii="宋体" w:hAnsi="宋体" w:eastAsia="宋体" w:cs="宋体"/>
                <w:sz w:val="18"/>
                <w:szCs w:val="22"/>
              </w:rPr>
              <w:br w:type="textWrapping"/>
            </w:r>
            <w:r>
              <w:rPr>
                <w:rFonts w:hint="default" w:ascii="宋体" w:hAnsi="宋体" w:eastAsia="宋体" w:cs="宋体"/>
                <w:sz w:val="18"/>
                <w:szCs w:val="22"/>
              </w:rPr>
              <w:t>【9N26504D】 (适用【D】类份额)</w:t>
            </w:r>
            <w:r>
              <w:rPr>
                <w:rFonts w:hint="default" w:ascii="宋体" w:hAnsi="宋体" w:eastAsia="宋体" w:cs="宋体"/>
                <w:sz w:val="18"/>
                <w:szCs w:val="22"/>
              </w:rPr>
              <w:br w:type="textWrapping"/>
            </w:r>
            <w:r>
              <w:rPr>
                <w:rFonts w:hint="default" w:ascii="宋体" w:hAnsi="宋体" w:eastAsia="宋体" w:cs="宋体"/>
                <w:sz w:val="18"/>
                <w:szCs w:val="22"/>
              </w:rPr>
              <w:t>【9N26504E】 (适用【E】类份额)</w:t>
            </w:r>
            <w:r>
              <w:rPr>
                <w:rFonts w:hint="default" w:ascii="宋体" w:hAnsi="宋体" w:eastAsia="宋体" w:cs="宋体"/>
                <w:sz w:val="18"/>
                <w:szCs w:val="22"/>
              </w:rPr>
              <w:br w:type="textWrapping"/>
            </w:r>
            <w:r>
              <w:rPr>
                <w:rFonts w:hint="default" w:ascii="宋体" w:hAnsi="宋体" w:eastAsia="宋体" w:cs="宋体"/>
                <w:sz w:val="18"/>
                <w:szCs w:val="22"/>
              </w:rPr>
              <w:t>【9N26504F】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7</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■有固定期限:【425天】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【2026年01月22日】【09:00】至【2026年01月29日】【17:00】。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【2026年01月30日】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【2027年03月31日】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超出起点金额的部分以【0.01】元的整数倍递增。（适用【F】类份额)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单一投资者认购上限为【/】元。（适用【F】类份额)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产品存续期间，单一投资者最高持有份额上限为【/】份，符合产品管理人流动性管理的稳定资金除外。（适用【F】类份额)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hint="default"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hint="default" w:ascii="黑体" w:hAnsi="黑体" w:eastAsia="黑体" w:cs="宋体"/>
                <w:color w:val="000000"/>
                <w:sz w:val="18"/>
                <w:szCs w:val="18"/>
                <w:lang w:val="en-US" w:eastAsia="zh-CN" w:bidi="ar-SA"/>
              </w:rPr>
              <w:t>50%。</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hint="default"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eastAsia" w:ascii="黑体" w:hAnsi="黑体" w:eastAsia="黑体" w:cs="宋体"/>
                <w:color w:val="000000"/>
                <w:sz w:val="18"/>
                <w:szCs w:val="18"/>
              </w:rPr>
              <w:t>（</w:t>
            </w:r>
            <w:r>
              <w:rPr>
                <w:rFonts w:hint="default"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（1）业绩比较基准的说明：【根据本产品各类资产的拟投资比例、资产信用利差、久期敞口以及流动性溢价，结合当前宏观环境和各类资产价格所处的位置，参考历史经验和回测结果，设定业绩基准。】。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年化【2.28%】。（适用【A】类份额)</w:t>
            </w:r>
            <w:r>
              <w:rPr>
                <w:rFonts w:hint="default" w:ascii="宋体" w:hAnsi="宋体" w:eastAsia="宋体" w:cs="宋体"/>
                <w:sz w:val="18"/>
                <w:szCs w:val="22"/>
              </w:rPr>
              <w:br w:type="textWrapping"/>
            </w:r>
            <w:r>
              <w:rPr>
                <w:rFonts w:hint="default" w:ascii="宋体" w:hAnsi="宋体" w:eastAsia="宋体" w:cs="宋体"/>
                <w:sz w:val="18"/>
                <w:szCs w:val="22"/>
              </w:rPr>
              <w:t>年化【2.32%】。（适用【C】类份额)</w:t>
            </w:r>
            <w:r>
              <w:rPr>
                <w:rFonts w:hint="default" w:ascii="宋体" w:hAnsi="宋体" w:eastAsia="宋体" w:cs="宋体"/>
                <w:sz w:val="18"/>
                <w:szCs w:val="22"/>
              </w:rPr>
              <w:br w:type="textWrapping"/>
            </w:r>
            <w:r>
              <w:rPr>
                <w:rFonts w:hint="default" w:ascii="宋体" w:hAnsi="宋体" w:eastAsia="宋体" w:cs="宋体"/>
                <w:sz w:val="18"/>
                <w:szCs w:val="22"/>
              </w:rPr>
              <w:t>年化【2.27%】。（适用【D】类份额)</w:t>
            </w:r>
            <w:r>
              <w:rPr>
                <w:rFonts w:hint="default" w:ascii="宋体" w:hAnsi="宋体" w:eastAsia="宋体" w:cs="宋体"/>
                <w:sz w:val="18"/>
                <w:szCs w:val="22"/>
              </w:rPr>
              <w:br w:type="textWrapping"/>
            </w:r>
            <w:r>
              <w:rPr>
                <w:rFonts w:hint="default" w:ascii="宋体" w:hAnsi="宋体" w:eastAsia="宋体" w:cs="宋体"/>
                <w:sz w:val="18"/>
                <w:szCs w:val="22"/>
              </w:rPr>
              <w:t>年化【2.17%】。（适用【E】类份额)</w:t>
            </w:r>
            <w:r>
              <w:rPr>
                <w:rFonts w:hint="default" w:ascii="宋体" w:hAnsi="宋体" w:eastAsia="宋体" w:cs="宋体"/>
                <w:sz w:val="18"/>
                <w:szCs w:val="22"/>
              </w:rPr>
              <w:br w:type="textWrapping"/>
            </w:r>
            <w:r>
              <w:rPr>
                <w:rFonts w:hint="default" w:ascii="宋体" w:hAnsi="宋体" w:eastAsia="宋体" w:cs="宋体"/>
                <w:sz w:val="18"/>
                <w:szCs w:val="22"/>
              </w:rPr>
              <w:t>年化【2.07%】。（适用【F】类份额)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年化【2.28%】。（适用【A】类份额)</w:t>
            </w:r>
            <w:r>
              <w:rPr>
                <w:rFonts w:hint="default" w:ascii="宋体" w:hAnsi="宋体" w:eastAsia="宋体" w:cs="宋体"/>
                <w:sz w:val="18"/>
                <w:szCs w:val="22"/>
              </w:rPr>
              <w:br w:type="textWrapping"/>
            </w:r>
            <w:r>
              <w:rPr>
                <w:rFonts w:hint="default" w:ascii="宋体" w:hAnsi="宋体" w:eastAsia="宋体" w:cs="宋体"/>
                <w:sz w:val="18"/>
                <w:szCs w:val="22"/>
              </w:rPr>
              <w:t>年化【2.32%】。（适用【C】类份额)</w:t>
            </w:r>
            <w:r>
              <w:rPr>
                <w:rFonts w:hint="default" w:ascii="宋体" w:hAnsi="宋体" w:eastAsia="宋体" w:cs="宋体"/>
                <w:sz w:val="18"/>
                <w:szCs w:val="22"/>
              </w:rPr>
              <w:br w:type="textWrapping"/>
            </w:r>
            <w:r>
              <w:rPr>
                <w:rFonts w:hint="default" w:ascii="宋体" w:hAnsi="宋体" w:eastAsia="宋体" w:cs="宋体"/>
                <w:sz w:val="18"/>
                <w:szCs w:val="22"/>
              </w:rPr>
              <w:t>年化【2.27%】。（适用【D】类份额)</w:t>
            </w:r>
            <w:r>
              <w:rPr>
                <w:rFonts w:hint="default" w:ascii="宋体" w:hAnsi="宋体" w:eastAsia="宋体" w:cs="宋体"/>
                <w:sz w:val="18"/>
                <w:szCs w:val="22"/>
              </w:rPr>
              <w:br w:type="textWrapping"/>
            </w:r>
            <w:r>
              <w:rPr>
                <w:rFonts w:hint="default" w:ascii="宋体" w:hAnsi="宋体" w:eastAsia="宋体" w:cs="宋体"/>
                <w:sz w:val="18"/>
                <w:szCs w:val="22"/>
              </w:rPr>
              <w:t>年化【2.17%】。（适用【E】类份额)</w:t>
            </w:r>
            <w:r>
              <w:rPr>
                <w:rFonts w:hint="default" w:ascii="宋体" w:hAnsi="宋体" w:eastAsia="宋体" w:cs="宋体"/>
                <w:sz w:val="18"/>
                <w:szCs w:val="22"/>
              </w:rPr>
              <w:br w:type="textWrapping"/>
            </w:r>
            <w:r>
              <w:rPr>
                <w:rFonts w:hint="default" w:ascii="宋体" w:hAnsi="宋体" w:eastAsia="宋体" w:cs="宋体"/>
                <w:sz w:val="18"/>
                <w:szCs w:val="22"/>
              </w:rPr>
              <w:t>年化【2.07%】。（适用【F】类份额)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【/】。（适用【F】类份额）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年化费率【0.09%】。（适用【A】类份额）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年化费率【0.05%】。（适用【C】类份额）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年化费率【0.1%】。（适用【D】类份额）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年化费率【0.2%】。（适用【E】类份额）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年化费率【0.3%】。（适用【F】类份额）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（3）投资管理费：年化费率【0.01%】</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3266"/>
      <w:bookmarkStart w:id="78" w:name="_Toc27189"/>
      <w:bookmarkStart w:id="79" w:name="_Toc79154668"/>
      <w:bookmarkStart w:id="80" w:name="_Toc7151"/>
      <w:bookmarkStart w:id="81" w:name="_Toc29948"/>
      <w:bookmarkStart w:id="82" w:name="_Toc22074"/>
      <w:bookmarkStart w:id="83" w:name="_Toc74065741"/>
      <w:bookmarkStart w:id="84" w:name="_Toc27226"/>
      <w:bookmarkStart w:id="85" w:name="_Toc16265"/>
      <w:bookmarkStart w:id="86" w:name="_Toc6714"/>
      <w:bookmarkStart w:id="87" w:name="_Toc29784"/>
      <w:bookmarkStart w:id="88" w:name="_Toc15203"/>
      <w:bookmarkStart w:id="89" w:name="_Toc90742688"/>
      <w:bookmarkStart w:id="90" w:name="_Toc90742390"/>
      <w:bookmarkStart w:id="91" w:name="_Toc90742321"/>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（3）符合监管要求的债权类资产。</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（4）以套期保值为目的的国债期货、利率互换、信用风险缓释工具、债券借贷。</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（5）优先股。</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（6）结构化资产管理产品的优先级份额。</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（8）其他风险不高于前述资产的资产。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【（1）本产品投资于债权类资产的比例不低于产品总资产的80%。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（2）国债期货、利率互换、信用风险缓释工具等衍生品占产品总资产比例低于20%。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（3）投资于权益类资产的比例不高于产品总资产的10%，权益类资产仅限于投资于优先股和结构化资产管理产品的优先级份额。</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（4）符合监管要求的非标准化债权类资产低于产品净资产的50%。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823"/>
      <w:bookmarkStart w:id="94" w:name="_Toc17912"/>
      <w:bookmarkStart w:id="95" w:name="_Toc26986"/>
      <w:bookmarkStart w:id="96" w:name="_Toc176189758"/>
      <w:bookmarkStart w:id="97" w:name="_Toc14893"/>
      <w:bookmarkStart w:id="98" w:name="_Toc141703885"/>
      <w:bookmarkStart w:id="99" w:name="_Toc7848"/>
      <w:bookmarkStart w:id="100" w:name="_Toc79154669"/>
      <w:bookmarkStart w:id="101" w:name="_Toc18797"/>
      <w:bookmarkStart w:id="102" w:name="_Toc4741"/>
      <w:bookmarkStart w:id="103" w:name="_Toc139991735"/>
      <w:bookmarkStart w:id="104" w:name="_Toc21988"/>
      <w:bookmarkStart w:id="105" w:name="_Toc18526"/>
      <w:bookmarkStart w:id="106" w:name="_Toc74065742"/>
      <w:bookmarkStart w:id="107" w:name="_Toc18329"/>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20733"/>
      <w:bookmarkStart w:id="110" w:name="_Toc139991736"/>
      <w:bookmarkStart w:id="111" w:name="_Toc610"/>
      <w:bookmarkStart w:id="112" w:name="_Toc123102453"/>
      <w:bookmarkStart w:id="113" w:name="_Toc79392606"/>
      <w:bookmarkStart w:id="114" w:name="_Toc1427"/>
      <w:bookmarkStart w:id="115" w:name="_Toc74065743"/>
      <w:bookmarkStart w:id="116" w:name="_Toc176189759"/>
      <w:bookmarkStart w:id="117" w:name="_Toc7920"/>
      <w:bookmarkStart w:id="118" w:name="_Toc123112234"/>
      <w:bookmarkStart w:id="119" w:name="_Toc141703886"/>
      <w:bookmarkStart w:id="120" w:name="_Toc48649707"/>
      <w:bookmarkStart w:id="121" w:name="_Toc23261"/>
      <w:bookmarkStart w:id="122" w:name="_Toc98560352"/>
      <w:bookmarkStart w:id="123" w:name="_Toc79154670"/>
      <w:bookmarkStart w:id="124" w:name="_Toc1270"/>
      <w:bookmarkStart w:id="125" w:name="_Toc4003"/>
      <w:bookmarkStart w:id="126" w:name="_Toc17244"/>
      <w:bookmarkStart w:id="127" w:name="_Toc10463"/>
      <w:bookmarkStart w:id="128" w:name="_Toc23822"/>
      <w:bookmarkStart w:id="129" w:name="_Toc123051452"/>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76189760"/>
      <w:bookmarkStart w:id="132" w:name="_Toc12245"/>
      <w:bookmarkStart w:id="133" w:name="_Toc123112235"/>
      <w:bookmarkStart w:id="134" w:name="_Toc3601"/>
      <w:bookmarkStart w:id="135" w:name="_Toc31653"/>
      <w:bookmarkStart w:id="136" w:name="_Toc15143"/>
      <w:bookmarkStart w:id="137" w:name="_Toc79154671"/>
      <w:bookmarkStart w:id="138" w:name="_Toc141703887"/>
      <w:bookmarkStart w:id="139" w:name="_Toc123102454"/>
      <w:bookmarkStart w:id="140" w:name="_Toc31644"/>
      <w:bookmarkStart w:id="141" w:name="_Toc29251"/>
      <w:bookmarkStart w:id="142" w:name="_Toc139991737"/>
      <w:bookmarkStart w:id="143" w:name="_Toc6405"/>
      <w:bookmarkStart w:id="144" w:name="_Toc123051453"/>
      <w:bookmarkStart w:id="145" w:name="_Toc26207"/>
      <w:bookmarkStart w:id="146" w:name="_Toc14835"/>
      <w:bookmarkStart w:id="147" w:name="_Toc74065744"/>
      <w:bookmarkStart w:id="148" w:name="_Toc31235"/>
      <w:bookmarkStart w:id="149" w:name="_Toc9856035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523711668"/>
      <w:bookmarkStart w:id="153" w:name="_Toc79392580"/>
      <w:bookmarkStart w:id="154" w:name="_Toc15118234"/>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123102455"/>
      <w:bookmarkStart w:id="158" w:name="_Toc98560354"/>
      <w:bookmarkStart w:id="159" w:name="_Toc18567"/>
      <w:bookmarkStart w:id="160" w:name="_Toc25783"/>
      <w:bookmarkStart w:id="161" w:name="_Toc6447"/>
      <w:bookmarkStart w:id="162" w:name="_Toc7058"/>
      <w:bookmarkStart w:id="163" w:name="_Toc123112236"/>
      <w:bookmarkStart w:id="164" w:name="_Toc3771"/>
      <w:bookmarkStart w:id="165" w:name="_Toc9706"/>
      <w:bookmarkStart w:id="166" w:name="_Toc141703888"/>
      <w:bookmarkStart w:id="167" w:name="_Toc74065745"/>
      <w:bookmarkStart w:id="168" w:name="_Toc4559"/>
      <w:bookmarkStart w:id="169" w:name="_Toc10650"/>
      <w:bookmarkStart w:id="170" w:name="_Toc11030"/>
      <w:bookmarkStart w:id="171" w:name="_Toc176189761"/>
      <w:bookmarkStart w:id="172" w:name="_Toc123051454"/>
      <w:bookmarkStart w:id="173" w:name="_Toc79392583"/>
      <w:bookmarkStart w:id="174" w:name="_Toc79154672"/>
      <w:bookmarkStart w:id="175" w:name="_Toc139991738"/>
      <w:bookmarkStart w:id="176" w:name="_Toc3321"/>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本产品的销售服务费于产品成立日一次性计提，每日摊销。销售服务费的计算方法如下：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H＝E×销售服务费年费率×产品期限总天数÷365</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H为应计提的产品销售服务费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E为产品成立日的产品总份额</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销售服务费依照上述约定，从理财财产中支付。费率具体数值以《产品说明书》“第二条 理财产品基本情况”为准。</w:t>
      </w:r>
    </w:p>
    <w:p>
      <w:pPr>
        <w:widowControl w:val="0"/>
        <w:autoSpaceDE w:val="0"/>
        <w:autoSpaceDN w:val="0"/>
        <w:adjustRightInd w:val="0"/>
        <w:spacing w:line="360" w:lineRule="auto"/>
        <w:ind w:firstLine="361" w:firstLineChars="200"/>
        <w:rPr>
          <w:rFonts w:ascii="黑体" w:hAnsi="黑体" w:eastAsia="黑体" w:cs="宋体"/>
          <w:b/>
          <w:bCs/>
          <w:color w:val="000000"/>
          <w:sz w:val="18"/>
          <w:szCs w:val="18"/>
          <w:lang w:val="en-US" w:eastAsia="zh-CN" w:bidi="ar-SA"/>
        </w:rPr>
      </w:pPr>
      <w:r>
        <w:rPr>
          <w:rFonts w:hint="eastAsia" w:ascii="黑体" w:hAnsi="黑体" w:eastAsia="黑体" w:cs="宋体"/>
          <w:b/>
          <w:bCs/>
          <w:color w:val="000000"/>
          <w:sz w:val="18"/>
          <w:szCs w:val="18"/>
          <w:lang w:val="en-US" w:eastAsia="zh-CN" w:bidi="ar-SA"/>
        </w:rPr>
        <w:t>注：如本产品发生提前终止或提前退出，则产品管理人根据实际产品期限天数/实际份额计算销售服务费，多收取的销售服务费退还至理财产品资产。</w:t>
      </w:r>
    </w:p>
    <w:p>
      <w:pPr>
        <w:widowControl w:val="0"/>
        <w:autoSpaceDE w:val="0"/>
        <w:autoSpaceDN w:val="0"/>
        <w:adjustRightInd w:val="0"/>
        <w:spacing w:line="360" w:lineRule="auto"/>
        <w:ind w:firstLine="361" w:firstLineChars="200"/>
        <w:rPr>
          <w:rFonts w:hint="eastAsia" w:ascii="黑体" w:hAnsi="黑体" w:eastAsia="黑体" w:cs="黑体"/>
          <w:b/>
          <w:bCs/>
          <w:color w:val="auto"/>
          <w:kern w:val="2"/>
          <w:sz w:val="18"/>
          <w:szCs w:val="18"/>
          <w:lang w:val="en-US" w:eastAsia="zh-CN" w:bidi="ar-SA"/>
        </w:rPr>
      </w:pP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业绩报酬计提基准的设置、超额业绩报酬的具体比例数值以《</w:t>
      </w:r>
      <w:r>
        <w:rPr>
          <w:rFonts w:hint="eastAsia" w:ascii="黑体" w:hAnsi="黑体" w:eastAsia="黑体" w:cs="黑体"/>
          <w:bCs/>
          <w:sz w:val="18"/>
          <w:szCs w:val="18"/>
        </w:rPr>
        <w:t>产品说明</w:t>
      </w:r>
      <w:r>
        <w:rPr>
          <w:rFonts w:hint="eastAsia" w:ascii="黑体" w:hAnsi="黑体" w:eastAsia="黑体" w:cs="黑体"/>
          <w:sz w:val="18"/>
          <w:szCs w:val="18"/>
        </w:rPr>
        <w:t>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1）收取超额业绩报酬的原则：</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2）超额业绩报酬计提方法</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②超额业绩报酬计提日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每份产品份额超额业绩报酬每日计提，产品终止日结算。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③超额业绩报酬的计算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当R≤当前业绩报酬计提基准，超额业绩报酬=0；</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3080"/>
      <w:bookmarkStart w:id="180" w:name="_Toc79154673"/>
      <w:bookmarkStart w:id="181" w:name="_Toc176189762"/>
      <w:bookmarkStart w:id="182" w:name="_Toc123112237"/>
      <w:bookmarkStart w:id="183" w:name="_Toc21735"/>
      <w:bookmarkStart w:id="184" w:name="_Toc74065746"/>
      <w:bookmarkStart w:id="185" w:name="_Toc141703889"/>
      <w:bookmarkStart w:id="186" w:name="_Toc31821"/>
      <w:bookmarkStart w:id="187" w:name="_Toc98560355"/>
      <w:bookmarkStart w:id="188" w:name="_Toc10398"/>
      <w:bookmarkStart w:id="189" w:name="_Toc123051455"/>
      <w:bookmarkStart w:id="190" w:name="_Toc725"/>
      <w:bookmarkStart w:id="191" w:name="_Toc139991739"/>
      <w:bookmarkStart w:id="192" w:name="_Toc3572"/>
      <w:bookmarkStart w:id="193" w:name="_Toc16164"/>
      <w:bookmarkStart w:id="194" w:name="_Toc123102456"/>
      <w:bookmarkStart w:id="195" w:name="_Toc18206"/>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3329"/>
      <w:bookmarkStart w:id="200" w:name="_Toc29408"/>
      <w:bookmarkStart w:id="201" w:name="_Toc74065747"/>
      <w:bookmarkStart w:id="202" w:name="_Toc17198"/>
      <w:bookmarkStart w:id="203" w:name="_Toc79392622"/>
      <w:bookmarkStart w:id="204" w:name="_Toc123102457"/>
      <w:bookmarkStart w:id="205" w:name="_Toc5170"/>
      <w:bookmarkStart w:id="206" w:name="_Toc176189763"/>
      <w:bookmarkStart w:id="207" w:name="_Toc98560356"/>
      <w:bookmarkStart w:id="208" w:name="_Toc123051456"/>
      <w:bookmarkStart w:id="209" w:name="_Toc48649708"/>
      <w:bookmarkStart w:id="210" w:name="_Toc21237"/>
      <w:bookmarkStart w:id="211" w:name="_Toc32092"/>
      <w:bookmarkStart w:id="212" w:name="_Toc123112238"/>
      <w:bookmarkStart w:id="213" w:name="_Toc8791"/>
      <w:bookmarkStart w:id="214" w:name="_Toc739"/>
      <w:bookmarkStart w:id="215" w:name="_Toc17920"/>
      <w:bookmarkStart w:id="216" w:name="_Toc139991740"/>
      <w:bookmarkStart w:id="217" w:name="_Toc32584"/>
      <w:bookmarkStart w:id="218" w:name="_Toc141703890"/>
      <w:bookmarkStart w:id="219" w:name="_Toc79154674"/>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1）投资股票类资产的风险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2）投资股权类资产的风险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【兴银理财稳利恒盈封闭式2026年504期固收类理财产品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ascii="宋体" w:hAnsi="宋体" w:eastAsia="宋体" w:cs="宋体"/>
          <w:sz w:val="18"/>
          <w:szCs w:val="22"/>
        </w:rPr>
        <w:t>销售名称：【稳利恒盈封闭2026年504期14M(纯盈颐养款)A】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【稳利恒盈封闭2026年504期14M(纯盈颐养款)C】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【稳利恒盈封闭2026年504期14M(纯盈颐养款)D】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【稳利恒盈封闭2026年504期14M(纯盈颐养款)E】 (适用【E】类份额)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【稳利恒盈封闭2026年504期14M(纯盈颐养款)F】 (适用【F】类份额)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Z7002025001988</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■有固定期限:【425天】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pPr>
        <w:ind w:firstLine="360" w:firstLineChars="200"/>
        <w:rPr>
          <w:rFonts w:hint="eastAsia" w:ascii="宋体" w:hAnsi="宋体" w:cs="宋体"/>
          <w:sz w:val="18"/>
          <w:szCs w:val="18"/>
        </w:rPr>
      </w:pPr>
      <w:r>
        <w:rPr>
          <w:rFonts w:hint="eastAsia" w:ascii="宋体" w:hAnsi="宋体" w:cs="宋体"/>
          <w:sz w:val="18"/>
          <w:szCs w:val="18"/>
        </w:rPr>
        <w:t>1）投资股票类资产的风险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2）投资股权类资产的风险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pPr>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A261DD"/>
    <w:rsid w:val="2BBE5BA7"/>
    <w:rsid w:val="32A71D30"/>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72</Pages>
  <Words>47187</Words>
  <Characters>48211</Characters>
  <Lines>0</Lines>
  <Paragraphs>0</Paragraphs>
  <TotalTime>0</TotalTime>
  <ScaleCrop>false</ScaleCrop>
  <LinksUpToDate>false</LinksUpToDate>
  <CharactersWithSpaces>48763</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2026-01-20T07:10:16Z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36A660A23783432186B35E6B92297EF0</vt:lpwstr>
  </property>
</Properties>
</file>