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幸福99丰裕固收386天25236期理财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幸福99丰裕固收386天25236期理财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幸福99丰裕固收386天25236期理财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幸福99丰裕固收386天25236期理财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幸福99丰裕固收386天25236期理财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幸福99丰裕固收386天25236期理财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Z7002226000007</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幸福99丰裕固收386天25236期理财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幸福99丰裕固收386天25236期理财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幸福99丰裕固收386天25236期理财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幸福99丰裕固收386天25236期理财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幸福99丰裕固收386天25236期理财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幸福99丰裕固收386天25236期理财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幸福99丰裕固收386天25236期理财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丰裕固收25236期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FYG25236</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Z7002226000007</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A份额（销售代码〖FYG25236A〗）：普通个人投资者和机构客户。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B份额（销售代码〖FYG25236B〗）：普通个人投资者和机构客户。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C份额（销售代码〖FYG25236C〗）：普通个人投资者和机构客户。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D份额（销售代码〖FYG25236D〗）：普通个人投资者和机构客户。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E份额（公司专属）（销售代码〖FYG25236E〗）：普通个人投资者和机构客户。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F份额（销售代码〖FYG25236F〗）：普通个人投资者和机构客户。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G份额（汉口银行新春专属）（销售代码〖FYG25236G〗）：普通个人投资者和机构客户。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H份额（北行专属）（销售代码〖FYG25236H〗）：普通个人投资者和机构客户。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I份额（爽盈优选）（销售代码〖FYG25236I〗）：普通个人投资者和机构客户。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J份额（销售代码〖FYG25236J〗）：普通个人投资者和机构客户。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K份额（鲲鹏优选）（销售代码〖FYG25236K〗）：普通个人投资者和机构客户。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L份额（宁夏银行尊享款）（销售代码〖FYG25236L〗）：普通个人投资者和机构客户。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M份额（天府·优选）（销售代码〖FYG25236M〗）：普通个人投资者和机构客户。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N份额惠享款（长长财富·专属）（销售代码〖FYG25236N〗）：普通个人投资者和机构客户。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O份额（销售代码〖FYG25236O〗）：普通个人投资者和机构客户。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P份额（芙蓉锦程·优选）（销售代码〖FYG25236P〗）：普通个人投资者和机构客户。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Q份额（兰州银行开门红专属）（销售代码〖FYG25236Q〗）：普通个人投资者和机构客户。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R份额惠享款吉行十二号（销售代码〖FYG25236R〗）：普通个人投资者和机构客户。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S份额惠享款（齐鲁-逢六有约）（销售代码〖FYG25236S〗）：普通个人投资者和机构客户。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U份额惠享款（销售代码〖FYG25236U〗）：普通个人投资者和机构客户。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V份额（金芙蓉专属）（销售代码〖FYG25236V〗）：普通个人投资者和机构客户。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W份额惠享款（销售代码〖FYG25236W〗）：普通个人投资者和机构客户。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X份额（销售代码〖FYG25236X〗）：普通个人投资者。</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Y份额惠享款（销售代码〖FYG25236Y〗）：普通个人投资者和机构客户。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Z份额惠享款（销售代码〖FYG25236Z〗）：普通个人投资者和机构客户。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6</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13</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w:t>
            </w:r>
            <w:r>
              <w:rPr>
                <w:rFonts w:hint="eastAsia" w:ascii="宋体" w:hAnsi="宋体" w:cs="宋体"/>
                <w:color w:val="000000"/>
                <w:kern w:val="0"/>
                <w:sz w:val="21"/>
                <w:szCs w:val="21"/>
                <w:highlight w:val="none"/>
                <w:lang w:val="en-US" w:eastAsia="zh-CN" w:bidi="ar-SA"/>
              </w:rPr>
              <w:t>20</w:t>
            </w:r>
            <w:r>
              <w:rPr>
                <w:rFonts w:hint="eastAsia" w:ascii="宋体" w:hAnsi="宋体" w:eastAsia="宋体" w:cs="宋体"/>
                <w:color w:val="000000"/>
                <w:kern w:val="0"/>
                <w:sz w:val="21"/>
                <w:szCs w:val="21"/>
                <w:highlight w:val="none"/>
                <w:lang w:val="en-US" w:eastAsia="zh-CN" w:bidi="ar-SA"/>
              </w:rPr>
              <w:t>〗</w:t>
            </w:r>
            <w:r>
              <w:rPr>
                <w:rFonts w:hint="eastAsia" w:ascii="宋体" w:hAnsi="宋体" w:cs="宋体"/>
                <w:color w:val="000000"/>
                <w:kern w:val="0"/>
                <w:sz w:val="21"/>
                <w:szCs w:val="21"/>
                <w:highlight w:val="none"/>
                <w:lang w:val="en-US" w:eastAsia="zh-CN" w:bidi="ar-SA"/>
              </w:rPr>
              <w:t>万</w:t>
            </w:r>
            <w:r>
              <w:rPr>
                <w:rFonts w:hint="eastAsia" w:ascii="宋体" w:hAnsi="宋体" w:eastAsia="宋体" w:cs="宋体"/>
                <w:color w:val="000000"/>
                <w:kern w:val="0"/>
                <w:sz w:val="21"/>
                <w:szCs w:val="21"/>
                <w:highlight w:val="none"/>
                <w:lang w:val="en-US" w:eastAsia="zh-CN" w:bidi="ar-SA"/>
              </w:rPr>
              <w:t>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〖K份额〗起点〖1〗元整，超过认购起点部分，应为〖1〗元的整数倍。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〖O份额〗起点〖1〗元整，超过认购起点部分，应为〖1〗元的整数倍。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〖S份额〗起点〖1〗元整，超过认购起点部分，应为〖1〗元的整数倍。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〖U份额〗起点〖10〗万元整，超过认购起点部分，应为〖1〗元的整数倍。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〖V份额〗起点〖100〗万元整，超过认购起点部分，应为〖1〗元的整数倍。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〖X份额〗起点〖1〗元整，超过认购起点部分，应为〖1〗元的整数倍。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本理财计划〖E份额〗业绩比较基准为〖2.25%-2.45%〗（年化）。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本理财计划〖F份额〗业绩比较基准为〖2.45%-2.65%〗（年化）。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本理财计划〖S份额〗业绩比较基准为〖2.56%-2.76%〗（年化）。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本理财计划〖U份额〗业绩比较基准为〖2.50%-2.70%〗（年化）。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本理财计划〖Z份额〗业绩比较基准为〖2.60%-2.80%〗（年化）。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〖F份额〗收取年化〖0.25%〗的销售服务费, 〖G份额〗收取年化〖0.01%〗的销售服务费, 〖H份额〗收取年化〖0.20%〗的销售服务费, 〖I份额〗收取年化〖0.30%〗的销售服务费, 〖J份额〗收取年化〖0.05%〗的销售服务费, 〖K份额〗收取年化〖0.30%〗的销售服务费, 〖L份额〗收取年化〖0.10%〗的销售服务费, 〖M份额〗收取年化〖0.15%〗的销售服务费, 〖N份额〗收取年化〖0.20%〗的销售服务费, 〖O份额〗收取年化〖0.20%〗的销售服务费, 〖P份额〗收取年化〖0.15%〗的销售服务费, 〖Q份额〗收取年化〖0.15%〗的销售服务费, 〖R份额〗收取年化〖0.15%〗的销售服务费, 〖S份额〗收取年化〖0.15%〗的销售服务费, 〖U份额〗收取年化〖0.20%〗的销售服务费, 〖V份额〗收取年化〖0.10%〗的销售服务费, 〖W份额〗收取年化〖0.30%〗的销售服务费, 〖X份额〗收取年化〖0.05%〗的销售服务费,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〖E份额〗收取年化〖0.15%〗的固定管理费, 〖F份额〗收取年化〖0.10%〗的固定管理费, 〖G份额〗收取年化〖0.04%〗的固定管理费, 〖H份额〗收取年化〖0.10%〗的固定管理费, 〖I份额〗收取年化〖0.10%〗的固定管理费, 〖J份额〗收取年化〖0.10%〗的固定管理费, 〖K份额〗收取年化〖0.10%〗的固定管理费, 〖L份额〗收取年化〖0.10%〗的固定管理费, 〖M份额〗收取年化〖0.10%〗的固定管理费, 〖N份额〗收取年化〖0.10%〗的固定管理费, 〖O份额〗收取年化〖0.10%〗的固定管理费, 〖P份额〗收取年化〖0.10%〗的固定管理费, 〖Q份额〗收取年化〖0.10%〗的固定管理费, 〖R份额〗收取年化〖0.10%〗的固定管理费, 〖S份额〗收取年化〖0.09%〗的固定管理费, 〖U份额〗收取年化〖0.10%〗的固定管理费, 〖V份额〗收取年化〖0.10%〗的固定管理费, 〖W份额〗收取年化〖0.10%〗的固定管理费, 〖X份额〗收取年化〖0.10%〗的固定管理费, 〖Y份额〗收取年化〖0.10%〗的固定管理费, 〖Z份额〗收取年化〖0.10%〗的固定管理费。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折合年化收益率超过〖业绩比较基准上限〗的部分，管理人提取〖80%〗作为浮动管理费；〖O份额〗到期日（提前终止日）的折合年化收益率在〖业绩比较基准下限（含）至业绩比较基准中枢（含）〗的部分，管理人提取〖50%〗作为浮动管理费，在折合年化收益率超过〖业绩比较基准中枢〗的部分，管理人提取〖60%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J份额〗、〖K份额〗、〖L份额〗、〖M份额〗、〖O份额〗、〖P份额〗、〖Q份额〗、〖V份额〗、〖X份额〗和销售服务费于产品成立日一次性收取的〖N份额〗、〖R份额〗、〖S份额〗、〖U份额〗、〖W份额〗、〖Y份额〗、〖Z份额〗。A份额的年化销售服务费率为〖0.30%〗, B份额的年化销售服务费率为〖0.20%〗, C份额的年化销售服务费率为〖0.10%〗, D份额的年化销售服务费率为〖0.15%〗, E份额的年化销售服务费率为〖0.40%〗, F份额的年化销售服务费率为〖0.25%〗, G份额的年化销售服务费率为〖0.01%〗, H份额的年化销售服务费率为〖0.20%〗, I份额的年化销售服务费率为〖0.30%〗, J份额的年化销售服务费率为〖0.05%〗, K份额的年化销售服务费率为〖0.30%〗, L份额的年化销售服务费率为〖0.10%〗, M份额的年化销售服务费率为〖0.15%〗, N份额的年化销售服务费率为〖0.20%〗, O份额的年化销售服务费率为〖0.20%〗, P份额的年化销售服务费率为〖0.15%〗, Q份额的年化销售服务费率为〖0.15%〗, R份额的年化销售服务费率为〖0.15%〗, S份额的年化销售服务费率为〖0.15%〗, U份额的年化销售服务费率为〖0.20%〗, V份额的年化销售服务费率为〖0.10%〗, W份额的年化销售服务费率为〖0.30%〗, X份额的年化销售服务费率为〖0.05%〗,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E份额的年化固定管理费率为〖0.15%〗, F份额的年化固定管理费率为〖0.10%〗, G份额的年化固定管理费率为〖0.04%〗, H份额的年化固定管理费率为〖0.10%〗, I份额的年化固定管理费率为〖0.10%〗, J份额的年化固定管理费率为〖0.10%〗, K份额的年化固定管理费率为〖0.10%〗, L份额的年化固定管理费率为〖0.10%〗, M份额的年化固定管理费率为〖0.10%〗, N份额的年化固定管理费率为〖0.10%〗, O份额的年化固定管理费率为〖0.10%〗, P份额的年化固定管理费率为〖0.10%〗, Q份额的年化固定管理费率为〖0.10%〗, R份额的年化固定管理费率为〖0.10%〗, S份额的年化固定管理费率为〖0.09%〗, U份额的年化固定管理费率为〖0.10%〗, V份额的年化固定管理费率为〖0.10%〗, W份额的年化固定管理费率为〖0.10%〗, X份额的年化固定管理费率为〖0.10%〗, Y份额的年化固定管理费率为〖0.10%〗, Z份额的年化固定管理费率为〖0.10%〗,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07C4F"/>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B37867"/>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EAB10A9"/>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E7F7BE9"/>
    <w:rsid w:val="7F5F887D"/>
    <w:rsid w:val="7F9FC635"/>
    <w:rsid w:val="7FCC7D05"/>
    <w:rsid w:val="7FEF42B8"/>
    <w:rsid w:val="7FEFE414"/>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D7F9463"/>
    <w:rsid w:val="FEAED78B"/>
    <w:rsid w:val="FF5D960F"/>
    <w:rsid w:val="FFC5100A"/>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33877</Words>
  <Characters>34745</Characters>
  <Lines>1</Lines>
  <Paragraphs>1</Paragraphs>
  <TotalTime>0</TotalTime>
  <ScaleCrop>false</ScaleCrop>
  <LinksUpToDate>false</LinksUpToDate>
  <CharactersWithSpaces>35110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Administrator</dc:creator>
  <cp:lastModifiedBy>hccb</cp:lastModifiedBy>
  <dcterms:modified xsi:type="dcterms:W3CDTF">2026-01-04T01:28:41Z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