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701383"/>
      <w:bookmarkStart w:id="1" w:name="_Toc139992301"/>
      <w:bookmarkStart w:id="2" w:name="_Toc123112224"/>
      <w:bookmarkStart w:id="3" w:name="_Toc123112263"/>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39992302"/>
      <w:bookmarkStart w:id="7" w:name="_Toc123112225"/>
      <w:bookmarkStart w:id="8" w:name="_Toc12311226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【兴银理财稳利恒盈封闭式2026年502期固收类理财产品】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【稳利恒盈封闭2026年502期14M(纯盈颐养款)A】 (适用【A】类份额)</w:t>
            </w:r>
            <w:r>
              <w:rPr>
                <w:rFonts w:ascii="宋体" w:hAnsi="宋体" w:eastAsia="宋体" w:cs="宋体"/>
                <w:sz w:val="18"/>
              </w:rPr>
              <w:br w:type="textWrapping"/>
            </w:r>
            <w:r>
              <w:rPr>
                <w:rFonts w:ascii="宋体" w:hAnsi="宋体" w:eastAsia="宋体" w:cs="宋体"/>
                <w:sz w:val="18"/>
              </w:rPr>
              <w:t>【稳利恒盈封闭2026年502期14M(纯盈颐养款)C】 (适用【C】类份额)</w:t>
            </w:r>
            <w:r>
              <w:rPr>
                <w:rFonts w:ascii="宋体" w:hAnsi="宋体" w:eastAsia="宋体" w:cs="宋体"/>
                <w:sz w:val="18"/>
              </w:rPr>
              <w:br w:type="textWrapping"/>
            </w:r>
            <w:r>
              <w:rPr>
                <w:rFonts w:ascii="宋体" w:hAnsi="宋体" w:eastAsia="宋体" w:cs="宋体"/>
                <w:sz w:val="18"/>
              </w:rPr>
              <w:t>【稳利恒盈封闭2026年502期14M(纯盈颐养款)D】 (适用【D】类份额)</w:t>
            </w:r>
            <w:r>
              <w:rPr>
                <w:rFonts w:ascii="宋体" w:hAnsi="宋体" w:eastAsia="宋体" w:cs="宋体"/>
                <w:sz w:val="18"/>
              </w:rPr>
              <w:br w:type="textWrapping"/>
            </w:r>
            <w:r>
              <w:rPr>
                <w:rFonts w:ascii="宋体" w:hAnsi="宋体" w:eastAsia="宋体" w:cs="宋体"/>
                <w:sz w:val="18"/>
              </w:rPr>
              <w:t>【稳利恒盈封闭2026年502期14M(纯盈颐养款)E】 (适用【E】类份额)</w:t>
            </w:r>
            <w:r>
              <w:rPr>
                <w:rFonts w:ascii="宋体" w:hAnsi="宋体" w:eastAsia="宋体" w:cs="宋体"/>
                <w:sz w:val="18"/>
              </w:rPr>
              <w:br w:type="textWrapping"/>
            </w:r>
            <w:r>
              <w:rPr>
                <w:rFonts w:ascii="宋体" w:hAnsi="宋体" w:eastAsia="宋体" w:cs="宋体"/>
                <w:sz w:val="18"/>
              </w:rPr>
              <w:t>【稳利恒盈封闭2026年502期14M(纯盈颐养款)F】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Z7002025002026</w:t>
            </w:r>
            <w:r>
              <w:rPr>
                <w:rFonts w:hint="eastAsia" w:ascii="宋体" w:hAnsi="宋体"/>
                <w:bCs/>
                <w:color w:val="auto"/>
                <w:sz w:val="18"/>
                <w:szCs w:val="18"/>
              </w:rPr>
              <w:t>】注：投资者可依据理财产品登记编码在中国理财网查询产品信息</w:t>
            </w:r>
            <w:r>
              <w:rPr>
                <w:rFonts w:hint="default"/>
                <w:color w:val="auto"/>
                <w:szCs w:val="20"/>
              </w:rPr>
              <w:fldChar w:fldCharType="begin"/>
            </w:r>
            <w:r>
              <w:rPr>
                <w:rFonts w:hint="default"/>
                <w:color w:val="auto"/>
                <w:szCs w:val="20"/>
              </w:rPr>
              <w:instrText xml:space="preserve"> HYPERLINK "http://www.chinawealth.com.cn" </w:instrText>
            </w:r>
            <w:r>
              <w:rPr>
                <w:rFonts w:hint="default"/>
                <w:color w:val="auto"/>
                <w:szCs w:val="20"/>
              </w:rPr>
              <w:fldChar w:fldCharType="separate"/>
            </w:r>
            <w:r>
              <w:rPr>
                <w:rFonts w:hint="default" w:ascii="宋体" w:hAnsi="宋体"/>
                <w:bCs/>
                <w:color w:val="auto"/>
                <w:sz w:val="18"/>
                <w:szCs w:val="18"/>
              </w:rPr>
              <w:t>www.chinawealth.com.cn</w:t>
            </w:r>
            <w:r>
              <w:rPr>
                <w:rFonts w:hint="default"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【9N265020】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【9N26502A】 (适用【A】类份额)</w:t>
            </w:r>
            <w:r>
              <w:rPr>
                <w:rFonts w:ascii="宋体" w:hAnsi="宋体" w:eastAsia="宋体" w:cs="宋体"/>
                <w:sz w:val="18"/>
              </w:rPr>
              <w:br w:type="textWrapping"/>
            </w:r>
            <w:r>
              <w:rPr>
                <w:rFonts w:ascii="宋体" w:hAnsi="宋体" w:eastAsia="宋体" w:cs="宋体"/>
                <w:sz w:val="18"/>
              </w:rPr>
              <w:t>【9N26502C】 (适用【C】类份额)</w:t>
            </w:r>
            <w:r>
              <w:rPr>
                <w:rFonts w:ascii="宋体" w:hAnsi="宋体" w:eastAsia="宋体" w:cs="宋体"/>
                <w:sz w:val="18"/>
              </w:rPr>
              <w:br w:type="textWrapping"/>
            </w:r>
            <w:r>
              <w:rPr>
                <w:rFonts w:ascii="宋体" w:hAnsi="宋体" w:eastAsia="宋体" w:cs="宋体"/>
                <w:sz w:val="18"/>
              </w:rPr>
              <w:t>【9N26502D】 (适用【D】类份额)</w:t>
            </w:r>
            <w:r>
              <w:rPr>
                <w:rFonts w:ascii="宋体" w:hAnsi="宋体" w:eastAsia="宋体" w:cs="宋体"/>
                <w:sz w:val="18"/>
              </w:rPr>
              <w:br w:type="textWrapping"/>
            </w:r>
            <w:r>
              <w:rPr>
                <w:rFonts w:ascii="宋体" w:hAnsi="宋体" w:eastAsia="宋体" w:cs="宋体"/>
                <w:sz w:val="18"/>
              </w:rPr>
              <w:t>【9N26502E】 (适用【E】类份额)</w:t>
            </w:r>
            <w:r>
              <w:rPr>
                <w:rFonts w:ascii="宋体" w:hAnsi="宋体" w:eastAsia="宋体" w:cs="宋体"/>
                <w:sz w:val="18"/>
              </w:rPr>
              <w:br w:type="textWrapping"/>
            </w:r>
            <w:r>
              <w:rPr>
                <w:rFonts w:ascii="宋体" w:hAnsi="宋体" w:eastAsia="宋体" w:cs="宋体"/>
                <w:sz w:val="18"/>
              </w:rPr>
              <w:t>【9N26502F】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6897"/>
      <w:bookmarkStart w:id="15" w:name="_Toc23386"/>
      <w:bookmarkStart w:id="16" w:name="_Toc6306"/>
      <w:bookmarkStart w:id="17" w:name="_Toc8727"/>
      <w:bookmarkStart w:id="18" w:name="_Toc29629"/>
      <w:bookmarkStart w:id="19" w:name="_Toc123112229"/>
      <w:bookmarkStart w:id="20" w:name="_Toc4867"/>
      <w:bookmarkStart w:id="21" w:name="_Toc123701389"/>
      <w:bookmarkStart w:id="22" w:name="_Toc141703880"/>
      <w:bookmarkStart w:id="23" w:name="_Toc139991730"/>
      <w:bookmarkStart w:id="24" w:name="_Toc123112268"/>
      <w:bookmarkStart w:id="25" w:name="_Toc4966"/>
      <w:bookmarkStart w:id="26" w:name="_Toc32639"/>
      <w:bookmarkStart w:id="27" w:name="_Toc30935"/>
      <w:bookmarkStart w:id="28" w:name="_Toc1551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5067"/>
      <w:bookmarkStart w:id="33" w:name="_Toc819"/>
      <w:bookmarkStart w:id="34" w:name="_Toc21301"/>
      <w:bookmarkStart w:id="35" w:name="_Toc24860"/>
      <w:bookmarkStart w:id="36" w:name="_Toc258829399"/>
      <w:bookmarkStart w:id="37" w:name="_Toc13020"/>
      <w:bookmarkStart w:id="38" w:name="_Toc22864"/>
      <w:bookmarkStart w:id="39" w:name="_Toc6617"/>
      <w:bookmarkStart w:id="40" w:name="_Toc3224"/>
      <w:bookmarkStart w:id="41" w:name="_Toc2465"/>
      <w:bookmarkStart w:id="42" w:name="_Toc19592"/>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149"/>
      <w:bookmarkStart w:id="48" w:name="_Toc18631"/>
      <w:bookmarkStart w:id="49" w:name="_Toc20627"/>
      <w:bookmarkStart w:id="50" w:name="_Toc24571"/>
      <w:bookmarkStart w:id="51" w:name="_Toc13288"/>
      <w:bookmarkStart w:id="52" w:name="_Toc74065740"/>
      <w:bookmarkStart w:id="53" w:name="_Toc6683"/>
      <w:bookmarkStart w:id="54" w:name="_Toc22708"/>
      <w:bookmarkStart w:id="55" w:name="_Toc733"/>
      <w:bookmarkStart w:id="56" w:name="_Toc20318"/>
      <w:bookmarkStart w:id="57" w:name="_Toc545"/>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稳利恒盈封闭式固收类</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【兴银理财稳利恒盈封闭式2026年502期固收类理财产品】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【稳利恒盈封闭2026年502期14M(纯盈颐养款)A】 (适用【A】类份额)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【稳利恒盈封闭2026年502期14M(纯盈颐养款)C】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【稳利恒盈封闭2026年502期14M(纯盈颐养款)D】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【稳利恒盈封闭2026年502期14M(纯盈颐养款)E】 (适用【E】类份额)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【稳利恒盈封闭2026年502期14M(纯盈颐养款)F】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Z7002025002026</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【9N265020】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【9N26502A】 (适用【A】类份额)</w:t>
            </w:r>
            <w:r>
              <w:rPr>
                <w:rFonts w:hint="default" w:ascii="宋体" w:hAnsi="宋体" w:eastAsia="宋体" w:cs="宋体"/>
                <w:sz w:val="18"/>
                <w:szCs w:val="22"/>
              </w:rPr>
              <w:br w:type="textWrapping"/>
            </w:r>
            <w:r>
              <w:rPr>
                <w:rFonts w:hint="default" w:ascii="宋体" w:hAnsi="宋体" w:eastAsia="宋体" w:cs="宋体"/>
                <w:sz w:val="18"/>
                <w:szCs w:val="22"/>
              </w:rPr>
              <w:t>【9N26502C】 (适用【C】类份额)</w:t>
            </w:r>
            <w:r>
              <w:rPr>
                <w:rFonts w:hint="default" w:ascii="宋体" w:hAnsi="宋体" w:eastAsia="宋体" w:cs="宋体"/>
                <w:sz w:val="18"/>
                <w:szCs w:val="22"/>
              </w:rPr>
              <w:br w:type="textWrapping"/>
            </w:r>
            <w:r>
              <w:rPr>
                <w:rFonts w:hint="default" w:ascii="宋体" w:hAnsi="宋体" w:eastAsia="宋体" w:cs="宋体"/>
                <w:sz w:val="18"/>
                <w:szCs w:val="22"/>
              </w:rPr>
              <w:t>【9N26502D】 (适用【D】类份额)</w:t>
            </w:r>
            <w:r>
              <w:rPr>
                <w:rFonts w:hint="default" w:ascii="宋体" w:hAnsi="宋体" w:eastAsia="宋体" w:cs="宋体"/>
                <w:sz w:val="18"/>
                <w:szCs w:val="22"/>
              </w:rPr>
              <w:br w:type="textWrapping"/>
            </w:r>
            <w:r>
              <w:rPr>
                <w:rFonts w:hint="default" w:ascii="宋体" w:hAnsi="宋体" w:eastAsia="宋体" w:cs="宋体"/>
                <w:sz w:val="18"/>
                <w:szCs w:val="22"/>
              </w:rPr>
              <w:t>【9N26502E】 (适用【E】类份额)</w:t>
            </w:r>
            <w:r>
              <w:rPr>
                <w:rFonts w:hint="default" w:ascii="宋体" w:hAnsi="宋体" w:eastAsia="宋体" w:cs="宋体"/>
                <w:sz w:val="18"/>
                <w:szCs w:val="22"/>
              </w:rPr>
              <w:br w:type="textWrapping"/>
            </w:r>
            <w:r>
              <w:rPr>
                <w:rFonts w:hint="default" w:ascii="宋体" w:hAnsi="宋体" w:eastAsia="宋体" w:cs="宋体"/>
                <w:sz w:val="18"/>
                <w:szCs w:val="22"/>
              </w:rPr>
              <w:t>【9N26502F】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7</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■有固定期限:【425天】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【2026年01月08日】【09:00】至【2026年01月15日】【17:00】。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【2026年01月16日】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【2027年03月17日】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单一投资者认购上限为【/】元。（适用【F】类份额)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年化【2.28%】。（适用【A】类份额)</w:t>
            </w:r>
            <w:r>
              <w:rPr>
                <w:rFonts w:hint="default" w:ascii="宋体" w:hAnsi="宋体" w:eastAsia="宋体" w:cs="宋体"/>
                <w:sz w:val="18"/>
                <w:szCs w:val="22"/>
              </w:rPr>
              <w:br w:type="textWrapping"/>
            </w:r>
            <w:r>
              <w:rPr>
                <w:rFonts w:hint="default" w:ascii="宋体" w:hAnsi="宋体" w:eastAsia="宋体" w:cs="宋体"/>
                <w:sz w:val="18"/>
                <w:szCs w:val="22"/>
              </w:rPr>
              <w:t>年化【2.32%】。（适用【C】类份额)</w:t>
            </w:r>
            <w:r>
              <w:rPr>
                <w:rFonts w:hint="default" w:ascii="宋体" w:hAnsi="宋体" w:eastAsia="宋体" w:cs="宋体"/>
                <w:sz w:val="18"/>
                <w:szCs w:val="22"/>
              </w:rPr>
              <w:br w:type="textWrapping"/>
            </w:r>
            <w:r>
              <w:rPr>
                <w:rFonts w:hint="default" w:ascii="宋体" w:hAnsi="宋体" w:eastAsia="宋体" w:cs="宋体"/>
                <w:sz w:val="18"/>
                <w:szCs w:val="22"/>
              </w:rPr>
              <w:t>年化【2.27%】。（适用【D】类份额)</w:t>
            </w:r>
            <w:r>
              <w:rPr>
                <w:rFonts w:hint="default" w:ascii="宋体" w:hAnsi="宋体" w:eastAsia="宋体" w:cs="宋体"/>
                <w:sz w:val="18"/>
                <w:szCs w:val="22"/>
              </w:rPr>
              <w:br w:type="textWrapping"/>
            </w:r>
            <w:r>
              <w:rPr>
                <w:rFonts w:hint="default" w:ascii="宋体" w:hAnsi="宋体" w:eastAsia="宋体" w:cs="宋体"/>
                <w:sz w:val="18"/>
                <w:szCs w:val="22"/>
              </w:rPr>
              <w:t>年化【2.17%】。（适用【E】类份额)</w:t>
            </w:r>
            <w:r>
              <w:rPr>
                <w:rFonts w:hint="default" w:ascii="宋体" w:hAnsi="宋体" w:eastAsia="宋体" w:cs="宋体"/>
                <w:sz w:val="18"/>
                <w:szCs w:val="22"/>
              </w:rPr>
              <w:br w:type="textWrapping"/>
            </w:r>
            <w:r>
              <w:rPr>
                <w:rFonts w:hint="default" w:ascii="宋体" w:hAnsi="宋体" w:eastAsia="宋体" w:cs="宋体"/>
                <w:sz w:val="18"/>
                <w:szCs w:val="22"/>
              </w:rPr>
              <w:t>年化【2.07%】。（适用【F】类份额)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年化【2.28%】。（适用【A】类份额)</w:t>
            </w:r>
            <w:r>
              <w:rPr>
                <w:rFonts w:hint="default" w:ascii="宋体" w:hAnsi="宋体" w:eastAsia="宋体" w:cs="宋体"/>
                <w:sz w:val="18"/>
                <w:szCs w:val="22"/>
              </w:rPr>
              <w:br w:type="textWrapping"/>
            </w:r>
            <w:r>
              <w:rPr>
                <w:rFonts w:hint="default" w:ascii="宋体" w:hAnsi="宋体" w:eastAsia="宋体" w:cs="宋体"/>
                <w:sz w:val="18"/>
                <w:szCs w:val="22"/>
              </w:rPr>
              <w:t>年化【2.32%】。（适用【C】类份额)</w:t>
            </w:r>
            <w:r>
              <w:rPr>
                <w:rFonts w:hint="default" w:ascii="宋体" w:hAnsi="宋体" w:eastAsia="宋体" w:cs="宋体"/>
                <w:sz w:val="18"/>
                <w:szCs w:val="22"/>
              </w:rPr>
              <w:br w:type="textWrapping"/>
            </w:r>
            <w:r>
              <w:rPr>
                <w:rFonts w:hint="default" w:ascii="宋体" w:hAnsi="宋体" w:eastAsia="宋体" w:cs="宋体"/>
                <w:sz w:val="18"/>
                <w:szCs w:val="22"/>
              </w:rPr>
              <w:t>年化【2.27%】。（适用【D】类份额)</w:t>
            </w:r>
            <w:r>
              <w:rPr>
                <w:rFonts w:hint="default" w:ascii="宋体" w:hAnsi="宋体" w:eastAsia="宋体" w:cs="宋体"/>
                <w:sz w:val="18"/>
                <w:szCs w:val="22"/>
              </w:rPr>
              <w:br w:type="textWrapping"/>
            </w:r>
            <w:r>
              <w:rPr>
                <w:rFonts w:hint="default" w:ascii="宋体" w:hAnsi="宋体" w:eastAsia="宋体" w:cs="宋体"/>
                <w:sz w:val="18"/>
                <w:szCs w:val="22"/>
              </w:rPr>
              <w:t>年化【2.17%】。（适用【E】类份额)</w:t>
            </w:r>
            <w:r>
              <w:rPr>
                <w:rFonts w:hint="default" w:ascii="宋体" w:hAnsi="宋体" w:eastAsia="宋体" w:cs="宋体"/>
                <w:sz w:val="18"/>
                <w:szCs w:val="22"/>
              </w:rPr>
              <w:br w:type="textWrapping"/>
            </w:r>
            <w:r>
              <w:rPr>
                <w:rFonts w:hint="default" w:ascii="宋体" w:hAnsi="宋体" w:eastAsia="宋体" w:cs="宋体"/>
                <w:sz w:val="18"/>
                <w:szCs w:val="22"/>
              </w:rPr>
              <w:t>年化【2.07%】。（适用【F】类份额)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年化费率【0.09%】。（适用【A】类份额）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16265"/>
      <w:bookmarkStart w:id="78" w:name="_Toc74065741"/>
      <w:bookmarkStart w:id="79" w:name="_Toc6714"/>
      <w:bookmarkStart w:id="80" w:name="_Toc90742321"/>
      <w:bookmarkStart w:id="81" w:name="_Toc90742390"/>
      <w:bookmarkStart w:id="82" w:name="_Toc7151"/>
      <w:bookmarkStart w:id="83" w:name="_Toc27189"/>
      <w:bookmarkStart w:id="84" w:name="_Toc27226"/>
      <w:bookmarkStart w:id="85" w:name="_Toc90742688"/>
      <w:bookmarkStart w:id="86" w:name="_Toc29948"/>
      <w:bookmarkStart w:id="87" w:name="_Toc79154668"/>
      <w:bookmarkStart w:id="88" w:name="_Toc15203"/>
      <w:bookmarkStart w:id="89" w:name="_Toc3266"/>
      <w:bookmarkStart w:id="90" w:name="_Toc29784"/>
      <w:bookmarkStart w:id="91" w:name="_Toc22074"/>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（3）符合监管要求的债权类资产。</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（5）优先股。</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（6）结构化资产管理产品的优先级份额。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（2）国债期货、利率互换、信用风险缓释工具等衍生品占产品总资产比例低于20%。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（4）符合监管要求的非标准化债权类资产低于产品净资产的50%。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7912"/>
      <w:bookmarkStart w:id="94" w:name="_Toc7848"/>
      <w:bookmarkStart w:id="95" w:name="_Toc4741"/>
      <w:bookmarkStart w:id="96" w:name="_Toc141703885"/>
      <w:bookmarkStart w:id="97" w:name="_Toc79154669"/>
      <w:bookmarkStart w:id="98" w:name="_Toc18797"/>
      <w:bookmarkStart w:id="99" w:name="_Toc21988"/>
      <w:bookmarkStart w:id="100" w:name="_Toc18329"/>
      <w:bookmarkStart w:id="101" w:name="_Toc176189758"/>
      <w:bookmarkStart w:id="102" w:name="_Toc18526"/>
      <w:bookmarkStart w:id="103" w:name="_Toc14893"/>
      <w:bookmarkStart w:id="104" w:name="_Toc74065742"/>
      <w:bookmarkStart w:id="105" w:name="_Toc1823"/>
      <w:bookmarkStart w:id="106" w:name="_Toc26986"/>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4003"/>
      <w:bookmarkStart w:id="110" w:name="_Toc1427"/>
      <w:bookmarkStart w:id="111" w:name="_Toc79392606"/>
      <w:bookmarkStart w:id="112" w:name="_Toc48649707"/>
      <w:bookmarkStart w:id="113" w:name="_Toc17244"/>
      <w:bookmarkStart w:id="114" w:name="_Toc74065743"/>
      <w:bookmarkStart w:id="115" w:name="_Toc141703886"/>
      <w:bookmarkStart w:id="116" w:name="_Toc139991736"/>
      <w:bookmarkStart w:id="117" w:name="_Toc123051452"/>
      <w:bookmarkStart w:id="118" w:name="_Toc1270"/>
      <w:bookmarkStart w:id="119" w:name="_Toc610"/>
      <w:bookmarkStart w:id="120" w:name="_Toc20733"/>
      <w:bookmarkStart w:id="121" w:name="_Toc79154670"/>
      <w:bookmarkStart w:id="122" w:name="_Toc123112234"/>
      <w:bookmarkStart w:id="123" w:name="_Toc10463"/>
      <w:bookmarkStart w:id="124" w:name="_Toc23822"/>
      <w:bookmarkStart w:id="125" w:name="_Toc7920"/>
      <w:bookmarkStart w:id="126" w:name="_Toc98560352"/>
      <w:bookmarkStart w:id="127" w:name="_Toc123102453"/>
      <w:bookmarkStart w:id="128" w:name="_Toc23261"/>
      <w:bookmarkStart w:id="129" w:name="_Toc176189759"/>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26207"/>
      <w:bookmarkStart w:id="132" w:name="_Toc139991737"/>
      <w:bookmarkStart w:id="133" w:name="_Toc31653"/>
      <w:bookmarkStart w:id="134" w:name="_Toc31644"/>
      <w:bookmarkStart w:id="135" w:name="_Toc3601"/>
      <w:bookmarkStart w:id="136" w:name="_Toc79154671"/>
      <w:bookmarkStart w:id="137" w:name="_Toc15143"/>
      <w:bookmarkStart w:id="138" w:name="_Toc14835"/>
      <w:bookmarkStart w:id="139" w:name="_Toc123051453"/>
      <w:bookmarkStart w:id="140" w:name="_Toc31235"/>
      <w:bookmarkStart w:id="141" w:name="_Toc74065744"/>
      <w:bookmarkStart w:id="142" w:name="_Toc98560353"/>
      <w:bookmarkStart w:id="143" w:name="_Toc29251"/>
      <w:bookmarkStart w:id="144" w:name="_Toc6405"/>
      <w:bookmarkStart w:id="145" w:name="_Toc176189760"/>
      <w:bookmarkStart w:id="146" w:name="_Toc123102454"/>
      <w:bookmarkStart w:id="147" w:name="_Toc12245"/>
      <w:bookmarkStart w:id="148" w:name="_Toc141703887"/>
      <w:bookmarkStart w:id="149" w:name="_Toc1231122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7530239"/>
      <w:bookmarkStart w:id="153" w:name="_Toc79392580"/>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41703888"/>
      <w:bookmarkStart w:id="158" w:name="_Toc11030"/>
      <w:bookmarkStart w:id="159" w:name="_Toc4559"/>
      <w:bookmarkStart w:id="160" w:name="_Toc7058"/>
      <w:bookmarkStart w:id="161" w:name="_Toc79154672"/>
      <w:bookmarkStart w:id="162" w:name="_Toc25783"/>
      <w:bookmarkStart w:id="163" w:name="_Toc74065745"/>
      <w:bookmarkStart w:id="164" w:name="_Toc123051454"/>
      <w:bookmarkStart w:id="165" w:name="_Toc10650"/>
      <w:bookmarkStart w:id="166" w:name="_Toc123102455"/>
      <w:bookmarkStart w:id="167" w:name="_Toc9706"/>
      <w:bookmarkStart w:id="168" w:name="_Toc139991738"/>
      <w:bookmarkStart w:id="169" w:name="_Toc79392583"/>
      <w:bookmarkStart w:id="170" w:name="_Toc98560354"/>
      <w:bookmarkStart w:id="171" w:name="_Toc176189761"/>
      <w:bookmarkStart w:id="172" w:name="_Toc18567"/>
      <w:bookmarkStart w:id="173" w:name="_Toc123112236"/>
      <w:bookmarkStart w:id="174" w:name="_Toc3771"/>
      <w:bookmarkStart w:id="175" w:name="_Toc3321"/>
      <w:bookmarkStart w:id="176" w:name="_Toc6447"/>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spacing w:line="360" w:lineRule="auto"/>
        <w:ind w:firstLine="360" w:firstLineChars="200"/>
        <w:jc w:val="left"/>
        <w:rPr>
          <w:rFonts w:ascii="宋体" w:hAnsi="宋体" w:cs="宋体"/>
          <w:bCs/>
          <w:sz w:val="18"/>
          <w:szCs w:val="18"/>
        </w:rPr>
      </w:pPr>
      <w:r>
        <w:rPr>
          <w:rFonts w:hint="eastAsia" w:ascii="宋体" w:hAnsi="宋体" w:cs="宋体"/>
          <w:bCs/>
          <w:kern w:val="0"/>
          <w:sz w:val="18"/>
          <w:szCs w:val="18"/>
        </w:rPr>
        <w:t>本产品的销售服务费</w:t>
      </w:r>
      <w:r>
        <w:rPr>
          <w:rFonts w:ascii="宋体" w:hAnsi="宋体" w:cs="宋体"/>
          <w:bCs/>
          <w:kern w:val="0"/>
          <w:sz w:val="18"/>
          <w:szCs w:val="18"/>
        </w:rPr>
        <w:t>于产品成立日一次性计提，每日摊销。销售服务费</w:t>
      </w:r>
      <w:r>
        <w:rPr>
          <w:rFonts w:hint="eastAsia" w:ascii="宋体" w:hAnsi="宋体" w:cs="宋体"/>
          <w:bCs/>
          <w:kern w:val="0"/>
          <w:sz w:val="18"/>
          <w:szCs w:val="18"/>
        </w:rPr>
        <w:t>的计算方法如下：</w:t>
      </w:r>
    </w:p>
    <w:p>
      <w:pPr>
        <w:widowControl/>
        <w:spacing w:line="360" w:lineRule="auto"/>
        <w:ind w:firstLine="360" w:firstLineChars="200"/>
        <w:jc w:val="left"/>
        <w:rPr>
          <w:rFonts w:ascii="宋体" w:hAnsi="宋体" w:cs="宋体"/>
          <w:bCs/>
          <w:sz w:val="18"/>
          <w:szCs w:val="18"/>
        </w:rPr>
      </w:pPr>
      <w:r>
        <w:rPr>
          <w:rFonts w:hint="eastAsia" w:ascii="宋体" w:hAnsi="宋体" w:cs="宋体"/>
          <w:bCs/>
          <w:kern w:val="0"/>
          <w:sz w:val="18"/>
          <w:szCs w:val="18"/>
        </w:rPr>
        <w:t>H</w:t>
      </w:r>
      <w:r>
        <w:rPr>
          <w:rFonts w:ascii="宋体" w:hAnsi="宋体" w:cs="宋体"/>
          <w:bCs/>
          <w:kern w:val="0"/>
          <w:sz w:val="18"/>
          <w:szCs w:val="18"/>
        </w:rPr>
        <w:t>＝</w:t>
      </w:r>
      <w:r>
        <w:rPr>
          <w:rFonts w:hint="eastAsia" w:ascii="宋体" w:hAnsi="宋体" w:cs="宋体"/>
          <w:bCs/>
          <w:kern w:val="0"/>
          <w:sz w:val="18"/>
          <w:szCs w:val="18"/>
        </w:rPr>
        <w:t>E</w:t>
      </w:r>
      <w:r>
        <w:rPr>
          <w:rFonts w:ascii="宋体" w:hAnsi="宋体" w:cs="宋体"/>
          <w:bCs/>
          <w:kern w:val="0"/>
          <w:sz w:val="18"/>
          <w:szCs w:val="18"/>
        </w:rPr>
        <w:t>×</w:t>
      </w:r>
      <w:r>
        <w:rPr>
          <w:rFonts w:hint="eastAsia" w:ascii="宋体" w:hAnsi="宋体" w:cs="宋体"/>
          <w:bCs/>
          <w:kern w:val="0"/>
          <w:sz w:val="18"/>
          <w:szCs w:val="18"/>
        </w:rPr>
        <w:t>销售服务费年费率</w:t>
      </w:r>
      <w:r>
        <w:rPr>
          <w:rFonts w:ascii="宋体" w:hAnsi="宋体" w:cs="宋体"/>
          <w:bCs/>
          <w:kern w:val="0"/>
          <w:sz w:val="18"/>
          <w:szCs w:val="18"/>
        </w:rPr>
        <w:t>×产品期限总天数÷365</w:t>
      </w:r>
    </w:p>
    <w:p>
      <w:pPr>
        <w:widowControl/>
        <w:spacing w:line="360" w:lineRule="auto"/>
        <w:ind w:firstLine="360" w:firstLineChars="200"/>
        <w:jc w:val="left"/>
        <w:rPr>
          <w:rFonts w:ascii="宋体" w:hAnsi="宋体" w:cs="宋体"/>
          <w:bCs/>
          <w:sz w:val="18"/>
          <w:szCs w:val="18"/>
        </w:rPr>
      </w:pPr>
      <w:r>
        <w:rPr>
          <w:rFonts w:hint="eastAsia" w:ascii="宋体" w:hAnsi="宋体" w:cs="宋体"/>
          <w:bCs/>
          <w:kern w:val="0"/>
          <w:sz w:val="18"/>
          <w:szCs w:val="18"/>
        </w:rPr>
        <w:t>H</w:t>
      </w:r>
      <w:r>
        <w:rPr>
          <w:rFonts w:ascii="宋体" w:hAnsi="宋体" w:cs="宋体"/>
          <w:bCs/>
          <w:kern w:val="0"/>
          <w:sz w:val="18"/>
          <w:szCs w:val="18"/>
        </w:rPr>
        <w:t>为应计提的产品销售服务费</w:t>
      </w:r>
    </w:p>
    <w:p>
      <w:pPr>
        <w:widowControl/>
        <w:spacing w:line="360" w:lineRule="auto"/>
        <w:ind w:firstLine="360" w:firstLineChars="200"/>
        <w:jc w:val="left"/>
        <w:rPr>
          <w:rFonts w:ascii="宋体" w:hAnsi="宋体" w:cs="宋体"/>
          <w:bCs/>
          <w:kern w:val="0"/>
          <w:sz w:val="18"/>
          <w:szCs w:val="18"/>
        </w:rPr>
      </w:pPr>
      <w:r>
        <w:rPr>
          <w:rFonts w:hint="eastAsia" w:ascii="宋体" w:hAnsi="宋体" w:cs="宋体"/>
          <w:bCs/>
          <w:kern w:val="0"/>
          <w:sz w:val="18"/>
          <w:szCs w:val="18"/>
        </w:rPr>
        <w:t>E</w:t>
      </w:r>
      <w:r>
        <w:rPr>
          <w:rFonts w:ascii="宋体" w:hAnsi="宋体" w:cs="宋体"/>
          <w:bCs/>
          <w:kern w:val="0"/>
          <w:sz w:val="18"/>
          <w:szCs w:val="18"/>
        </w:rPr>
        <w:t>为</w:t>
      </w:r>
      <w:r>
        <w:rPr>
          <w:rFonts w:hint="eastAsia" w:ascii="宋体" w:hAnsi="宋体" w:cs="宋体"/>
          <w:bCs/>
          <w:kern w:val="0"/>
          <w:sz w:val="18"/>
          <w:szCs w:val="18"/>
        </w:rPr>
        <w:t>产品成立日的产品总份额</w:t>
      </w:r>
    </w:p>
    <w:p>
      <w:pPr>
        <w:widowControl w:val="0"/>
        <w:autoSpaceDE w:val="0"/>
        <w:autoSpaceDN w:val="0"/>
        <w:adjustRightInd w:val="0"/>
        <w:spacing w:line="360" w:lineRule="auto"/>
        <w:ind w:firstLine="360" w:firstLineChars="200"/>
        <w:rPr>
          <w:rFonts w:ascii="宋体" w:hAnsi="宋体" w:eastAsia="宋体" w:cs="宋体"/>
          <w:bCs/>
          <w:color w:val="auto"/>
          <w:kern w:val="2"/>
          <w:sz w:val="18"/>
          <w:szCs w:val="18"/>
          <w:lang w:val="en-US" w:eastAsia="zh-CN" w:bidi="ar-SA"/>
        </w:rPr>
      </w:pPr>
      <w:r>
        <w:rPr>
          <w:rFonts w:hint="eastAsia" w:ascii="宋体" w:hAnsi="宋体" w:eastAsia="宋体" w:cs="宋体"/>
          <w:bCs/>
          <w:color w:val="auto"/>
          <w:sz w:val="18"/>
          <w:szCs w:val="18"/>
          <w:lang w:val="en-US" w:eastAsia="zh-CN" w:bidi="ar-SA"/>
        </w:rPr>
        <w:t>销售服务费依照上述约定，从理财财产中支付。</w:t>
      </w:r>
      <w:r>
        <w:rPr>
          <w:rFonts w:hint="eastAsia" w:ascii="宋体" w:hAnsi="宋体" w:eastAsia="宋体" w:cs="宋体"/>
          <w:bCs/>
          <w:color w:val="auto"/>
          <w:kern w:val="2"/>
          <w:sz w:val="18"/>
          <w:szCs w:val="18"/>
          <w:lang w:val="en-US" w:eastAsia="zh-CN" w:bidi="ar-SA"/>
        </w:rPr>
        <w:t>费率具体数值以</w:t>
      </w:r>
      <w:r>
        <w:rPr>
          <w:rFonts w:hint="eastAsia" w:ascii="宋体" w:hAnsi="宋体" w:eastAsia="宋体" w:cs="宋体"/>
          <w:bCs/>
          <w:color w:val="auto"/>
          <w:sz w:val="18"/>
          <w:szCs w:val="18"/>
          <w:lang w:val="en-US" w:eastAsia="zh-CN" w:bidi="ar-SA"/>
        </w:rPr>
        <w:t>《产品说明书》“第二条</w:t>
      </w:r>
      <w:r>
        <w:rPr>
          <w:rFonts w:ascii="宋体" w:hAnsi="宋体" w:eastAsia="宋体" w:cs="宋体"/>
          <w:bCs/>
          <w:color w:val="auto"/>
          <w:sz w:val="18"/>
          <w:szCs w:val="18"/>
          <w:lang w:val="en-US" w:eastAsia="zh-CN" w:bidi="ar-SA"/>
        </w:rPr>
        <w:t xml:space="preserve"> </w:t>
      </w:r>
      <w:r>
        <w:rPr>
          <w:rFonts w:hint="eastAsia" w:ascii="宋体" w:hAnsi="宋体" w:eastAsia="宋体" w:cs="宋体"/>
          <w:bCs/>
          <w:color w:val="auto"/>
          <w:sz w:val="18"/>
          <w:szCs w:val="18"/>
          <w:lang w:val="en-US" w:eastAsia="zh-CN" w:bidi="ar-SA"/>
        </w:rPr>
        <w:t>理财产品基本情况”</w:t>
      </w:r>
      <w:r>
        <w:rPr>
          <w:rFonts w:hint="eastAsia" w:ascii="宋体" w:hAnsi="宋体" w:eastAsia="宋体" w:cs="宋体"/>
          <w:bCs/>
          <w:color w:val="auto"/>
          <w:kern w:val="2"/>
          <w:sz w:val="18"/>
          <w:szCs w:val="18"/>
          <w:lang w:val="en-US" w:eastAsia="zh-CN" w:bidi="ar-SA"/>
        </w:rPr>
        <w:t>为准。</w:t>
      </w:r>
    </w:p>
    <w:p>
      <w:pPr>
        <w:widowControl w:val="0"/>
        <w:autoSpaceDE w:val="0"/>
        <w:autoSpaceDN w:val="0"/>
        <w:adjustRightInd w:val="0"/>
        <w:spacing w:line="360" w:lineRule="auto"/>
        <w:ind w:firstLine="361" w:firstLineChars="200"/>
        <w:rPr>
          <w:rFonts w:hint="eastAsia" w:ascii="黑体" w:hAnsi="黑体" w:eastAsia="黑体" w:cs="黑体"/>
          <w:b/>
          <w:bCs/>
          <w:color w:val="auto"/>
          <w:kern w:val="2"/>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w:t>
      </w:r>
      <w:r>
        <w:rPr>
          <w:rFonts w:ascii="黑体" w:hAnsi="黑体" w:eastAsia="黑体" w:cs="宋体"/>
          <w:b/>
          <w:bCs/>
          <w:color w:val="000000"/>
          <w:sz w:val="18"/>
          <w:szCs w:val="18"/>
          <w:lang w:val="en-US" w:eastAsia="zh-CN" w:bidi="ar-SA"/>
        </w:rPr>
        <w:t>/</w:t>
      </w:r>
      <w:r>
        <w:rPr>
          <w:rFonts w:hint="eastAsia" w:ascii="黑体" w:hAnsi="黑体" w:eastAsia="黑体" w:cs="宋体"/>
          <w:b/>
          <w:bCs/>
          <w:color w:val="000000"/>
          <w:sz w:val="18"/>
          <w:szCs w:val="18"/>
          <w:lang w:val="en-US" w:eastAsia="zh-CN" w:bidi="ar-SA"/>
        </w:rPr>
        <w:t>实际份额计算销售服务费，多收取的销售服务费退还至理财产品资产。</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业绩报酬计提基准的设置、超额业绩报酬的具体比例数值以《</w:t>
      </w:r>
      <w:r>
        <w:rPr>
          <w:rFonts w:hint="eastAsia" w:ascii="黑体" w:hAnsi="黑体" w:eastAsia="黑体" w:cs="黑体"/>
          <w:bCs/>
          <w:sz w:val="18"/>
          <w:szCs w:val="18"/>
        </w:rPr>
        <w:t>产品说明</w:t>
      </w:r>
      <w:r>
        <w:rPr>
          <w:rFonts w:hint="eastAsia" w:ascii="黑体" w:hAnsi="黑体" w:eastAsia="黑体" w:cs="黑体"/>
          <w:sz w:val="18"/>
          <w:szCs w:val="18"/>
        </w:rPr>
        <w:t>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1）收取超额业绩报酬的原则：</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2）超额业绩报酬计提方法</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②超额业绩报酬计提日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每份产品份额超额业绩报酬每日计提，产品终止日结算。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③超额业绩报酬的计算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当R≤当前业绩报酬计提基准，超额业绩报酬=0；</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051455"/>
      <w:bookmarkStart w:id="180" w:name="_Toc10398"/>
      <w:bookmarkStart w:id="181" w:name="_Toc21735"/>
      <w:bookmarkStart w:id="182" w:name="_Toc725"/>
      <w:bookmarkStart w:id="183" w:name="_Toc31821"/>
      <w:bookmarkStart w:id="184" w:name="_Toc79154673"/>
      <w:bookmarkStart w:id="185" w:name="_Toc3080"/>
      <w:bookmarkStart w:id="186" w:name="_Toc123112237"/>
      <w:bookmarkStart w:id="187" w:name="_Toc176189762"/>
      <w:bookmarkStart w:id="188" w:name="_Toc141703889"/>
      <w:bookmarkStart w:id="189" w:name="_Toc98560355"/>
      <w:bookmarkStart w:id="190" w:name="_Toc139991739"/>
      <w:bookmarkStart w:id="191" w:name="_Toc3572"/>
      <w:bookmarkStart w:id="192" w:name="_Toc16164"/>
      <w:bookmarkStart w:id="193" w:name="_Toc18206"/>
      <w:bookmarkStart w:id="194" w:name="_Toc74065746"/>
      <w:bookmarkStart w:id="195" w:name="_Toc12310245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9392622"/>
      <w:bookmarkStart w:id="200" w:name="_Toc48649708"/>
      <w:bookmarkStart w:id="201" w:name="_Toc74065747"/>
      <w:bookmarkStart w:id="202" w:name="_Toc29408"/>
      <w:bookmarkStart w:id="203" w:name="_Toc21237"/>
      <w:bookmarkStart w:id="204" w:name="_Toc79154674"/>
      <w:bookmarkStart w:id="205" w:name="_Toc739"/>
      <w:bookmarkStart w:id="206" w:name="_Toc8791"/>
      <w:bookmarkStart w:id="207" w:name="_Toc32092"/>
      <w:bookmarkStart w:id="208" w:name="_Toc98560356"/>
      <w:bookmarkStart w:id="209" w:name="_Toc32584"/>
      <w:bookmarkStart w:id="210" w:name="_Toc3329"/>
      <w:bookmarkStart w:id="211" w:name="_Toc17198"/>
      <w:bookmarkStart w:id="212" w:name="_Toc123102457"/>
      <w:bookmarkStart w:id="213" w:name="_Toc139991740"/>
      <w:bookmarkStart w:id="214" w:name="_Toc17920"/>
      <w:bookmarkStart w:id="215" w:name="_Toc123051456"/>
      <w:bookmarkStart w:id="216" w:name="_Toc5170"/>
      <w:bookmarkStart w:id="217" w:name="_Toc141703890"/>
      <w:bookmarkStart w:id="218" w:name="_Toc123112238"/>
      <w:bookmarkStart w:id="219" w:name="_Toc176189763"/>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【兴银理财稳利恒盈封闭式2026年502期固收类理财产品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销售名称：【稳利恒盈封闭2026年502期14M(纯盈颐养款)A】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【稳利恒盈封闭2026年502期14M(纯盈颐养款)C】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【稳利恒盈封闭2026年502期14M(纯盈颐养款)D】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【稳利恒盈封闭2026年502期14M(纯盈颐养款)E】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【稳利恒盈封闭2026年502期14M(纯盈颐养款)F】 (适用【F】类份额)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Z7002025002026</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■有固定期限:【425天】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1C0F19"/>
    <w:rsid w:val="2BBE5BA7"/>
    <w:rsid w:val="637F58C5"/>
    <w:rsid w:val="6EED4758"/>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47187</Words>
  <Characters>48211</Characters>
  <Lines>0</Lines>
  <Paragraphs>0</Paragraphs>
  <TotalTime>0</TotalTime>
  <ScaleCrop>false</ScaleCrop>
  <LinksUpToDate>false</LinksUpToDate>
  <CharactersWithSpaces>48764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2026-01-07T10:33:12Z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DEBAE0DF83A94B03A62A768E730426E6</vt:lpwstr>
  </property>
</Properties>
</file>