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【兴银理财丰利合享封闭式167号固收类理财产品】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【兴银理财丰利合享封闭式167号固收类理财产品】投资协议书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【兴银理财丰利合享封闭式167号固收类理财产品】产品说明书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【兴银理财丰利合享封闭式167号固收类理财产品】（代理）销售协议书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【兴银理财丰利合享封闭式167号固收类理财产品】风险揭示书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【兴银理财丰利合享封闭式167号固收类理财产品】投资者权益须知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【兴银理财丰利合享封闭式167号固收类理财产品】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23112263"/>
      <w:bookmarkStart w:id="2" w:name="_Toc123112224"/>
      <w:bookmarkStart w:id="3" w:name="_Toc139991726"/>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39992302"/>
      <w:bookmarkStart w:id="7" w:name="_Toc123112225"/>
      <w:bookmarkStart w:id="8" w:name="_Toc12311226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39991729"/>
      <w:bookmarkStart w:id="12" w:name="_Toc12370138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ascii="宋体" w:hAnsi="宋体"/>
                <w:bCs/>
                <w:sz w:val="18"/>
                <w:szCs w:val="18"/>
              </w:rPr>
            </w:pPr>
            <w:r>
              <w:rPr>
                <w:rFonts w:hint="eastAsia" w:ascii="宋体" w:hAnsi="宋体"/>
                <w:bCs/>
                <w:sz w:val="18"/>
                <w:szCs w:val="18"/>
              </w:rPr>
              <w:t>【兴银理财丰利合享封闭式167号固收类理财产品】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ind w:left="0" w:leftChars="0" w:right="0" w:rightChars="0"/>
              <w:jc w:val="both"/>
              <w:rPr>
                <w:rFonts w:ascii="宋体" w:hAnsi="宋体"/>
                <w:bCs/>
                <w:sz w:val="18"/>
                <w:szCs w:val="18"/>
              </w:rPr>
            </w:pPr>
            <w:r>
              <w:rPr>
                <w:rFonts w:ascii="宋体" w:hAnsi="宋体" w:eastAsia="宋体" w:cs="宋体"/>
                <w:sz w:val="18"/>
              </w:rPr>
              <w:t>【丰利合享封闭式167号A】 (适用【A】类份额)</w:t>
            </w:r>
            <w:r>
              <w:rPr>
                <w:rFonts w:ascii="宋体" w:hAnsi="宋体" w:eastAsia="宋体" w:cs="宋体"/>
                <w:sz w:val="18"/>
              </w:rPr>
              <w:br w:type="textWrapping"/>
            </w:r>
            <w:r>
              <w:rPr>
                <w:rFonts w:ascii="宋体" w:hAnsi="宋体" w:eastAsia="宋体" w:cs="宋体"/>
                <w:sz w:val="18"/>
              </w:rPr>
              <w:t>【丰利合享封闭式167号B】 (适用【B】类份额)</w:t>
            </w:r>
            <w:r>
              <w:rPr>
                <w:rFonts w:ascii="宋体" w:hAnsi="宋体" w:eastAsia="宋体" w:cs="宋体"/>
                <w:sz w:val="18"/>
              </w:rPr>
              <w:br w:type="textWrapping"/>
            </w:r>
            <w:r>
              <w:rPr>
                <w:rFonts w:ascii="宋体" w:hAnsi="宋体" w:eastAsia="宋体" w:cs="宋体"/>
                <w:sz w:val="18"/>
              </w:rPr>
              <w:t>【丰利合享封闭式167号C】 (适用【C】类份额)</w:t>
            </w:r>
            <w:r>
              <w:rPr>
                <w:rFonts w:ascii="宋体" w:hAnsi="宋体" w:eastAsia="宋体" w:cs="宋体"/>
                <w:sz w:val="18"/>
              </w:rPr>
              <w:br w:type="textWrapping"/>
            </w:r>
            <w:r>
              <w:rPr>
                <w:rFonts w:ascii="宋体" w:hAnsi="宋体" w:eastAsia="宋体" w:cs="宋体"/>
                <w:sz w:val="18"/>
              </w:rPr>
              <w:t>【丰利合享封闭式167号E】 (适用【E】类份额)</w:t>
            </w:r>
            <w:r>
              <w:rPr>
                <w:rFonts w:ascii="宋体" w:hAnsi="宋体" w:eastAsia="宋体" w:cs="宋体"/>
                <w:sz w:val="18"/>
              </w:rPr>
              <w:br w:type="textWrapping"/>
            </w:r>
            <w:r>
              <w:rPr>
                <w:rFonts w:ascii="宋体" w:hAnsi="宋体" w:eastAsia="宋体" w:cs="宋体"/>
                <w:sz w:val="18"/>
              </w:rPr>
              <w:t>【丰利合享封闭式167号F】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spacing w:line="360" w:lineRule="auto"/>
              <w:jc w:val="left"/>
              <w:rPr>
                <w:rFonts w:ascii="宋体" w:hAnsi="宋体"/>
                <w:bCs/>
                <w:sz w:val="18"/>
                <w:szCs w:val="18"/>
              </w:rPr>
            </w:pPr>
            <w:r>
              <w:rPr>
                <w:rFonts w:hint="eastAsia" w:ascii="宋体" w:hAnsi="宋体"/>
                <w:bCs/>
                <w:sz w:val="18"/>
                <w:szCs w:val="18"/>
              </w:rPr>
              <w:t>【Z7002025002036】注：投资者可依据理财产品登记编码在中国理财网查询产品信息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9K251670</w:t>
            </w:r>
            <w:r>
              <w:rPr>
                <w:rFonts w:ascii="宋体" w:hAnsi="宋体"/>
                <w:bCs/>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【9K25167A】 (适用【A】类份额)</w:t>
            </w:r>
            <w:r>
              <w:rPr>
                <w:rFonts w:ascii="宋体" w:hAnsi="宋体" w:eastAsia="宋体" w:cs="宋体"/>
                <w:sz w:val="18"/>
              </w:rPr>
              <w:br w:type="textWrapping"/>
            </w:r>
            <w:r>
              <w:rPr>
                <w:rFonts w:ascii="宋体" w:hAnsi="宋体" w:eastAsia="宋体" w:cs="宋体"/>
                <w:sz w:val="18"/>
              </w:rPr>
              <w:t>【9K25167B】 (适用【B】类份额)</w:t>
            </w:r>
            <w:r>
              <w:rPr>
                <w:rFonts w:ascii="宋体" w:hAnsi="宋体" w:eastAsia="宋体" w:cs="宋体"/>
                <w:sz w:val="18"/>
              </w:rPr>
              <w:br w:type="textWrapping"/>
            </w:r>
            <w:r>
              <w:rPr>
                <w:rFonts w:ascii="宋体" w:hAnsi="宋体" w:eastAsia="宋体" w:cs="宋体"/>
                <w:sz w:val="18"/>
              </w:rPr>
              <w:t>【9K25167C】 (适用【C】类份额)</w:t>
            </w:r>
            <w:r>
              <w:rPr>
                <w:rFonts w:ascii="宋体" w:hAnsi="宋体" w:eastAsia="宋体" w:cs="宋体"/>
                <w:sz w:val="18"/>
              </w:rPr>
              <w:br w:type="textWrapping"/>
            </w:r>
            <w:r>
              <w:rPr>
                <w:rFonts w:ascii="宋体" w:hAnsi="宋体" w:eastAsia="宋体" w:cs="宋体"/>
                <w:sz w:val="18"/>
              </w:rPr>
              <w:t>【9K25167E】 (适用【E】类份额)</w:t>
            </w:r>
            <w:r>
              <w:rPr>
                <w:rFonts w:ascii="宋体" w:hAnsi="宋体" w:eastAsia="宋体" w:cs="宋体"/>
                <w:sz w:val="18"/>
              </w:rPr>
              <w:br w:type="textWrapping"/>
            </w:r>
            <w:r>
              <w:rPr>
                <w:rFonts w:ascii="宋体" w:hAnsi="宋体" w:eastAsia="宋体" w:cs="宋体"/>
                <w:sz w:val="18"/>
              </w:rPr>
              <w:t>【9K25167F】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39991730"/>
      <w:bookmarkStart w:id="15" w:name="_Toc26897"/>
      <w:bookmarkStart w:id="16" w:name="_Toc4966"/>
      <w:bookmarkStart w:id="17" w:name="_Toc123701389"/>
      <w:bookmarkStart w:id="18" w:name="_Toc32639"/>
      <w:bookmarkStart w:id="19" w:name="_Toc123112268"/>
      <w:bookmarkStart w:id="20" w:name="_Toc15517"/>
      <w:bookmarkStart w:id="21" w:name="_Toc30935"/>
      <w:bookmarkStart w:id="22" w:name="_Toc141703880"/>
      <w:bookmarkStart w:id="23" w:name="_Toc4867"/>
      <w:bookmarkStart w:id="24" w:name="_Toc23386"/>
      <w:bookmarkStart w:id="25" w:name="_Toc29629"/>
      <w:bookmarkStart w:id="26" w:name="_Toc123112229"/>
      <w:bookmarkStart w:id="27" w:name="_Toc8727"/>
      <w:bookmarkStart w:id="28" w:name="_Toc630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22864"/>
      <w:bookmarkStart w:id="34" w:name="_Toc3224"/>
      <w:bookmarkStart w:id="35" w:name="_Toc819"/>
      <w:bookmarkStart w:id="36" w:name="_Toc19592"/>
      <w:bookmarkStart w:id="37" w:name="_Toc15067"/>
      <w:bookmarkStart w:id="38" w:name="_Toc13020"/>
      <w:bookmarkStart w:id="39" w:name="_Toc6617"/>
      <w:bookmarkStart w:id="40" w:name="_Toc21301"/>
      <w:bookmarkStart w:id="41" w:name="_Toc258829399"/>
      <w:bookmarkStart w:id="42" w:name="_Toc24860"/>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8631"/>
      <w:bookmarkStart w:id="48" w:name="_Toc13288"/>
      <w:bookmarkStart w:id="49" w:name="_Toc6683"/>
      <w:bookmarkStart w:id="50" w:name="_Toc74065740"/>
      <w:bookmarkStart w:id="51" w:name="_Toc24571"/>
      <w:bookmarkStart w:id="52" w:name="_Toc20627"/>
      <w:bookmarkStart w:id="53" w:name="_Toc733"/>
      <w:bookmarkStart w:id="54" w:name="_Toc22708"/>
      <w:bookmarkStart w:id="55" w:name="_Toc545"/>
      <w:bookmarkStart w:id="56" w:name="_Toc20318"/>
      <w:bookmarkStart w:id="57" w:name="_Toc6149"/>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【兴银理财丰利合享封闭式167号固收类理财产品】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：指产品管理人向投资者提供的，用于描述产品特征，约定权利义务的文件。具体指《【兴银理财丰利合享封闭式167号固收类理财产品】销售文件》，包括《投资协议书》《产品说明书》《（代理）销售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《投资协议书》：指管理人统一编制的《【兴银理财丰利合享封闭式167号固收类理财产品】投资协议书》，以及对该文件的有效修改或补充。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）《产品说明书》：指管理人统一编制的《【兴银理财丰利合享封闭式167号固收类理财产品】产品说明书》，以及对该文件的有效修改或补充。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（4）《（代理）销售协议书》：指管理人统一编制的《【兴银理财丰利合享封闭式167号固收类理财产品】（代理）销售协议书》或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的《【兴银理财丰利合享封闭式167号固收类理财产品】品（代理）销售协议书》（文件名称以代理销售机构实际编制为准），以及对该文件的有效修改或补充。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）《风险揭示书》：指管理人统一编制的《【兴银理财丰利合享封闭式167号固收类理财产品】风险揭示书》或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的《【兴银理财丰利合享封闭式167号固收类理财产品】风险揭示书》（文件名称以代理销售机构实际编制为准），以及对该文件的有效修改或补充。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）《投资者权益须知》：指管理人统一编制的《【兴银理财丰利合享封闭式167号固收类理财产品】投资者权益须知》或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《【兴银理财丰利合享封闭式167号固收类理财产品】投资者权益须知》（文件名称以代理销售机构实际编制为准），以及对该文件的有效修改或补充。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eastAsia" w:ascii="宋体" w:hAnsi="宋体" w:eastAsia="宋体" w:cs="宋体"/>
                <w:bCs/>
                <w:sz w:val="18"/>
                <w:szCs w:val="18"/>
              </w:rPr>
              <w:t>【兴银理财丰利合享封闭式167号固收类理财产品】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pPr>
              <w:keepNext w:val="0"/>
              <w:keepLines w:val="0"/>
              <w:widowControl/>
              <w:suppressLineNumbers w:val="0"/>
              <w:spacing w:before="0" w:beforeAutospacing="0" w:after="0" w:afterAutospacing="0" w:line="360" w:lineRule="auto"/>
              <w:ind w:left="0" w:right="0"/>
              <w:jc w:val="left"/>
              <w:rPr>
                <w:rFonts w:hint="default" w:ascii="宋体" w:hAnsi="宋体" w:cs="宋体"/>
                <w:kern w:val="0"/>
                <w:sz w:val="22"/>
                <w:szCs w:val="22"/>
              </w:rPr>
            </w:pPr>
            <w:r>
              <w:rPr>
                <w:rFonts w:hint="default" w:ascii="宋体" w:hAnsi="宋体" w:eastAsia="宋体" w:cs="宋体"/>
                <w:sz w:val="18"/>
                <w:szCs w:val="22"/>
              </w:rPr>
              <w:t>【丰利合享封闭式167号A】 (适用【A】类份额)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【丰利合享封闭式167号B】 (适用【B】类份额)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【丰利合享封闭式167号C】 (适用【C】类份额)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【丰利合享封闭式167号E】 (适用【E】类份额)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【丰利合享封闭式167号F】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sz w:val="18"/>
                <w:szCs w:val="18"/>
              </w:rPr>
              <w:t>【Z7002025002036】</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w:t>
            </w:r>
            <w:r>
              <w:rPr>
                <w:rFonts w:hint="eastAsia" w:ascii="宋体" w:hAnsi="宋体" w:cs="宋体"/>
                <w:bCs/>
                <w:sz w:val="18"/>
                <w:szCs w:val="18"/>
              </w:rPr>
              <w:t>9K251670】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宋体" w:hAnsi="宋体" w:eastAsia="宋体" w:cs="宋体"/>
                <w:sz w:val="18"/>
                <w:szCs w:val="22"/>
              </w:rPr>
              <w:t>【9K25167A】 (适用【A】类份额)</w:t>
            </w:r>
            <w:r>
              <w:rPr>
                <w:rFonts w:hint="default" w:ascii="宋体" w:hAnsi="宋体" w:eastAsia="宋体" w:cs="宋体"/>
                <w:sz w:val="18"/>
                <w:szCs w:val="22"/>
              </w:rPr>
              <w:br w:type="textWrapping"/>
            </w:r>
            <w:r>
              <w:rPr>
                <w:rFonts w:hint="default" w:ascii="宋体" w:hAnsi="宋体" w:eastAsia="宋体" w:cs="宋体"/>
                <w:sz w:val="18"/>
                <w:szCs w:val="22"/>
              </w:rPr>
              <w:t>【9K25167B】 (适用【B】类份额)</w:t>
            </w:r>
            <w:r>
              <w:rPr>
                <w:rFonts w:hint="default" w:ascii="宋体" w:hAnsi="宋体" w:eastAsia="宋体" w:cs="宋体"/>
                <w:sz w:val="18"/>
                <w:szCs w:val="22"/>
              </w:rPr>
              <w:br w:type="textWrapping"/>
            </w:r>
            <w:r>
              <w:rPr>
                <w:rFonts w:hint="default" w:ascii="宋体" w:hAnsi="宋体" w:eastAsia="宋体" w:cs="宋体"/>
                <w:sz w:val="18"/>
                <w:szCs w:val="22"/>
              </w:rPr>
              <w:t>【9K25167C】 (适用【C】类份额)</w:t>
            </w:r>
            <w:r>
              <w:rPr>
                <w:rFonts w:hint="default" w:ascii="宋体" w:hAnsi="宋体" w:eastAsia="宋体" w:cs="宋体"/>
                <w:sz w:val="18"/>
                <w:szCs w:val="22"/>
              </w:rPr>
              <w:br w:type="textWrapping"/>
            </w:r>
            <w:r>
              <w:rPr>
                <w:rFonts w:hint="default" w:ascii="宋体" w:hAnsi="宋体" w:eastAsia="宋体" w:cs="宋体"/>
                <w:sz w:val="18"/>
                <w:szCs w:val="22"/>
              </w:rPr>
              <w:t>【9K25167E】 (适用【E】类份额)</w:t>
            </w:r>
            <w:r>
              <w:rPr>
                <w:rFonts w:hint="default" w:ascii="宋体" w:hAnsi="宋体" w:eastAsia="宋体" w:cs="宋体"/>
                <w:sz w:val="18"/>
                <w:szCs w:val="22"/>
              </w:rPr>
              <w:br w:type="textWrapping"/>
            </w:r>
            <w:r>
              <w:rPr>
                <w:rFonts w:hint="default" w:ascii="宋体" w:hAnsi="宋体" w:eastAsia="宋体" w:cs="宋体"/>
                <w:sz w:val="18"/>
                <w:szCs w:val="22"/>
              </w:rPr>
              <w:t>【9K25167F】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eastAsia="zh-CN"/>
              </w:rPr>
              <w:t>1.本产品计划初始募集规模为【</w:t>
            </w:r>
            <w:r>
              <w:rPr>
                <w:rFonts w:hint="eastAsia" w:ascii="宋体" w:hAnsi="宋体" w:eastAsia="宋体" w:cs="宋体"/>
                <w:bCs/>
                <w:sz w:val="18"/>
                <w:szCs w:val="18"/>
              </w:rPr>
              <w:t>12</w:t>
            </w:r>
            <w:r>
              <w:rPr>
                <w:rFonts w:hint="eastAsia" w:ascii="宋体" w:hAnsi="宋体" w:eastAsia="宋体" w:cs="宋体"/>
                <w:bCs/>
                <w:sz w:val="18"/>
                <w:szCs w:val="18"/>
                <w:lang w:eastAsia="zh-CN"/>
              </w:rPr>
              <w:t>】亿元，最小成立规模为【</w:t>
            </w:r>
            <w:r>
              <w:rPr>
                <w:rFonts w:hint="eastAsia" w:ascii="宋体" w:hAnsi="宋体" w:eastAsia="宋体" w:cs="宋体"/>
                <w:bCs/>
                <w:sz w:val="18"/>
                <w:szCs w:val="18"/>
              </w:rPr>
              <w:t>/</w:t>
            </w:r>
            <w:r>
              <w:rPr>
                <w:rFonts w:hint="eastAsia" w:ascii="宋体" w:hAnsi="宋体" w:eastAsia="宋体" w:cs="宋体"/>
                <w:bCs/>
                <w:sz w:val="18"/>
                <w:szCs w:val="18"/>
                <w:lang w:eastAsia="zh-CN"/>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■有固定期限:【422天】</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widowControl w:val="0"/>
              <w:suppressLineNumbers w:val="0"/>
              <w:spacing w:before="0" w:beforeAutospacing="0" w:after="0" w:afterAutospacing="0"/>
              <w:ind w:left="0" w:right="0"/>
              <w:jc w:val="both"/>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【2026年01月07日】【09:00】至【2026年01月13日】【17:00】</w:t>
            </w:r>
            <w:r>
              <w:rPr>
                <w:rFonts w:hint="default" w:ascii="宋体" w:hAnsi="宋体" w:eastAsia="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rPr>
              <w:t>【2026年01月14日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rPr>
              <w:t>【2027年03月12日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每笔购买起点金额为【50000】元;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hint="default" w:ascii="宋体" w:hAnsi="宋体" w:eastAsia="宋体" w:cs="宋体"/>
                <w:sz w:val="18"/>
                <w:szCs w:val="22"/>
              </w:rPr>
              <w:t>认购的数量限制</w:t>
            </w:r>
            <w:r>
              <w:rPr>
                <w:rFonts w:hint="default" w:ascii="宋体" w:hAnsi="宋体" w:eastAsia="宋体" w:cs="宋体"/>
                <w:sz w:val="18"/>
                <w:szCs w:val="22"/>
              </w:rPr>
              <w:br w:type="textWrapping"/>
            </w:r>
            <w:r>
              <w:rPr>
                <w:rFonts w:hint="default" w:ascii="宋体" w:hAnsi="宋体" w:eastAsia="宋体" w:cs="宋体"/>
                <w:sz w:val="18"/>
                <w:szCs w:val="22"/>
              </w:rPr>
              <w:t>（1）单一投资者认购上限为【/】元。（适用【A】类份额)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单一投资者认购上限为【/】元。（适用【B】类份额)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单一投资者认购上限为【/】元。（适用【C】类份额)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单一投资者认购上限为【/】元。（适用【E】类份额)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单一投资者认购上限为【/】元。（适用【F】类份额)</w:t>
            </w:r>
            <w:r>
              <w:rPr>
                <w:rFonts w:hint="default" w:ascii="宋体" w:hAnsi="宋体" w:eastAsia="宋体" w:cs="宋体"/>
                <w:sz w:val="18"/>
                <w:szCs w:val="22"/>
              </w:rPr>
              <w:br w:type="textWrapping"/>
            </w:r>
            <w:r>
              <w:rPr>
                <w:rFonts w:hint="default" w:ascii="宋体" w:hAnsi="宋体" w:eastAsia="宋体" w:cs="宋体"/>
                <w:sz w:val="18"/>
                <w:szCs w:val="22"/>
              </w:rPr>
              <w:t>（2）产品存续期间，单一投资者最高持有份额上限为【/】份，符合产品管理人流动性管理的稳定资金除外。（适用【A】类份额)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产品存续期间，单一投资者最高持有份额上限为【/】份，符合产品管理人流动性管理的稳定资金除外。（适用【B】类份额)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产品存续期间，单一投资者最高持有份额上限为【/】份，符合产品管理人流动性管理的稳定资金除外。（适用【C】类份额)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产品存续期间，单一投资者最高持有份额上限为【/】份，符合产品管理人流动性管理的稳定资金除外。（适用【E】类份额)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产品存续期间，单一投资者最高持有份额上限为【/】份，符合产品管理人流动性管理的稳定资金除外。（适用【F】类份额)</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22"/>
                <w:lang w:val="en-US" w:eastAsia="zh-CN"/>
              </w:rPr>
            </w:pPr>
            <w:r>
              <w:rPr>
                <w:rFonts w:hint="eastAsia" w:ascii="宋体" w:hAnsi="宋体" w:cs="宋体"/>
                <w:sz w:val="18"/>
                <w:szCs w:val="22"/>
                <w:lang w:val="en-US" w:eastAsia="zh-CN"/>
              </w:rPr>
              <w:t>如需突破上限，请与产品管理人或销售机构客户经理联系。</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本产品为主动管理固定收益类理财产品，产品配置债权类资产为主。基于当前对未来市场的判断，通过定量与定性相结合的办法，根据拟投资固定收益类资产收益率水平、信用利差、久期敞口以及流动性溢价等因素调整组合仓位和各类资产的投资比例，同时综合考虑历史经验和回溯结果。】。</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年化【2.28%-2.48%】。（适用【A】类份额)</w:t>
            </w:r>
            <w:r>
              <w:rPr>
                <w:rFonts w:hint="default" w:ascii="宋体" w:hAnsi="宋体" w:eastAsia="宋体" w:cs="宋体"/>
                <w:sz w:val="18"/>
                <w:szCs w:val="22"/>
              </w:rPr>
              <w:br w:type="textWrapping"/>
            </w:r>
            <w:r>
              <w:rPr>
                <w:rFonts w:hint="default" w:ascii="宋体" w:hAnsi="宋体" w:eastAsia="宋体" w:cs="宋体"/>
                <w:sz w:val="18"/>
                <w:szCs w:val="22"/>
              </w:rPr>
              <w:t>年化【2.31%-2.51%】。（适用【B】类份额)</w:t>
            </w:r>
            <w:r>
              <w:rPr>
                <w:rFonts w:hint="default" w:ascii="宋体" w:hAnsi="宋体" w:eastAsia="宋体" w:cs="宋体"/>
                <w:sz w:val="18"/>
                <w:szCs w:val="22"/>
              </w:rPr>
              <w:br w:type="textWrapping"/>
            </w:r>
            <w:r>
              <w:rPr>
                <w:rFonts w:hint="default" w:ascii="宋体" w:hAnsi="宋体" w:eastAsia="宋体" w:cs="宋体"/>
                <w:sz w:val="18"/>
                <w:szCs w:val="22"/>
              </w:rPr>
              <w:t>年化【2.07%-2.27%】。（适用【C】类份额)</w:t>
            </w:r>
            <w:r>
              <w:rPr>
                <w:rFonts w:hint="default" w:ascii="宋体" w:hAnsi="宋体" w:eastAsia="宋体" w:cs="宋体"/>
                <w:sz w:val="18"/>
                <w:szCs w:val="22"/>
              </w:rPr>
              <w:br w:type="textWrapping"/>
            </w:r>
            <w:r>
              <w:rPr>
                <w:rFonts w:hint="default" w:ascii="宋体" w:hAnsi="宋体" w:eastAsia="宋体" w:cs="宋体"/>
                <w:sz w:val="18"/>
                <w:szCs w:val="22"/>
              </w:rPr>
              <w:t>年化【2.22%-2.42%】。（适用【E】类份额)</w:t>
            </w:r>
            <w:r>
              <w:rPr>
                <w:rFonts w:hint="default" w:ascii="宋体" w:hAnsi="宋体" w:eastAsia="宋体" w:cs="宋体"/>
                <w:sz w:val="18"/>
                <w:szCs w:val="22"/>
              </w:rPr>
              <w:br w:type="textWrapping"/>
            </w:r>
            <w:r>
              <w:rPr>
                <w:rFonts w:hint="default" w:ascii="宋体" w:hAnsi="宋体" w:eastAsia="宋体" w:cs="宋体"/>
                <w:sz w:val="18"/>
                <w:szCs w:val="22"/>
              </w:rPr>
              <w:t>年化【2.32%-2.52%】。（适用【F】类份额)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Calibri" w:hAnsi="宋体" w:cs="宋体"/>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default" w:ascii="Calibri" w:hAnsi="宋体" w:cs="宋体"/>
                <w:sz w:val="18"/>
                <w:szCs w:val="18"/>
              </w:rPr>
              <w:t>（1）★业绩比较基准不是预期收益率，不代表产品的未来表现和实际收益，不构成对产品收益的承诺，投资须谨慎。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年化【2.38%】。（适用【A】类份额)</w:t>
            </w:r>
            <w:r>
              <w:rPr>
                <w:rFonts w:hint="default" w:ascii="宋体" w:hAnsi="宋体" w:eastAsia="宋体" w:cs="宋体"/>
                <w:sz w:val="18"/>
                <w:szCs w:val="22"/>
              </w:rPr>
              <w:br w:type="textWrapping"/>
            </w:r>
            <w:r>
              <w:rPr>
                <w:rFonts w:hint="default" w:ascii="宋体" w:hAnsi="宋体" w:eastAsia="宋体" w:cs="宋体"/>
                <w:sz w:val="18"/>
                <w:szCs w:val="22"/>
              </w:rPr>
              <w:t>年化【2.41%】。（适用【B】类份额)</w:t>
            </w:r>
            <w:r>
              <w:rPr>
                <w:rFonts w:hint="default" w:ascii="宋体" w:hAnsi="宋体" w:eastAsia="宋体" w:cs="宋体"/>
                <w:sz w:val="18"/>
                <w:szCs w:val="22"/>
              </w:rPr>
              <w:br w:type="textWrapping"/>
            </w:r>
            <w:r>
              <w:rPr>
                <w:rFonts w:hint="default" w:ascii="宋体" w:hAnsi="宋体" w:eastAsia="宋体" w:cs="宋体"/>
                <w:sz w:val="18"/>
                <w:szCs w:val="22"/>
              </w:rPr>
              <w:t>年化【2.17%】。（适用【C】类份额)</w:t>
            </w:r>
            <w:r>
              <w:rPr>
                <w:rFonts w:hint="default" w:ascii="宋体" w:hAnsi="宋体" w:eastAsia="宋体" w:cs="宋体"/>
                <w:sz w:val="18"/>
                <w:szCs w:val="22"/>
              </w:rPr>
              <w:br w:type="textWrapping"/>
            </w:r>
            <w:r>
              <w:rPr>
                <w:rFonts w:hint="default" w:ascii="宋体" w:hAnsi="宋体" w:eastAsia="宋体" w:cs="宋体"/>
                <w:sz w:val="18"/>
                <w:szCs w:val="22"/>
              </w:rPr>
              <w:t>年化【2.32%】。（适用【E】类份额)</w:t>
            </w:r>
            <w:r>
              <w:rPr>
                <w:rFonts w:hint="default" w:ascii="宋体" w:hAnsi="宋体" w:eastAsia="宋体" w:cs="宋体"/>
                <w:sz w:val="18"/>
                <w:szCs w:val="22"/>
              </w:rPr>
              <w:br w:type="textWrapping"/>
            </w:r>
            <w:r>
              <w:rPr>
                <w:rFonts w:hint="default" w:ascii="宋体" w:hAnsi="宋体" w:eastAsia="宋体" w:cs="宋体"/>
                <w:sz w:val="18"/>
                <w:szCs w:val="22"/>
              </w:rPr>
              <w:t>年化【2.42%】。（适用【F】类份额)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年化费率【0.09%】。（适用【A】类份额）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年化费率【0.06%】。（适用【B】类份额）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74065741"/>
      <w:bookmarkStart w:id="78" w:name="_Toc15203"/>
      <w:bookmarkStart w:id="79" w:name="_Toc16265"/>
      <w:bookmarkStart w:id="80" w:name="_Toc7151"/>
      <w:bookmarkStart w:id="81" w:name="_Toc90742321"/>
      <w:bookmarkStart w:id="82" w:name="_Toc29948"/>
      <w:bookmarkStart w:id="83" w:name="_Toc29784"/>
      <w:bookmarkStart w:id="84" w:name="_Toc79154668"/>
      <w:bookmarkStart w:id="85" w:name="_Toc22074"/>
      <w:bookmarkStart w:id="86" w:name="_Toc3266"/>
      <w:bookmarkStart w:id="87" w:name="_Toc90742390"/>
      <w:bookmarkStart w:id="88" w:name="_Toc90742688"/>
      <w:bookmarkStart w:id="89" w:name="_Toc27189"/>
      <w:bookmarkStart w:id="90" w:name="_Toc6714"/>
      <w:bookmarkStart w:id="91" w:name="_Toc2722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外币债以及其他固定收益类投资工具等。</w:t>
      </w:r>
      <w:r>
        <w:rPr>
          <w:rFonts w:ascii="宋体" w:hAnsi="宋体" w:eastAsia="宋体" w:cs="宋体"/>
          <w:sz w:val="18"/>
          <w:szCs w:val="22"/>
        </w:rPr>
        <w:br w:type="textWrapping"/>
      </w:r>
      <w:r>
        <w:rPr>
          <w:rFonts w:ascii="宋体" w:hAnsi="宋体" w:eastAsia="宋体" w:cs="宋体"/>
          <w:sz w:val="18"/>
          <w:szCs w:val="22"/>
        </w:rPr>
        <w:t>（3）符合监管要求的债权类资产。</w:t>
      </w:r>
      <w:r>
        <w:rPr>
          <w:rFonts w:ascii="宋体" w:hAnsi="宋体" w:eastAsia="宋体" w:cs="宋体"/>
          <w:sz w:val="18"/>
          <w:szCs w:val="22"/>
        </w:rPr>
        <w:br w:type="textWrapping"/>
      </w:r>
      <w:r>
        <w:rPr>
          <w:rFonts w:ascii="宋体" w:hAnsi="宋体" w:eastAsia="宋体" w:cs="宋体"/>
          <w:sz w:val="18"/>
          <w:szCs w:val="22"/>
        </w:rPr>
        <w:t>（4）国债期货、利率互换、债券借贷、信用风险缓释工具、交易所信用保护工具、股指期货、外汇衍生工具等。</w:t>
      </w:r>
      <w:r>
        <w:rPr>
          <w:rFonts w:ascii="宋体" w:hAnsi="宋体" w:eastAsia="宋体" w:cs="宋体"/>
          <w:sz w:val="18"/>
          <w:szCs w:val="22"/>
        </w:rPr>
        <w:br w:type="textWrapping"/>
      </w:r>
      <w:r>
        <w:rPr>
          <w:rFonts w:ascii="宋体" w:hAnsi="宋体" w:eastAsia="宋体" w:cs="宋体"/>
          <w:sz w:val="18"/>
          <w:szCs w:val="22"/>
        </w:rPr>
        <w:t>（5）公开募集证券投资基金。</w:t>
      </w:r>
      <w:r>
        <w:rPr>
          <w:rFonts w:ascii="宋体" w:hAnsi="宋体" w:eastAsia="宋体" w:cs="宋体"/>
          <w:sz w:val="18"/>
          <w:szCs w:val="22"/>
        </w:rPr>
        <w:br w:type="textWrapping"/>
      </w:r>
      <w:r>
        <w:rPr>
          <w:rFonts w:ascii="宋体" w:hAnsi="宋体" w:eastAsia="宋体" w:cs="宋体"/>
          <w:sz w:val="18"/>
          <w:szCs w:val="22"/>
        </w:rPr>
        <w:t>（6）信用结构化产品，包括信用挂钩结构性存款、结构化票据。</w:t>
      </w:r>
      <w:r>
        <w:rPr>
          <w:rFonts w:ascii="宋体" w:hAnsi="宋体" w:eastAsia="宋体" w:cs="宋体"/>
          <w:sz w:val="18"/>
          <w:szCs w:val="22"/>
        </w:rPr>
        <w:br w:type="textWrapping"/>
      </w:r>
      <w:r>
        <w:rPr>
          <w:rFonts w:ascii="宋体" w:hAnsi="宋体" w:eastAsia="宋体" w:cs="宋体"/>
          <w:sz w:val="18"/>
          <w:szCs w:val="22"/>
        </w:rPr>
        <w:t>（7）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【（1）本产品投资于债权类资产的比例不低于产品总资产的95%；投资于衍生品类资产的投资比例合计不超过产品总资产的5%。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（2）符合监管要求的非标准化债权类资产低于产品净资产的50%。】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hint="eastAsia"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（1）每只公募理财产品投资单只证券或者单只公募证券投资基金的市值不得超过该理财产品净资产的10%。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（4）全部开放式公募理财产品投资单一上市公司发行的股票不得超过该上市公司可流通股票的15%。</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color w:val="000000"/>
          <w:sz w:val="18"/>
          <w:szCs w:val="24"/>
          <w:lang w:val="en-US" w:eastAsia="zh-CN" w:bidi="ar-SA"/>
        </w:rPr>
        <w:t xml:space="preserve">【本产品通过对宏观经济、利率走势、资金供求、信用风险状况、证券市场走势等方面的分析和预测 ，综合运用各类固收类资产策略，力求规避风险并实现组合资产的保值增值。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1、固收类资产配置策略：本产品将根据收益率、市场流动性、信用风险利差等因素，在国债、金融债、信用债等债券类别间进行债券类属资产配置。具体来说，本产品将基于对未来宏观经济和利率环境的研究和预测，根据国债、金融债、信用债等不同品种的信用利差变动情况，以及各品种的市场容量和流动性情况，通过情景分析的方法，判断各个债券资产类属的预期回报，在不同债券品种之间进行配置。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杠杆策略：杠杆放大操作即以组合现有债券为基础，利用回购等方式融入低成本资金，并购买具有较高收益的债券，以期获取超额收益的操作方式。本产品将对回购利率与债券收益率、存款利率等进行比较，判断是否存在利差套利空间，从而确定是否进行杠杆操作。进行杠杆放大策略时 ，产品管理人将严格控制信用风险及流动性风险。</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本理财产品采用ESG投资策略，可使用负面筛选或正面优选等方法。对于负面筛选法，以外购第三方ESG数据库或内部评分体系为基础，将ESG评分应用到现有投资池，构建主体及证券的负面清单，管理人将根据研究结果以及主动判断对ESG负面清单的主体及证券降低投资权重或调仓。</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绿色投资筛选策略：本产品优先投资于绿色相关产业，包括但不限于清洁能源产业、节能环保产业及其他积极履行环境责任、致力于向绿色产业转型的企业，重点投资于符合法律法规及监管政策等相关文件支持的绿色资产，包括但不限于符合绿色投资理念的债券、绿色ABS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76189758"/>
      <w:bookmarkStart w:id="94" w:name="_Toc18797"/>
      <w:bookmarkStart w:id="95" w:name="_Toc26986"/>
      <w:bookmarkStart w:id="96" w:name="_Toc21988"/>
      <w:bookmarkStart w:id="97" w:name="_Toc7848"/>
      <w:bookmarkStart w:id="98" w:name="_Toc18526"/>
      <w:bookmarkStart w:id="99" w:name="_Toc74065742"/>
      <w:bookmarkStart w:id="100" w:name="_Toc4741"/>
      <w:bookmarkStart w:id="101" w:name="_Toc79154669"/>
      <w:bookmarkStart w:id="102" w:name="_Toc18329"/>
      <w:bookmarkStart w:id="103" w:name="_Toc1823"/>
      <w:bookmarkStart w:id="104" w:name="_Toc17912"/>
      <w:bookmarkStart w:id="105" w:name="_Toc139991735"/>
      <w:bookmarkStart w:id="106" w:name="_Toc141703885"/>
      <w:bookmarkStart w:id="107" w:name="_Toc14893"/>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610"/>
      <w:bookmarkStart w:id="110" w:name="_Toc123112234"/>
      <w:bookmarkStart w:id="111" w:name="_Toc176189759"/>
      <w:bookmarkStart w:id="112" w:name="_Toc23261"/>
      <w:bookmarkStart w:id="113" w:name="_Toc17244"/>
      <w:bookmarkStart w:id="114" w:name="_Toc23822"/>
      <w:bookmarkStart w:id="115" w:name="_Toc1270"/>
      <w:bookmarkStart w:id="116" w:name="_Toc123102453"/>
      <w:bookmarkStart w:id="117" w:name="_Toc20733"/>
      <w:bookmarkStart w:id="118" w:name="_Toc4003"/>
      <w:bookmarkStart w:id="119" w:name="_Toc141703886"/>
      <w:bookmarkStart w:id="120" w:name="_Toc79392606"/>
      <w:bookmarkStart w:id="121" w:name="_Toc1427"/>
      <w:bookmarkStart w:id="122" w:name="_Toc10463"/>
      <w:bookmarkStart w:id="123" w:name="_Toc123051452"/>
      <w:bookmarkStart w:id="124" w:name="_Toc98560352"/>
      <w:bookmarkStart w:id="125" w:name="_Toc7920"/>
      <w:bookmarkStart w:id="126" w:name="_Toc139991736"/>
      <w:bookmarkStart w:id="127" w:name="_Toc79154670"/>
      <w:bookmarkStart w:id="128" w:name="_Toc74065743"/>
      <w:bookmarkStart w:id="129" w:name="_Toc48649707"/>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31235"/>
      <w:bookmarkStart w:id="132" w:name="_Toc123051453"/>
      <w:bookmarkStart w:id="133" w:name="_Toc176189760"/>
      <w:bookmarkStart w:id="134" w:name="_Toc15143"/>
      <w:bookmarkStart w:id="135" w:name="_Toc14835"/>
      <w:bookmarkStart w:id="136" w:name="_Toc26207"/>
      <w:bookmarkStart w:id="137" w:name="_Toc98560353"/>
      <w:bookmarkStart w:id="138" w:name="_Toc31644"/>
      <w:bookmarkStart w:id="139" w:name="_Toc12245"/>
      <w:bookmarkStart w:id="140" w:name="_Toc74065744"/>
      <w:bookmarkStart w:id="141" w:name="_Toc3601"/>
      <w:bookmarkStart w:id="142" w:name="_Toc79154671"/>
      <w:bookmarkStart w:id="143" w:name="_Toc6405"/>
      <w:bookmarkStart w:id="144" w:name="_Toc31653"/>
      <w:bookmarkStart w:id="145" w:name="_Toc123102454"/>
      <w:bookmarkStart w:id="146" w:name="_Toc29251"/>
      <w:bookmarkStart w:id="147" w:name="_Toc139991737"/>
      <w:bookmarkStart w:id="148" w:name="_Toc123112235"/>
      <w:bookmarkStart w:id="149" w:name="_Toc141703887"/>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15118234"/>
      <w:bookmarkStart w:id="153" w:name="_Toc79392580"/>
      <w:bookmarkStart w:id="154" w:name="_Toc523711668"/>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6447"/>
      <w:bookmarkStart w:id="158" w:name="_Toc139991738"/>
      <w:bookmarkStart w:id="159" w:name="_Toc10650"/>
      <w:bookmarkStart w:id="160" w:name="_Toc141703888"/>
      <w:bookmarkStart w:id="161" w:name="_Toc123051454"/>
      <w:bookmarkStart w:id="162" w:name="_Toc98560354"/>
      <w:bookmarkStart w:id="163" w:name="_Toc25783"/>
      <w:bookmarkStart w:id="164" w:name="_Toc7058"/>
      <w:bookmarkStart w:id="165" w:name="_Toc4559"/>
      <w:bookmarkStart w:id="166" w:name="_Toc3321"/>
      <w:bookmarkStart w:id="167" w:name="_Toc176189761"/>
      <w:bookmarkStart w:id="168" w:name="_Toc9706"/>
      <w:bookmarkStart w:id="169" w:name="_Toc123112236"/>
      <w:bookmarkStart w:id="170" w:name="_Toc3771"/>
      <w:bookmarkStart w:id="171" w:name="_Toc79392583"/>
      <w:bookmarkStart w:id="172" w:name="_Toc123102455"/>
      <w:bookmarkStart w:id="173" w:name="_Toc74065745"/>
      <w:bookmarkStart w:id="174" w:name="_Toc79154672"/>
      <w:bookmarkStart w:id="175" w:name="_Toc18567"/>
      <w:bookmarkStart w:id="176" w:name="_Toc11030"/>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注：</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1）H对应的销售服务主要集中于产品认购募集期间。</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39991739"/>
      <w:bookmarkStart w:id="180" w:name="_Toc31821"/>
      <w:bookmarkStart w:id="181" w:name="_Toc725"/>
      <w:bookmarkStart w:id="182" w:name="_Toc123112237"/>
      <w:bookmarkStart w:id="183" w:name="_Toc123102456"/>
      <w:bookmarkStart w:id="184" w:name="_Toc21735"/>
      <w:bookmarkStart w:id="185" w:name="_Toc98560355"/>
      <w:bookmarkStart w:id="186" w:name="_Toc74065746"/>
      <w:bookmarkStart w:id="187" w:name="_Toc18206"/>
      <w:bookmarkStart w:id="188" w:name="_Toc16164"/>
      <w:bookmarkStart w:id="189" w:name="_Toc3572"/>
      <w:bookmarkStart w:id="190" w:name="_Toc3080"/>
      <w:bookmarkStart w:id="191" w:name="_Toc10398"/>
      <w:bookmarkStart w:id="192" w:name="_Toc79154673"/>
      <w:bookmarkStart w:id="193" w:name="_Toc141703889"/>
      <w:bookmarkStart w:id="194" w:name="_Toc123051455"/>
      <w:bookmarkStart w:id="195" w:name="_Toc17618976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39991740"/>
      <w:bookmarkStart w:id="200" w:name="_Toc17198"/>
      <w:bookmarkStart w:id="201" w:name="_Toc32584"/>
      <w:bookmarkStart w:id="202" w:name="_Toc123112238"/>
      <w:bookmarkStart w:id="203" w:name="_Toc29408"/>
      <w:bookmarkStart w:id="204" w:name="_Toc79392622"/>
      <w:bookmarkStart w:id="205" w:name="_Toc739"/>
      <w:bookmarkStart w:id="206" w:name="_Toc79154674"/>
      <w:bookmarkStart w:id="207" w:name="_Toc32092"/>
      <w:bookmarkStart w:id="208" w:name="_Toc48649708"/>
      <w:bookmarkStart w:id="209" w:name="_Toc21237"/>
      <w:bookmarkStart w:id="210" w:name="_Toc17920"/>
      <w:bookmarkStart w:id="211" w:name="_Toc3329"/>
      <w:bookmarkStart w:id="212" w:name="_Toc74065747"/>
      <w:bookmarkStart w:id="213" w:name="_Toc176189763"/>
      <w:bookmarkStart w:id="214" w:name="_Toc123051456"/>
      <w:bookmarkStart w:id="215" w:name="_Toc141703890"/>
      <w:bookmarkStart w:id="216" w:name="_Toc8791"/>
      <w:bookmarkStart w:id="217" w:name="_Toc5170"/>
      <w:bookmarkStart w:id="218" w:name="_Toc98560356"/>
      <w:bookmarkStart w:id="219" w:name="_Toc12310245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lang w:val="en-US" w:eastAsia="zh-CN"/>
        </w:rPr>
        <w:t>2</w:t>
      </w:r>
      <w:r>
        <w:rPr>
          <w:rFonts w:hint="eastAsia" w:ascii="宋体" w:hAnsi="宋体" w:cs="宋体"/>
          <w:bCs/>
          <w:sz w:val="18"/>
          <w:szCs w:val="18"/>
        </w:rPr>
        <w:t xml:space="preserve">）投资商品和金融衍生品类资产的风险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【兴银理财丰利合享封闭式167号固收类理财产品】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【兴银理财丰利合享封闭式167号固收类理财产品】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【兴银理财丰利合享封闭式167号固收类理财产品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pPr>
        <w:ind w:firstLine="448" w:firstLineChars="249"/>
        <w:rPr>
          <w:rFonts w:hint="eastAsia" w:ascii="宋体" w:hAnsi="宋体" w:cs="仿宋_GB2312"/>
          <w:kern w:val="0"/>
          <w:sz w:val="18"/>
          <w:szCs w:val="18"/>
        </w:rPr>
      </w:pPr>
      <w:r>
        <w:rPr>
          <w:rFonts w:ascii="宋体" w:hAnsi="宋体" w:eastAsia="宋体" w:cs="宋体"/>
          <w:sz w:val="18"/>
          <w:szCs w:val="22"/>
        </w:rPr>
        <w:t>【丰利合享封闭式167号A】 (适用【A】类份额)</w:t>
      </w:r>
      <w:r>
        <w:rPr>
          <w:rFonts w:ascii="宋体" w:hAnsi="宋体" w:eastAsia="宋体" w:cs="宋体"/>
          <w:sz w:val="18"/>
          <w:szCs w:val="22"/>
        </w:rPr>
        <w:br w:type="textWrapping"/>
      </w:r>
      <w:r>
        <w:rPr>
          <w:rFonts w:ascii="宋体" w:hAnsi="宋体" w:eastAsia="宋体" w:cs="宋体"/>
          <w:sz w:val="18"/>
          <w:szCs w:val="22"/>
        </w:rPr>
        <w:t xml:space="preserve">     【丰利合享封闭式167号B】 (适用【B】类份额)</w:t>
      </w:r>
      <w:r>
        <w:rPr>
          <w:rFonts w:ascii="宋体" w:hAnsi="宋体" w:eastAsia="宋体" w:cs="宋体"/>
          <w:sz w:val="18"/>
          <w:szCs w:val="22"/>
        </w:rPr>
        <w:br w:type="textWrapping"/>
      </w:r>
      <w:r>
        <w:rPr>
          <w:rFonts w:ascii="宋体" w:hAnsi="宋体" w:eastAsia="宋体" w:cs="宋体"/>
          <w:sz w:val="18"/>
          <w:szCs w:val="22"/>
        </w:rPr>
        <w:t xml:space="preserve">     【丰利合享封闭式167号C】 (适用【C】类份额)</w:t>
      </w:r>
      <w:r>
        <w:rPr>
          <w:rFonts w:ascii="宋体" w:hAnsi="宋体" w:eastAsia="宋体" w:cs="宋体"/>
          <w:sz w:val="18"/>
          <w:szCs w:val="22"/>
        </w:rPr>
        <w:br w:type="textWrapping"/>
      </w:r>
      <w:r>
        <w:rPr>
          <w:rFonts w:ascii="宋体" w:hAnsi="宋体" w:eastAsia="宋体" w:cs="宋体"/>
          <w:sz w:val="18"/>
          <w:szCs w:val="22"/>
        </w:rPr>
        <w:t xml:space="preserve">     【丰利合享封闭式167号E】 (适用【E】类份额)</w:t>
      </w:r>
      <w:r>
        <w:rPr>
          <w:rFonts w:ascii="宋体" w:hAnsi="宋体" w:eastAsia="宋体" w:cs="宋体"/>
          <w:sz w:val="18"/>
          <w:szCs w:val="22"/>
        </w:rPr>
        <w:br w:type="textWrapping"/>
      </w:r>
      <w:r>
        <w:rPr>
          <w:rFonts w:ascii="宋体" w:hAnsi="宋体" w:eastAsia="宋体" w:cs="宋体"/>
          <w:sz w:val="18"/>
          <w:szCs w:val="22"/>
        </w:rPr>
        <w:t xml:space="preserve">     【丰利合享封闭式167号F】 (适用【F】类份额)</w:t>
      </w:r>
    </w:p>
    <w:p>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Z7002025002036</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【■有固定期限:【422天】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 C6】。</w:t>
      </w:r>
    </w:p>
    <w:p>
      <w:pPr>
        <w:keepNext w:val="0"/>
        <w:keepLines w:val="0"/>
        <w:widowControl w:val="0"/>
        <w:suppressLineNumbers w:val="0"/>
        <w:spacing w:before="0" w:beforeAutospacing="0" w:after="0" w:afterAutospacing="0"/>
        <w:ind w:left="0" w:right="0" w:firstLine="360" w:firstLineChars="200"/>
        <w:jc w:val="both"/>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lang w:val="en-US" w:eastAsia="zh-CN"/>
        </w:rPr>
        <w:t>2</w:t>
      </w:r>
      <w:r>
        <w:rPr>
          <w:rFonts w:hint="eastAsia" w:ascii="宋体" w:hAnsi="宋体" w:cs="宋体"/>
          <w:bCs/>
          <w:sz w:val="18"/>
          <w:szCs w:val="18"/>
        </w:rPr>
        <w:t xml:space="preserve">）投资商品和金融衍生品类资产的风险 </w:t>
      </w:r>
    </w:p>
    <w:p>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【兴银理财丰利合享封闭式167号固收类理财产品】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bookmarkStart w:id="222" w:name="_GoBack"/>
      <w:bookmarkEnd w:id="222"/>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【兴银理财丰利合享封闭式167号固收类理财产品】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0E3A36"/>
    <w:rsid w:val="2BBE5BA7"/>
    <w:rsid w:val="5D4C3362"/>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47131</Words>
  <Characters>48129</Characters>
  <Lines>0</Lines>
  <Paragraphs>0</Paragraphs>
  <TotalTime>0</TotalTime>
  <ScaleCrop>false</ScaleCrop>
  <LinksUpToDate>false</LinksUpToDate>
  <CharactersWithSpaces>48750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2026-01-06T07:41:42Z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AEC416A69F32432EA644B2966DC890A4</vt:lpwstr>
  </property>
</Properties>
</file>