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rPr>
      </w:pPr>
    </w:p>
    <w:p/>
    <w:p/>
    <w:p/>
    <w:p/>
    <w:p/>
    <w:p/>
    <w:p/>
    <w:p>
      <w:pPr>
        <w:rPr>
          <w:b/>
          <w:bCs/>
        </w:rPr>
      </w:pPr>
    </w:p>
    <w:p>
      <w:pPr>
        <w:jc w:val="center"/>
        <w:rPr>
          <w:rFonts w:hint="eastAsia" w:ascii="宋体" w:hAnsi="宋体" w:cs="宋体"/>
          <w:b/>
          <w:bCs/>
          <w:sz w:val="44"/>
          <w:szCs w:val="44"/>
        </w:rPr>
      </w:pPr>
      <w:r>
        <w:rPr>
          <w:rFonts w:hint="eastAsia" w:ascii="宋体" w:hAnsi="宋体" w:cs="宋体"/>
          <w:b/>
          <w:bCs/>
          <w:sz w:val="44"/>
          <w:szCs w:val="44"/>
        </w:rPr>
        <w:t>幸福99金钱包</w:t>
      </w:r>
      <w:r>
        <w:rPr>
          <w:rFonts w:hint="eastAsia" w:ascii="宋体" w:hAnsi="宋体" w:cs="宋体"/>
          <w:b/>
          <w:bCs/>
          <w:sz w:val="44"/>
          <w:szCs w:val="44"/>
          <w:lang w:eastAsia="zh-CN"/>
        </w:rPr>
        <w:t>55号</w:t>
      </w:r>
      <w:r>
        <w:rPr>
          <w:rFonts w:hint="eastAsia" w:ascii="宋体" w:hAnsi="宋体" w:cs="宋体"/>
          <w:b/>
          <w:bCs/>
          <w:sz w:val="44"/>
          <w:szCs w:val="44"/>
        </w:rPr>
        <w:t>理财合同</w:t>
      </w:r>
    </w:p>
    <w:p>
      <w:pPr>
        <w:jc w:val="center"/>
        <w:rPr>
          <w:rFonts w:hint="eastAsia" w:ascii="宋体" w:hAnsi="宋体" w:cs="宋体"/>
          <w:sz w:val="44"/>
          <w:szCs w:val="44"/>
        </w:rPr>
      </w:pPr>
    </w:p>
    <w:p>
      <w:pPr>
        <w:jc w:val="center"/>
        <w:rPr>
          <w:rFonts w:hint="eastAsia" w:ascii="宋体" w:hAnsi="宋体" w:cs="宋体"/>
          <w:sz w:val="44"/>
          <w:szCs w:val="44"/>
        </w:rPr>
      </w:pPr>
    </w:p>
    <w:p>
      <w:pPr>
        <w:jc w:val="center"/>
        <w:rPr>
          <w:rFonts w:hint="eastAsia" w:ascii="宋体" w:hAnsi="宋体" w:cs="宋体"/>
          <w:sz w:val="44"/>
          <w:szCs w:val="44"/>
        </w:rPr>
      </w:pPr>
    </w:p>
    <w:p>
      <w:pPr>
        <w:jc w:val="center"/>
        <w:rPr>
          <w:rFonts w:hint="eastAsia" w:ascii="宋体" w:hAnsi="宋体" w:cs="宋体"/>
          <w:sz w:val="44"/>
          <w:szCs w:val="44"/>
        </w:rPr>
      </w:pPr>
    </w:p>
    <w:p>
      <w:pPr>
        <w:jc w:val="center"/>
        <w:rPr>
          <w:rFonts w:hint="eastAsia" w:ascii="宋体" w:hAnsi="宋体" w:cs="宋体"/>
          <w:sz w:val="44"/>
          <w:szCs w:val="44"/>
        </w:rPr>
      </w:pPr>
    </w:p>
    <w:p>
      <w:pPr>
        <w:jc w:val="center"/>
        <w:rPr>
          <w:rFonts w:hint="eastAsia" w:ascii="宋体" w:hAnsi="宋体" w:cs="宋体"/>
          <w:sz w:val="44"/>
          <w:szCs w:val="44"/>
        </w:rPr>
      </w:pPr>
    </w:p>
    <w:p>
      <w:pPr>
        <w:jc w:val="center"/>
        <w:rPr>
          <w:rFonts w:hint="eastAsia" w:ascii="宋体" w:hAnsi="宋体" w:cs="宋体"/>
          <w:sz w:val="44"/>
          <w:szCs w:val="44"/>
        </w:rPr>
      </w:pPr>
    </w:p>
    <w:p>
      <w:pPr>
        <w:jc w:val="center"/>
        <w:rPr>
          <w:rFonts w:hint="eastAsia" w:ascii="宋体" w:hAnsi="宋体" w:cs="宋体"/>
          <w:sz w:val="32"/>
          <w:szCs w:val="32"/>
        </w:rPr>
      </w:pPr>
      <w:r>
        <w:rPr>
          <w:rFonts w:hint="eastAsia" w:ascii="宋体" w:hAnsi="宋体" w:cs="宋体"/>
          <w:sz w:val="32"/>
          <w:szCs w:val="32"/>
        </w:rPr>
        <w:t>理财计划管理人：杭银理财有限责任公司</w:t>
      </w:r>
    </w:p>
    <w:p>
      <w:pPr>
        <w:ind w:firstLine="1280" w:firstLineChars="400"/>
        <w:jc w:val="left"/>
        <w:rPr>
          <w:rFonts w:hint="eastAsia" w:ascii="宋体" w:hAnsi="宋体" w:cs="宋体"/>
          <w:sz w:val="32"/>
          <w:szCs w:val="32"/>
        </w:rPr>
      </w:pPr>
      <w:r>
        <w:rPr>
          <w:rFonts w:hint="eastAsia" w:ascii="宋体" w:hAnsi="宋体" w:cs="宋体"/>
          <w:sz w:val="32"/>
          <w:szCs w:val="32"/>
        </w:rPr>
        <w:t>理财计划托管人：杭州银行股份有限公司</w:t>
      </w: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pStyle w:val="2"/>
        <w:rPr>
          <w:rFonts w:hint="eastAsia" w:ascii="宋体" w:hAnsi="宋体" w:cs="宋体"/>
        </w:rPr>
      </w:pPr>
      <w:r>
        <w:rPr>
          <w:rFonts w:hint="eastAsia" w:ascii="宋体" w:hAnsi="宋体" w:cs="宋体"/>
        </w:rPr>
        <w:t>幸福99金钱包</w:t>
      </w:r>
      <w:r>
        <w:rPr>
          <w:rFonts w:hint="eastAsia" w:ascii="宋体" w:hAnsi="宋体" w:cs="宋体"/>
          <w:lang w:eastAsia="zh-CN"/>
        </w:rPr>
        <w:t>55号</w:t>
      </w:r>
      <w:r>
        <w:rPr>
          <w:rFonts w:hint="eastAsia" w:ascii="宋体" w:hAnsi="宋体" w:cs="宋体"/>
        </w:rPr>
        <w:t>理财合同文件</w:t>
      </w:r>
    </w:p>
    <w:p>
      <w:pPr>
        <w:rPr>
          <w:rFonts w:hint="eastAsia" w:ascii="宋体" w:hAnsi="宋体" w:cs="宋体"/>
          <w:sz w:val="44"/>
          <w:szCs w:val="44"/>
        </w:rPr>
      </w:pPr>
    </w:p>
    <w:p>
      <w:pPr>
        <w:jc w:val="center"/>
        <w:rPr>
          <w:rFonts w:hint="eastAsia" w:ascii="宋体" w:hAnsi="宋体" w:cs="宋体"/>
          <w:sz w:val="44"/>
          <w:szCs w:val="44"/>
        </w:rPr>
      </w:pPr>
    </w:p>
    <w:p>
      <w:pPr>
        <w:jc w:val="center"/>
        <w:rPr>
          <w:rFonts w:hint="eastAsia" w:ascii="宋体" w:hAnsi="宋体" w:cs="宋体"/>
          <w:sz w:val="44"/>
          <w:szCs w:val="44"/>
        </w:rPr>
      </w:pPr>
    </w:p>
    <w:tbl>
      <w:tblPr>
        <w:tblStyle w:val="11"/>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297"/>
        <w:gridCol w:w="2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hint="eastAsia" w:ascii="宋体" w:hAnsi="宋体" w:cs="宋体"/>
                <w:sz w:val="21"/>
                <w:szCs w:val="21"/>
              </w:rPr>
            </w:pPr>
            <w:r>
              <w:rPr>
                <w:rFonts w:hint="eastAsia" w:ascii="宋体" w:hAnsi="宋体" w:cs="宋体"/>
                <w:b/>
                <w:bCs/>
                <w:sz w:val="21"/>
                <w:szCs w:val="21"/>
              </w:rPr>
              <w:t>序号</w:t>
            </w:r>
          </w:p>
        </w:tc>
        <w:tc>
          <w:tcPr>
            <w:tcW w:w="5297" w:type="dxa"/>
            <w:noWrap w:val="0"/>
            <w:vAlign w:val="center"/>
          </w:tcPr>
          <w:p>
            <w:pPr>
              <w:spacing w:line="360" w:lineRule="auto"/>
              <w:jc w:val="center"/>
              <w:rPr>
                <w:rFonts w:hint="eastAsia" w:ascii="宋体" w:hAnsi="宋体" w:cs="宋体"/>
                <w:sz w:val="21"/>
                <w:szCs w:val="21"/>
              </w:rPr>
            </w:pPr>
            <w:r>
              <w:rPr>
                <w:rFonts w:hint="eastAsia" w:ascii="宋体" w:hAnsi="宋体" w:cs="宋体"/>
                <w:b/>
                <w:bCs/>
                <w:sz w:val="21"/>
                <w:szCs w:val="21"/>
              </w:rPr>
              <w:t>理财计划合同文件中的文件名称</w:t>
            </w:r>
          </w:p>
        </w:tc>
        <w:tc>
          <w:tcPr>
            <w:tcW w:w="2129" w:type="dxa"/>
            <w:noWrap w:val="0"/>
            <w:vAlign w:val="center"/>
          </w:tcPr>
          <w:p>
            <w:pPr>
              <w:spacing w:line="360" w:lineRule="auto"/>
              <w:jc w:val="center"/>
              <w:rPr>
                <w:rFonts w:hint="eastAsia" w:ascii="宋体" w:hAnsi="宋体" w:cs="宋体"/>
                <w:sz w:val="21"/>
                <w:szCs w:val="21"/>
              </w:rPr>
            </w:pPr>
            <w:r>
              <w:rPr>
                <w:rFonts w:hint="eastAsia" w:ascii="宋体" w:hAnsi="宋体" w:cs="宋体"/>
                <w:b/>
                <w:bCs/>
                <w:sz w:val="21"/>
                <w:szCs w:val="21"/>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ascii="宋体" w:hAnsi="宋体" w:cs="宋体"/>
                <w:sz w:val="21"/>
                <w:szCs w:val="21"/>
              </w:rPr>
            </w:pPr>
            <w:r>
              <w:rPr>
                <w:rFonts w:hint="eastAsia" w:ascii="宋体" w:hAnsi="宋体" w:cs="宋体"/>
                <w:sz w:val="21"/>
                <w:szCs w:val="21"/>
              </w:rPr>
              <w:t>1</w:t>
            </w:r>
          </w:p>
        </w:tc>
        <w:tc>
          <w:tcPr>
            <w:tcW w:w="5297" w:type="dxa"/>
            <w:noWrap w:val="0"/>
            <w:vAlign w:val="center"/>
          </w:tcPr>
          <w:p>
            <w:pPr>
              <w:spacing w:line="360" w:lineRule="auto"/>
              <w:jc w:val="left"/>
              <w:rPr>
                <w:rFonts w:ascii="宋体" w:hAnsi="宋体" w:cs="宋体"/>
                <w:sz w:val="21"/>
                <w:szCs w:val="21"/>
              </w:rPr>
            </w:pPr>
            <w:r>
              <w:rPr>
                <w:rFonts w:hint="eastAsia" w:ascii="宋体" w:hAnsi="宋体" w:cs="宋体"/>
                <w:sz w:val="21"/>
                <w:szCs w:val="21"/>
              </w:rPr>
              <w:t>幸福99金钱包</w:t>
            </w:r>
            <w:r>
              <w:rPr>
                <w:rFonts w:hint="eastAsia" w:ascii="宋体" w:hAnsi="宋体" w:cs="宋体"/>
                <w:sz w:val="21"/>
                <w:szCs w:val="21"/>
                <w:lang w:eastAsia="zh-CN"/>
              </w:rPr>
              <w:t>55号</w:t>
            </w:r>
            <w:r>
              <w:rPr>
                <w:rFonts w:hint="eastAsia" w:ascii="宋体" w:hAnsi="宋体" w:cs="宋体"/>
                <w:sz w:val="21"/>
                <w:szCs w:val="21"/>
              </w:rPr>
              <w:t>理财风险揭示书</w:t>
            </w:r>
          </w:p>
        </w:tc>
        <w:tc>
          <w:tcPr>
            <w:tcW w:w="2129" w:type="dxa"/>
            <w:noWrap w:val="0"/>
            <w:vAlign w:val="center"/>
          </w:tcPr>
          <w:p>
            <w:pPr>
              <w:spacing w:line="360" w:lineRule="auto"/>
              <w:jc w:val="center"/>
              <w:rPr>
                <w:rFonts w:hint="eastAsia" w:ascii="宋体" w:hAnsi="宋体" w:cs="宋体"/>
                <w:sz w:val="21"/>
                <w:szCs w:val="21"/>
              </w:rPr>
            </w:pPr>
            <w:r>
              <w:rPr>
                <w:rFonts w:hint="eastAsia" w:ascii="宋体" w:hAnsi="宋体" w:cs="宋体"/>
                <w:sz w:val="21"/>
                <w:szCs w:val="21"/>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ascii="宋体" w:hAnsi="宋体" w:cs="宋体"/>
                <w:sz w:val="21"/>
                <w:szCs w:val="21"/>
              </w:rPr>
            </w:pPr>
            <w:r>
              <w:rPr>
                <w:rFonts w:hint="eastAsia" w:ascii="宋体" w:hAnsi="宋体" w:cs="宋体"/>
                <w:sz w:val="21"/>
                <w:szCs w:val="21"/>
              </w:rPr>
              <w:t>2</w:t>
            </w:r>
          </w:p>
        </w:tc>
        <w:tc>
          <w:tcPr>
            <w:tcW w:w="5297" w:type="dxa"/>
            <w:noWrap w:val="0"/>
            <w:vAlign w:val="center"/>
          </w:tcPr>
          <w:p>
            <w:pPr>
              <w:spacing w:line="360" w:lineRule="auto"/>
              <w:jc w:val="left"/>
              <w:rPr>
                <w:rFonts w:ascii="宋体" w:hAnsi="宋体" w:cs="宋体"/>
                <w:sz w:val="21"/>
                <w:szCs w:val="21"/>
              </w:rPr>
            </w:pPr>
            <w:r>
              <w:rPr>
                <w:rFonts w:hint="eastAsia" w:ascii="宋体" w:hAnsi="宋体" w:cs="宋体"/>
                <w:sz w:val="21"/>
                <w:szCs w:val="21"/>
              </w:rPr>
              <w:t>幸福99金钱包</w:t>
            </w:r>
            <w:r>
              <w:rPr>
                <w:rFonts w:hint="eastAsia" w:ascii="宋体" w:hAnsi="宋体" w:cs="宋体"/>
                <w:sz w:val="21"/>
                <w:szCs w:val="21"/>
                <w:lang w:eastAsia="zh-CN"/>
              </w:rPr>
              <w:t>55号</w:t>
            </w:r>
            <w:r>
              <w:rPr>
                <w:rFonts w:hint="eastAsia" w:ascii="宋体" w:hAnsi="宋体" w:cs="宋体"/>
                <w:sz w:val="21"/>
                <w:szCs w:val="21"/>
              </w:rPr>
              <w:t>理财产品说明书</w:t>
            </w:r>
          </w:p>
        </w:tc>
        <w:tc>
          <w:tcPr>
            <w:tcW w:w="2129" w:type="dxa"/>
            <w:noWrap w:val="0"/>
            <w:vAlign w:val="center"/>
          </w:tcPr>
          <w:p>
            <w:pPr>
              <w:spacing w:line="360" w:lineRule="auto"/>
              <w:jc w:val="center"/>
              <w:rPr>
                <w:rFonts w:hint="eastAsia" w:ascii="宋体" w:hAnsi="宋体" w:cs="宋体"/>
                <w:sz w:val="21"/>
                <w:szCs w:val="21"/>
              </w:rPr>
            </w:pPr>
            <w:r>
              <w:rPr>
                <w:rFonts w:hint="eastAsia" w:ascii="宋体" w:hAnsi="宋体" w:cs="宋体"/>
                <w:sz w:val="21"/>
                <w:szCs w:val="21"/>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ascii="宋体" w:hAnsi="宋体" w:cs="宋体"/>
                <w:sz w:val="21"/>
                <w:szCs w:val="21"/>
              </w:rPr>
            </w:pPr>
            <w:r>
              <w:rPr>
                <w:rFonts w:hint="eastAsia" w:ascii="宋体" w:hAnsi="宋体" w:cs="宋体"/>
                <w:sz w:val="21"/>
                <w:szCs w:val="21"/>
              </w:rPr>
              <w:t>3</w:t>
            </w:r>
          </w:p>
        </w:tc>
        <w:tc>
          <w:tcPr>
            <w:tcW w:w="5297" w:type="dxa"/>
            <w:noWrap w:val="0"/>
            <w:vAlign w:val="center"/>
          </w:tcPr>
          <w:p>
            <w:pPr>
              <w:spacing w:line="360" w:lineRule="auto"/>
              <w:jc w:val="left"/>
              <w:rPr>
                <w:rFonts w:hint="eastAsia" w:ascii="宋体" w:hAnsi="宋体" w:cs="宋体"/>
                <w:sz w:val="21"/>
                <w:szCs w:val="21"/>
              </w:rPr>
            </w:pPr>
            <w:r>
              <w:rPr>
                <w:rFonts w:hint="eastAsia" w:ascii="宋体" w:hAnsi="宋体" w:cs="宋体"/>
                <w:sz w:val="21"/>
                <w:szCs w:val="21"/>
              </w:rPr>
              <w:t>杭银理财投资者权益须知</w:t>
            </w:r>
          </w:p>
        </w:tc>
        <w:tc>
          <w:tcPr>
            <w:tcW w:w="2129" w:type="dxa"/>
            <w:noWrap w:val="0"/>
            <w:vAlign w:val="center"/>
          </w:tcPr>
          <w:p>
            <w:pPr>
              <w:spacing w:line="360" w:lineRule="auto"/>
              <w:jc w:val="center"/>
              <w:rPr>
                <w:rFonts w:hint="eastAsia" w:ascii="宋体" w:hAnsi="宋体" w:cs="宋体"/>
                <w:sz w:val="21"/>
                <w:szCs w:val="21"/>
              </w:rPr>
            </w:pPr>
            <w:r>
              <w:rPr>
                <w:rFonts w:hint="eastAsia" w:ascii="宋体" w:hAnsi="宋体" w:cs="宋体"/>
                <w:sz w:val="21"/>
                <w:szCs w:val="21"/>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ascii="宋体" w:hAnsi="宋体" w:cs="宋体"/>
                <w:sz w:val="21"/>
                <w:szCs w:val="21"/>
              </w:rPr>
            </w:pPr>
            <w:r>
              <w:rPr>
                <w:rFonts w:hint="eastAsia" w:ascii="宋体" w:hAnsi="宋体" w:cs="宋体"/>
                <w:sz w:val="21"/>
                <w:szCs w:val="21"/>
              </w:rPr>
              <w:t>4</w:t>
            </w:r>
          </w:p>
        </w:tc>
        <w:tc>
          <w:tcPr>
            <w:tcW w:w="5297" w:type="dxa"/>
            <w:noWrap w:val="0"/>
            <w:vAlign w:val="center"/>
          </w:tcPr>
          <w:p>
            <w:pPr>
              <w:spacing w:line="360" w:lineRule="auto"/>
              <w:jc w:val="left"/>
              <w:rPr>
                <w:rFonts w:hint="eastAsia" w:ascii="宋体" w:hAnsi="宋体" w:cs="宋体"/>
                <w:sz w:val="21"/>
                <w:szCs w:val="21"/>
              </w:rPr>
            </w:pPr>
            <w:r>
              <w:rPr>
                <w:rFonts w:hint="eastAsia" w:ascii="宋体" w:hAnsi="宋体" w:cs="宋体"/>
                <w:sz w:val="21"/>
                <w:szCs w:val="21"/>
              </w:rPr>
              <w:t>杭银理财理财计划投资协议书</w:t>
            </w:r>
          </w:p>
        </w:tc>
        <w:tc>
          <w:tcPr>
            <w:tcW w:w="2129" w:type="dxa"/>
            <w:noWrap w:val="0"/>
            <w:vAlign w:val="center"/>
          </w:tcPr>
          <w:p>
            <w:pPr>
              <w:spacing w:line="360" w:lineRule="auto"/>
              <w:jc w:val="center"/>
              <w:rPr>
                <w:rFonts w:hint="eastAsia" w:ascii="宋体" w:hAnsi="宋体" w:cs="宋体"/>
                <w:sz w:val="21"/>
                <w:szCs w:val="21"/>
              </w:rPr>
            </w:pPr>
            <w:r>
              <w:rPr>
                <w:rFonts w:hint="eastAsia" w:ascii="宋体" w:hAnsi="宋体" w:cs="宋体"/>
                <w:sz w:val="21"/>
                <w:szCs w:val="21"/>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ascii="宋体" w:hAnsi="宋体" w:cs="宋体"/>
                <w:sz w:val="21"/>
                <w:szCs w:val="21"/>
              </w:rPr>
            </w:pPr>
            <w:r>
              <w:rPr>
                <w:rFonts w:hint="eastAsia" w:ascii="宋体" w:hAnsi="宋体" w:cs="宋体"/>
                <w:sz w:val="21"/>
                <w:szCs w:val="21"/>
              </w:rPr>
              <w:t>5</w:t>
            </w:r>
          </w:p>
        </w:tc>
        <w:tc>
          <w:tcPr>
            <w:tcW w:w="5297" w:type="dxa"/>
            <w:noWrap w:val="0"/>
            <w:vAlign w:val="center"/>
          </w:tcPr>
          <w:p>
            <w:pPr>
              <w:spacing w:line="360" w:lineRule="auto"/>
              <w:jc w:val="left"/>
              <w:rPr>
                <w:rFonts w:hint="eastAsia" w:ascii="宋体" w:hAnsi="宋体" w:cs="宋体"/>
                <w:sz w:val="21"/>
                <w:szCs w:val="21"/>
              </w:rPr>
            </w:pPr>
            <w:r>
              <w:rPr>
                <w:rFonts w:hint="eastAsia" w:ascii="宋体" w:hAnsi="宋体" w:cs="宋体"/>
                <w:sz w:val="21"/>
                <w:szCs w:val="21"/>
              </w:rPr>
              <w:t>杭银理财理财计划销售协议书</w:t>
            </w:r>
          </w:p>
        </w:tc>
        <w:tc>
          <w:tcPr>
            <w:tcW w:w="2129" w:type="dxa"/>
            <w:noWrap w:val="0"/>
            <w:vAlign w:val="center"/>
          </w:tcPr>
          <w:p>
            <w:pPr>
              <w:spacing w:line="360" w:lineRule="auto"/>
              <w:jc w:val="center"/>
              <w:rPr>
                <w:rFonts w:hint="eastAsia" w:ascii="宋体" w:hAnsi="宋体" w:cs="宋体"/>
                <w:sz w:val="21"/>
                <w:szCs w:val="21"/>
              </w:rPr>
            </w:pPr>
            <w:r>
              <w:rPr>
                <w:rFonts w:hint="eastAsia" w:ascii="宋体" w:hAnsi="宋体" w:cs="宋体"/>
                <w:sz w:val="21"/>
                <w:szCs w:val="21"/>
              </w:rPr>
              <w:t>理财计划销售协议书</w:t>
            </w:r>
          </w:p>
        </w:tc>
      </w:tr>
    </w:tbl>
    <w:p>
      <w:pPr>
        <w:jc w:val="center"/>
        <w:rPr>
          <w:rFonts w:hint="eastAsia" w:ascii="宋体" w:hAnsi="宋体" w:cs="宋体"/>
          <w:sz w:val="44"/>
          <w:szCs w:val="44"/>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jc w:val="center"/>
        <w:rPr>
          <w:rFonts w:hint="eastAsia" w:ascii="宋体" w:hAnsi="宋体" w:cs="宋体"/>
          <w:sz w:val="32"/>
          <w:szCs w:val="32"/>
        </w:rPr>
      </w:pPr>
    </w:p>
    <w:p>
      <w:pPr>
        <w:rPr>
          <w:rFonts w:hint="eastAsia" w:ascii="宋体" w:hAnsi="宋体" w:cs="宋体"/>
          <w:sz w:val="32"/>
          <w:szCs w:val="32"/>
        </w:rPr>
      </w:pPr>
    </w:p>
    <w:p>
      <w:pPr>
        <w:jc w:val="both"/>
        <w:outlineLvl w:val="9"/>
        <w:rPr>
          <w:rFonts w:hint="eastAsia" w:ascii="宋体" w:hAnsi="宋体" w:cs="宋体"/>
        </w:rPr>
      </w:pPr>
    </w:p>
    <w:p>
      <w:pPr>
        <w:jc w:val="both"/>
        <w:outlineLvl w:val="9"/>
        <w:rPr>
          <w:rFonts w:hint="eastAsia" w:ascii="宋体" w:hAnsi="宋体" w:cs="宋体"/>
        </w:rPr>
      </w:pPr>
    </w:p>
    <w:p>
      <w:pPr>
        <w:outlineLvl w:val="9"/>
        <w:rPr>
          <w:rFonts w:hint="eastAsia"/>
        </w:rPr>
      </w:pPr>
    </w:p>
    <w:p>
      <w:pPr>
        <w:pStyle w:val="2"/>
        <w:rPr>
          <w:rFonts w:hint="eastAsia"/>
        </w:rPr>
      </w:pPr>
      <w:r>
        <w:rPr>
          <w:rFonts w:hint="eastAsia" w:ascii="宋体" w:hAnsi="宋体" w:cs="宋体"/>
        </w:rPr>
        <w:t>幸福99金钱包</w:t>
      </w:r>
      <w:r>
        <w:rPr>
          <w:rFonts w:hint="eastAsia" w:ascii="宋体" w:hAnsi="宋体" w:cs="宋体"/>
          <w:lang w:eastAsia="zh-CN"/>
        </w:rPr>
        <w:t>55号</w:t>
      </w:r>
      <w:r>
        <w:rPr>
          <w:rFonts w:hint="eastAsia" w:ascii="宋体" w:hAnsi="宋体" w:cs="宋体"/>
        </w:rPr>
        <w:t>理财风险揭示书</w:t>
      </w:r>
    </w:p>
    <w:p>
      <w:pPr>
        <w:jc w:val="center"/>
        <w:rPr>
          <w:rFonts w:hint="eastAsia" w:ascii="宋体" w:hAnsi="宋体" w:cs="宋体"/>
          <w:sz w:val="28"/>
          <w:szCs w:val="28"/>
        </w:rPr>
      </w:pPr>
      <w:r>
        <w:rPr>
          <w:rFonts w:hint="eastAsia" w:ascii="宋体" w:hAnsi="宋体" w:cs="宋体"/>
          <w:sz w:val="28"/>
          <w:szCs w:val="28"/>
        </w:rPr>
        <w:t>（202201版）</w:t>
      </w:r>
    </w:p>
    <w:p>
      <w:pPr>
        <w:spacing w:line="360" w:lineRule="auto"/>
        <w:jc w:val="left"/>
        <w:rPr>
          <w:rFonts w:hint="eastAsia" w:ascii="宋体" w:hAnsi="宋体" w:cs="宋体"/>
        </w:rPr>
      </w:pPr>
      <w:r>
        <w:rPr>
          <w:rFonts w:hint="eastAsia" w:ascii="宋体" w:hAnsi="宋体" w:cs="宋体"/>
        </w:rPr>
        <w:t>尊敬的理财投资者：</w:t>
      </w:r>
    </w:p>
    <w:p>
      <w:pPr>
        <w:spacing w:line="360" w:lineRule="auto"/>
        <w:jc w:val="center"/>
        <w:rPr>
          <w:rFonts w:hint="eastAsia" w:ascii="宋体" w:hAnsi="宋体" w:cs="宋体"/>
          <w:b/>
          <w:bCs/>
          <w:u w:val="single"/>
        </w:rPr>
      </w:pPr>
      <w:r>
        <w:rPr>
          <w:rFonts w:hint="eastAsia" w:ascii="宋体" w:hAnsi="宋体" w:cs="宋体"/>
          <w:b/>
          <w:bCs/>
          <w:u w:val="single"/>
        </w:rPr>
        <w:t>理财非存款、产品有风险、投资须谨慎</w:t>
      </w:r>
    </w:p>
    <w:p>
      <w:pPr>
        <w:spacing w:line="360" w:lineRule="auto"/>
        <w:ind w:firstLine="480" w:firstLineChars="200"/>
        <w:jc w:val="left"/>
        <w:rPr>
          <w:rFonts w:hint="eastAsia" w:ascii="宋体" w:hAnsi="宋体" w:cs="宋体"/>
          <w:b/>
        </w:rPr>
      </w:pPr>
      <w:r>
        <w:rPr>
          <w:rFonts w:hint="eastAsia" w:ascii="宋体" w:hAnsi="宋体" w:cs="宋体"/>
          <w:bCs/>
        </w:rPr>
        <w:t>根据国家金融监督管理总局相关监督规定，杭银理财有限责任公司作为本理财计划的管理人郑重提示：在购买理财计划前，请仔细阅读本理财计划完整合同（包括但不限于理财计划风险揭示书、理财计划说明书、投资者权益须知、理财计划投资协议书和理财计划销售协议书</w:t>
      </w:r>
      <w:r>
        <w:rPr>
          <w:rFonts w:hint="eastAsia" w:ascii="宋体" w:hAnsi="宋体" w:cs="宋体"/>
          <w:bCs/>
          <w:sz w:val="28"/>
          <w:szCs w:val="28"/>
        </w:rPr>
        <w:t>，</w:t>
      </w:r>
      <w:r>
        <w:rPr>
          <w:rFonts w:hint="eastAsia" w:ascii="宋体" w:hAnsi="宋体" w:cs="宋体"/>
          <w:b/>
        </w:rPr>
        <w:t>若通过电子渠道购买的，成功交易后视同为投资者与管理人已完成理财计划交易合同的签订</w:t>
      </w:r>
      <w:r>
        <w:rPr>
          <w:rFonts w:hint="eastAsia" w:ascii="宋体" w:hAnsi="宋体" w:cs="宋体"/>
          <w:bCs/>
        </w:rPr>
        <w:t>），了解理财计划相关具体情况，并确保已评估自身的风险承受能力和理财计划相关风险后，谨慎投资。</w:t>
      </w:r>
      <w:r>
        <w:rPr>
          <w:rFonts w:hint="eastAsia" w:ascii="宋体" w:hAnsi="宋体" w:cs="宋体"/>
          <w:b/>
        </w:rPr>
        <w:t>如影响您风险承受能力的因素发生变化，请及时更新风险承受能力评估。</w:t>
      </w:r>
    </w:p>
    <w:p>
      <w:pPr>
        <w:spacing w:line="360" w:lineRule="auto"/>
        <w:ind w:firstLine="480" w:firstLineChars="200"/>
        <w:jc w:val="left"/>
        <w:rPr>
          <w:rFonts w:hint="eastAsia" w:ascii="宋体" w:hAnsi="宋体" w:cs="宋体"/>
          <w:bCs/>
        </w:rPr>
      </w:pPr>
      <w:r>
        <w:rPr>
          <w:rFonts w:hint="eastAsia" w:ascii="宋体" w:hAnsi="宋体" w:cs="宋体"/>
          <w:bCs/>
        </w:rPr>
        <w:t>请您根据自身理财目标、投资经验、财务状况、风险承受能力以及其他相关情况慎重购买理财计划。本风险揭示书列示的可能涉及的风险包括但不限于：</w:t>
      </w:r>
    </w:p>
    <w:p>
      <w:pPr>
        <w:pStyle w:val="3"/>
        <w:numPr>
          <w:ilvl w:val="0"/>
          <w:numId w:val="1"/>
        </w:numPr>
        <w:spacing w:line="360" w:lineRule="auto"/>
        <w:ind w:firstLine="482" w:firstLineChars="200"/>
        <w:rPr>
          <w:rFonts w:hint="eastAsia"/>
        </w:rPr>
      </w:pPr>
      <w:r>
        <w:rPr>
          <w:rFonts w:hint="eastAsia"/>
        </w:rPr>
        <w:t>理财计划共性风险</w:t>
      </w:r>
    </w:p>
    <w:p>
      <w:pPr>
        <w:pStyle w:val="4"/>
        <w:numPr>
          <w:ilvl w:val="0"/>
          <w:numId w:val="2"/>
        </w:numPr>
        <w:ind w:firstLine="482" w:firstLineChars="200"/>
      </w:pPr>
      <w:r>
        <w:rPr>
          <w:rStyle w:val="20"/>
          <w:rFonts w:hint="eastAsia"/>
          <w:b/>
        </w:rPr>
        <w:t>信用风险：</w:t>
      </w:r>
      <w:r>
        <w:rPr>
          <w:rFonts w:hint="eastAsia"/>
        </w:rPr>
        <w:t>理财计划所投资产的相关义务人信用状况恶化，出现信用违约情形，则理财计划本金或收益蒙受部分或全部损失的风险。</w:t>
      </w:r>
    </w:p>
    <w:p>
      <w:pPr>
        <w:pStyle w:val="4"/>
        <w:numPr>
          <w:ilvl w:val="0"/>
          <w:numId w:val="2"/>
        </w:numPr>
        <w:ind w:firstLine="482" w:firstLineChars="200"/>
        <w:rPr>
          <w:rFonts w:hint="eastAsia"/>
        </w:rPr>
      </w:pPr>
      <w:r>
        <w:rPr>
          <w:rFonts w:hint="eastAsia"/>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ind w:firstLine="482" w:firstLineChars="200"/>
        <w:jc w:val="left"/>
        <w:rPr>
          <w:rFonts w:ascii="宋体" w:hAnsi="宋体" w:cs="宋体"/>
          <w:b/>
        </w:rPr>
      </w:pPr>
      <w:r>
        <w:rPr>
          <w:rFonts w:hint="eastAsia" w:ascii="宋体" w:hAnsi="宋体" w:cs="宋体"/>
          <w:b/>
        </w:rPr>
        <w:t>政策风险：因国家宏观政策（如财政政策、货币政策、监管政策等）发生变化，导致市场价格波动而产生风险，从而对理财计划收益产生影响。</w:t>
      </w:r>
    </w:p>
    <w:p>
      <w:pPr>
        <w:numPr>
          <w:ilvl w:val="0"/>
          <w:numId w:val="3"/>
        </w:numPr>
        <w:spacing w:line="360" w:lineRule="auto"/>
        <w:ind w:firstLine="482" w:firstLineChars="200"/>
        <w:jc w:val="left"/>
        <w:rPr>
          <w:rFonts w:ascii="宋体" w:hAnsi="宋体" w:cs="宋体"/>
          <w:b/>
        </w:rPr>
      </w:pPr>
      <w:r>
        <w:rPr>
          <w:rFonts w:hint="eastAsia" w:ascii="宋体" w:hAnsi="宋体" w:cs="宋体"/>
          <w:b/>
        </w:rPr>
        <w:t>经济周期风险：随经济运行周期变化，证券市场的收益水平也呈周期性变化，从而对理财计划收益产生影响。</w:t>
      </w:r>
    </w:p>
    <w:p>
      <w:pPr>
        <w:numPr>
          <w:ilvl w:val="0"/>
          <w:numId w:val="3"/>
        </w:numPr>
        <w:spacing w:line="360" w:lineRule="auto"/>
        <w:ind w:firstLine="482" w:firstLineChars="200"/>
        <w:jc w:val="left"/>
        <w:rPr>
          <w:rFonts w:ascii="宋体" w:hAnsi="宋体" w:cs="宋体"/>
          <w:b/>
        </w:rPr>
      </w:pPr>
      <w:r>
        <w:rPr>
          <w:rFonts w:hint="eastAsia" w:ascii="宋体" w:hAnsi="宋体" w:cs="宋体"/>
          <w:b/>
        </w:rPr>
        <w:t>购买力风险：如发生通货膨胀，则所投资产的收益可能会被通货膨胀抵消，从而对理财计划收益的实际购买力产生影响。</w:t>
      </w:r>
    </w:p>
    <w:p>
      <w:pPr>
        <w:numPr>
          <w:ilvl w:val="0"/>
          <w:numId w:val="3"/>
        </w:numPr>
        <w:spacing w:line="360" w:lineRule="auto"/>
        <w:ind w:firstLine="482" w:firstLineChars="200"/>
        <w:jc w:val="left"/>
        <w:rPr>
          <w:rFonts w:ascii="宋体" w:hAnsi="宋体" w:cs="宋体"/>
          <w:b/>
        </w:rPr>
      </w:pPr>
      <w:r>
        <w:rPr>
          <w:rFonts w:hint="eastAsia" w:ascii="宋体" w:hAnsi="宋体" w:cs="宋体"/>
          <w:b/>
        </w:rPr>
        <w:t>利率风险：金融市场利率波动会导致证券市场价格和收益率波动，从而对理财计划收益产生影响。</w:t>
      </w:r>
    </w:p>
    <w:p>
      <w:pPr>
        <w:numPr>
          <w:ilvl w:val="0"/>
          <w:numId w:val="3"/>
        </w:numPr>
        <w:spacing w:line="360" w:lineRule="auto"/>
        <w:ind w:firstLine="482" w:firstLineChars="200"/>
        <w:jc w:val="left"/>
        <w:rPr>
          <w:rFonts w:ascii="宋体" w:hAnsi="宋体" w:cs="宋体"/>
          <w:b/>
        </w:rPr>
      </w:pPr>
      <w:r>
        <w:rPr>
          <w:rFonts w:hint="eastAsia" w:ascii="宋体" w:hAnsi="宋体" w:cs="宋体"/>
          <w:b/>
        </w:rPr>
        <w:t>汇率风险：理财计划如投资涉及非本国货币，则外汇市场可能会出现汇率波动，从而对理财计划收益产生影响。</w:t>
      </w:r>
    </w:p>
    <w:p>
      <w:pPr>
        <w:pStyle w:val="4"/>
        <w:numPr>
          <w:ilvl w:val="0"/>
          <w:numId w:val="4"/>
        </w:numPr>
        <w:ind w:firstLine="482" w:firstLineChars="200"/>
      </w:pPr>
      <w:r>
        <w:rPr>
          <w:rFonts w:hint="eastAsia"/>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pStyle w:val="4"/>
        <w:numPr>
          <w:ilvl w:val="0"/>
          <w:numId w:val="4"/>
        </w:numPr>
        <w:ind w:firstLine="482" w:firstLineChars="200"/>
      </w:pPr>
      <w:r>
        <w:rPr>
          <w:rFonts w:hint="eastAsia"/>
        </w:rPr>
        <w:t>政策风险：理财计划根据当前的相关法规和政策设计，如国家宏观政策以及相关市场法规发生变化，可能会影响理财计划的发行、投资、兑付等正常工作流程的进行，导致理财计划本金或收益蒙受部分或全部损失的风险。</w:t>
      </w:r>
    </w:p>
    <w:p>
      <w:pPr>
        <w:pStyle w:val="4"/>
        <w:numPr>
          <w:ilvl w:val="0"/>
          <w:numId w:val="4"/>
        </w:numPr>
        <w:ind w:firstLine="482" w:firstLineChars="200"/>
      </w:pPr>
      <w:r>
        <w:rPr>
          <w:rFonts w:hint="eastAsia"/>
        </w:rPr>
        <w:t>操作风险：理财计划由于内部作业、人员管理、系统操作、交易对手交易处理不当或失误等，导致理财计划本金或收益蒙受部分或全部损失的风险。</w:t>
      </w:r>
    </w:p>
    <w:p>
      <w:pPr>
        <w:pStyle w:val="4"/>
        <w:numPr>
          <w:ilvl w:val="0"/>
          <w:numId w:val="4"/>
        </w:numPr>
        <w:ind w:firstLine="482" w:firstLineChars="200"/>
      </w:pPr>
      <w:r>
        <w:rPr>
          <w:rFonts w:hint="eastAsia"/>
        </w:rPr>
        <w:t>管理风险：理财计划在投资管理运作过程中，投资管理各方受经验、技能、执行力等综合因素的限制，可能会对理财计划的投资与运作产生一定影响，导致理财计划本金或收益蒙受部分或全部损失的风险。</w:t>
      </w:r>
    </w:p>
    <w:p>
      <w:pPr>
        <w:pStyle w:val="4"/>
        <w:numPr>
          <w:ilvl w:val="0"/>
          <w:numId w:val="4"/>
        </w:numPr>
        <w:ind w:firstLine="482" w:firstLineChars="200"/>
      </w:pPr>
      <w:r>
        <w:rPr>
          <w:rFonts w:hint="eastAsia"/>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pStyle w:val="4"/>
        <w:numPr>
          <w:ilvl w:val="0"/>
          <w:numId w:val="4"/>
        </w:numPr>
        <w:ind w:firstLine="482" w:firstLineChars="200"/>
      </w:pPr>
      <w:r>
        <w:rPr>
          <w:rFonts w:hint="eastAsia"/>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pStyle w:val="4"/>
        <w:numPr>
          <w:ilvl w:val="0"/>
          <w:numId w:val="4"/>
        </w:numPr>
        <w:ind w:firstLine="482" w:firstLineChars="200"/>
      </w:pPr>
      <w:r>
        <w:rPr>
          <w:rFonts w:hint="eastAsia"/>
        </w:rPr>
        <w:t>提前</w:t>
      </w:r>
      <w:r>
        <w:rPr>
          <w:rFonts w:hint="eastAsia" w:ascii="宋体" w:hAnsi="宋体" w:cs="宋体"/>
        </w:rPr>
        <w:t>或延期终止风险：为保护投资者利益，在理财计划存续期间，管理人可根据理财计划说明书约定的情形提前或延期终止本理财计划。如理财计划被提前或延期终止，则投资者将面临提前终止再投资或延期兑付的风险。</w:t>
      </w:r>
    </w:p>
    <w:p>
      <w:pPr>
        <w:numPr>
          <w:ilvl w:val="0"/>
          <w:numId w:val="4"/>
        </w:numPr>
        <w:spacing w:line="360" w:lineRule="auto"/>
        <w:ind w:firstLine="482" w:firstLineChars="200"/>
        <w:jc w:val="left"/>
        <w:outlineLvl w:val="2"/>
        <w:rPr>
          <w:rFonts w:hint="eastAsia"/>
          <w:b/>
        </w:rPr>
      </w:pPr>
      <w:r>
        <w:rPr>
          <w:rStyle w:val="19"/>
          <w:rFonts w:hint="eastAsia"/>
        </w:rPr>
        <w:t>信息传递风险：</w:t>
      </w:r>
      <w:r>
        <w:rPr>
          <w:rFonts w:hint="eastAsia"/>
          <w:b/>
          <w:bCs/>
        </w:rPr>
        <w:t>由于投资者未能及时主动了解理财计划信息，或由于通信故障、系统故障以及其他不可抗力等因素的影响，使得投资者无法及时了解理财计划信息，而导致投资者无法及时做出合理决策，导致理财计划本金或收益蒙受部分或全部损失的风险。</w:t>
      </w:r>
    </w:p>
    <w:p>
      <w:pPr>
        <w:pStyle w:val="4"/>
        <w:numPr>
          <w:ilvl w:val="0"/>
          <w:numId w:val="4"/>
        </w:numPr>
      </w:pPr>
      <w:r>
        <w:rPr>
          <w:rFonts w:hint="eastAsia"/>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理财计划本金或收益蒙受部分或全部损失的风险。</w:t>
      </w:r>
    </w:p>
    <w:p>
      <w:pPr>
        <w:numPr>
          <w:ilvl w:val="0"/>
          <w:numId w:val="4"/>
        </w:numPr>
        <w:spacing w:line="360" w:lineRule="auto"/>
        <w:ind w:firstLine="482" w:firstLineChars="200"/>
        <w:jc w:val="left"/>
        <w:outlineLvl w:val="2"/>
        <w:rPr>
          <w:rFonts w:ascii="宋体" w:hAnsi="宋体" w:cs="宋体"/>
          <w:b/>
        </w:rPr>
      </w:pPr>
      <w:r>
        <w:rPr>
          <w:rFonts w:hint="eastAsia" w:ascii="宋体" w:hAnsi="宋体" w:cs="宋体"/>
          <w:b/>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ind w:firstLine="482" w:firstLineChars="200"/>
        <w:jc w:val="left"/>
        <w:outlineLvl w:val="2"/>
        <w:rPr>
          <w:rFonts w:ascii="宋体" w:hAnsi="宋体" w:cs="宋体"/>
          <w:b/>
        </w:rPr>
      </w:pPr>
      <w:r>
        <w:rPr>
          <w:rFonts w:hint="eastAsia" w:ascii="宋体" w:hAnsi="宋体" w:cs="宋体"/>
          <w:b/>
        </w:rPr>
        <w:t>建仓期风险：如理财计划设置建仓期，则在建仓期内理财计划的投资比例可能无法满足约定的投资比例限制，从而影响对理财计划收益产生影响。</w:t>
      </w:r>
    </w:p>
    <w:p>
      <w:pPr>
        <w:numPr>
          <w:ilvl w:val="0"/>
          <w:numId w:val="4"/>
        </w:numPr>
        <w:spacing w:line="360" w:lineRule="auto"/>
        <w:ind w:firstLine="482" w:firstLineChars="200"/>
        <w:jc w:val="left"/>
        <w:outlineLvl w:val="2"/>
        <w:rPr>
          <w:rFonts w:ascii="宋体" w:hAnsi="宋体" w:cs="宋体"/>
          <w:b/>
        </w:rPr>
      </w:pPr>
      <w:r>
        <w:rPr>
          <w:rFonts w:hint="eastAsia" w:ascii="宋体" w:hAnsi="宋体" w:cs="宋体"/>
          <w:b/>
        </w:rPr>
        <w:t>代销风险：本理财计划通过代销渠道销售，投资者认/申购理财计划的资金由销售机构从投资者资金账户扣收；理财计划到期/赎回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2"/>
        <w:rPr>
          <w:rFonts w:ascii="宋体" w:hAnsi="宋体" w:cs="宋体"/>
          <w:b/>
        </w:rPr>
      </w:pPr>
      <w:r>
        <w:rPr>
          <w:rFonts w:ascii="宋体" w:hAnsi="宋体" w:cs="宋体"/>
          <w:b/>
        </w:rPr>
        <w:t>关联关系风险：本理财</w:t>
      </w:r>
      <w:r>
        <w:rPr>
          <w:rFonts w:hint="eastAsia" w:ascii="宋体" w:hAnsi="宋体" w:cs="宋体"/>
          <w:b/>
        </w:rPr>
        <w:t>计划</w:t>
      </w:r>
      <w:r>
        <w:rPr>
          <w:rFonts w:ascii="宋体" w:hAnsi="宋体" w:cs="宋体"/>
          <w:b/>
        </w:rPr>
        <w:t>销售机构</w:t>
      </w:r>
      <w:r>
        <w:rPr>
          <w:rFonts w:hint="eastAsia" w:ascii="宋体" w:hAnsi="宋体" w:cs="宋体"/>
          <w:b/>
        </w:rPr>
        <w:t>之一</w:t>
      </w:r>
      <w:r>
        <w:rPr>
          <w:rFonts w:ascii="宋体" w:hAnsi="宋体" w:cs="宋体"/>
          <w:b/>
        </w:rPr>
        <w:t>为杭州银行股份有限公司，杭银理财系杭州银行全资子公司，双方存在关联关系。杭州银行作为本理财</w:t>
      </w:r>
      <w:r>
        <w:rPr>
          <w:rFonts w:hint="eastAsia" w:ascii="宋体" w:hAnsi="宋体" w:cs="宋体"/>
          <w:b/>
        </w:rPr>
        <w:t>计划</w:t>
      </w:r>
      <w:r>
        <w:rPr>
          <w:rFonts w:ascii="宋体" w:hAnsi="宋体" w:cs="宋体"/>
          <w:b/>
        </w:rPr>
        <w:t>销售机构将按照法律法规、监管规定，执行不低于代理销售其他机构发行管理的理财产品的准入标准、风险评级、销售管理等要求；杭州银行作为销售机构不保证本</w:t>
      </w:r>
      <w:r>
        <w:rPr>
          <w:rFonts w:hint="eastAsia" w:ascii="宋体" w:hAnsi="宋体" w:cs="宋体"/>
          <w:b/>
        </w:rPr>
        <w:t>理财计划</w:t>
      </w:r>
      <w:r>
        <w:rPr>
          <w:rFonts w:ascii="宋体" w:hAnsi="宋体" w:cs="宋体"/>
          <w:b/>
        </w:rPr>
        <w:t>收益，不承担</w:t>
      </w:r>
      <w:r>
        <w:rPr>
          <w:rFonts w:hint="eastAsia" w:ascii="宋体" w:hAnsi="宋体" w:cs="宋体"/>
          <w:b/>
        </w:rPr>
        <w:t>理财计划</w:t>
      </w:r>
      <w:r>
        <w:rPr>
          <w:rFonts w:ascii="宋体" w:hAnsi="宋体" w:cs="宋体"/>
          <w:b/>
        </w:rPr>
        <w:t>的投资、兑付和风险管理责任。</w:t>
      </w:r>
    </w:p>
    <w:p>
      <w:pPr>
        <w:numPr>
          <w:ilvl w:val="0"/>
          <w:numId w:val="1"/>
        </w:numPr>
        <w:spacing w:line="360" w:lineRule="auto"/>
        <w:ind w:firstLine="482" w:firstLineChars="200"/>
        <w:jc w:val="left"/>
        <w:outlineLvl w:val="1"/>
        <w:rPr>
          <w:rFonts w:ascii="宋体" w:hAnsi="宋体" w:cs="宋体"/>
          <w:b/>
        </w:rPr>
      </w:pPr>
      <w:r>
        <w:rPr>
          <w:rFonts w:hint="eastAsia" w:ascii="宋体" w:hAnsi="宋体" w:cs="宋体"/>
          <w:b/>
        </w:rPr>
        <w:t>理财计划特定风险</w:t>
      </w:r>
    </w:p>
    <w:p>
      <w:pPr>
        <w:spacing w:line="360" w:lineRule="auto"/>
        <w:ind w:firstLine="482" w:firstLineChars="200"/>
        <w:jc w:val="left"/>
        <w:rPr>
          <w:rFonts w:hint="eastAsia" w:ascii="宋体" w:hAnsi="宋体" w:cs="宋体"/>
          <w:b/>
        </w:rPr>
      </w:pPr>
      <w:r>
        <w:rPr>
          <w:rFonts w:hint="eastAsia" w:ascii="宋体" w:hAnsi="宋体" w:cs="宋体"/>
          <w:b/>
        </w:rPr>
        <w:t>拟投资固定收益类资产的风险：本理财计划投资债券、资产支持证券等固定收益类资产时可能面临以下风险：国家政策、经济周期、利率等因素发生变化导致的市场风险；债券发行人的经营状况、信用质量恶化等导致的信用风险；市场成交量不足、特殊时点缺乏交易对手导致的流动性风险等。</w:t>
      </w:r>
    </w:p>
    <w:p>
      <w:pPr>
        <w:spacing w:line="360" w:lineRule="auto"/>
        <w:ind w:firstLine="482" w:firstLineChars="200"/>
        <w:jc w:val="left"/>
        <w:rPr>
          <w:rFonts w:ascii="宋体" w:hAnsi="宋体" w:cs="宋体"/>
          <w:b/>
        </w:rPr>
      </w:pPr>
      <w:r>
        <w:rPr>
          <w:rFonts w:hint="eastAsia" w:ascii="宋体" w:hAnsi="宋体" w:cs="宋体"/>
          <w:b/>
        </w:rPr>
        <w:t>上述理财计划共性与特定风险发生时，投资者的本金及收益可能遭受损失，在最不利情形下，将损失全部本金及收益，由此产生的风险及损失将由投资者自行承担。</w:t>
      </w:r>
    </w:p>
    <w:p>
      <w:pPr>
        <w:numPr>
          <w:ilvl w:val="0"/>
          <w:numId w:val="1"/>
        </w:numPr>
        <w:spacing w:line="360" w:lineRule="auto"/>
        <w:ind w:firstLine="482" w:firstLineChars="200"/>
        <w:jc w:val="left"/>
        <w:outlineLvl w:val="1"/>
        <w:rPr>
          <w:rFonts w:ascii="宋体" w:hAnsi="宋体" w:cs="宋体"/>
          <w:b/>
        </w:rPr>
      </w:pPr>
      <w:r>
        <w:rPr>
          <w:rFonts w:hint="eastAsia" w:ascii="宋体" w:hAnsi="宋体" w:cs="宋体"/>
          <w:b/>
        </w:rPr>
        <w:t>其他信息提示</w:t>
      </w:r>
    </w:p>
    <w:p>
      <w:pPr>
        <w:spacing w:line="360" w:lineRule="auto"/>
        <w:ind w:firstLine="480" w:firstLineChars="200"/>
        <w:jc w:val="left"/>
        <w:rPr>
          <w:rFonts w:ascii="宋体" w:hAnsi="宋体" w:cs="宋体"/>
          <w:b/>
        </w:rPr>
      </w:pPr>
      <w:r>
        <w:rPr>
          <w:rFonts w:hint="eastAsia" w:ascii="宋体" w:hAnsi="宋体" w:cs="宋体"/>
          <w:bCs/>
        </w:rPr>
        <w:t>根据现有法律法规及金融监管机构对于理财产品的相关分类，投资者还需了解以下信息：</w:t>
      </w:r>
    </w:p>
    <w:p>
      <w:pPr>
        <w:numPr>
          <w:ilvl w:val="0"/>
          <w:numId w:val="5"/>
        </w:numPr>
        <w:spacing w:line="360" w:lineRule="auto"/>
        <w:ind w:firstLine="482" w:firstLineChars="200"/>
        <w:jc w:val="left"/>
        <w:outlineLvl w:val="2"/>
        <w:rPr>
          <w:rFonts w:hint="eastAsia" w:ascii="宋体" w:hAnsi="宋体" w:cs="宋体"/>
          <w:bCs/>
        </w:rPr>
      </w:pPr>
      <w:r>
        <w:rPr>
          <w:rFonts w:hint="eastAsia" w:ascii="宋体" w:hAnsi="宋体" w:cs="宋体"/>
          <w:b/>
        </w:rPr>
        <w:t>根据募集方式的不同，理财产品分为公募理财产品和私募理财产品。</w:t>
      </w:r>
      <w:r>
        <w:rPr>
          <w:rFonts w:hint="eastAsia" w:ascii="宋体" w:hAnsi="宋体" w:cs="宋体"/>
          <w:bCs/>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6"/>
        </w:numPr>
        <w:spacing w:line="360" w:lineRule="auto"/>
        <w:ind w:firstLine="480" w:firstLineChars="200"/>
        <w:jc w:val="left"/>
        <w:rPr>
          <w:rFonts w:hint="eastAsia" w:ascii="宋体" w:hAnsi="宋体" w:cs="宋体"/>
          <w:bCs/>
        </w:rPr>
      </w:pPr>
      <w:r>
        <w:rPr>
          <w:rFonts w:hint="eastAsia" w:ascii="宋体" w:hAnsi="宋体" w:cs="宋体"/>
          <w:bCs/>
        </w:rPr>
        <w:t>具有2年以上投资经历，且满足家庭金融净资产不低于300万元人民币，或者家庭金融资产不低于500万元人民币，或者近3年本人年均收入不低于40 万元人民币；</w:t>
      </w:r>
    </w:p>
    <w:p>
      <w:pPr>
        <w:numPr>
          <w:ilvl w:val="0"/>
          <w:numId w:val="6"/>
        </w:numPr>
        <w:spacing w:line="360" w:lineRule="auto"/>
        <w:ind w:firstLine="480" w:firstLineChars="200"/>
        <w:jc w:val="left"/>
        <w:rPr>
          <w:rFonts w:hint="eastAsia" w:ascii="宋体" w:hAnsi="宋体" w:cs="宋体"/>
          <w:bCs/>
        </w:rPr>
      </w:pPr>
      <w:r>
        <w:rPr>
          <w:rFonts w:hint="eastAsia" w:ascii="宋体" w:hAnsi="宋体" w:cs="宋体"/>
          <w:bCs/>
        </w:rPr>
        <w:t>最近1年末净资产不低于1000万元人民币的法人或者依法成立的其他组织；</w:t>
      </w:r>
    </w:p>
    <w:p>
      <w:pPr>
        <w:numPr>
          <w:ilvl w:val="0"/>
          <w:numId w:val="6"/>
        </w:numPr>
        <w:spacing w:line="360" w:lineRule="auto"/>
        <w:ind w:firstLine="480" w:firstLineChars="200"/>
        <w:jc w:val="left"/>
        <w:rPr>
          <w:rFonts w:hint="eastAsia" w:ascii="宋体" w:hAnsi="宋体" w:cs="宋体"/>
          <w:bCs/>
        </w:rPr>
      </w:pPr>
      <w:r>
        <w:rPr>
          <w:rFonts w:hint="eastAsia" w:ascii="宋体" w:hAnsi="宋体" w:cs="宋体"/>
          <w:bCs/>
        </w:rPr>
        <w:t>国务院银行业监督管理机构规定的其他情形。</w:t>
      </w:r>
    </w:p>
    <w:p>
      <w:pPr>
        <w:numPr>
          <w:ilvl w:val="0"/>
          <w:numId w:val="7"/>
        </w:numPr>
        <w:spacing w:line="360" w:lineRule="auto"/>
        <w:ind w:firstLine="482" w:firstLineChars="200"/>
        <w:jc w:val="left"/>
        <w:outlineLvl w:val="2"/>
        <w:rPr>
          <w:rFonts w:hint="eastAsia" w:ascii="宋体" w:hAnsi="宋体" w:cs="宋体"/>
          <w:bCs/>
        </w:rPr>
      </w:pPr>
      <w:r>
        <w:rPr>
          <w:rFonts w:hint="eastAsia" w:ascii="宋体" w:hAnsi="宋体" w:cs="宋体"/>
          <w:b/>
        </w:rPr>
        <w:t>根据投资性质的不同，理财产品分为固定收益类理财产品、权益类理财产品、商品及金融衍生品类理财产品和混合类理财产品。</w:t>
      </w:r>
      <w:r>
        <w:rPr>
          <w:rFonts w:hint="eastAsia" w:ascii="宋体" w:hAnsi="宋体" w:cs="宋体"/>
          <w:bCs/>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7"/>
        </w:numPr>
        <w:spacing w:line="360" w:lineRule="auto"/>
        <w:ind w:firstLine="482" w:firstLineChars="200"/>
        <w:jc w:val="left"/>
        <w:outlineLvl w:val="2"/>
        <w:rPr>
          <w:rFonts w:hint="eastAsia" w:ascii="宋体" w:hAnsi="宋体" w:cs="宋体"/>
          <w:bCs/>
        </w:rPr>
      </w:pPr>
      <w:r>
        <w:rPr>
          <w:rFonts w:hint="eastAsia" w:ascii="宋体" w:hAnsi="宋体" w:cs="宋体"/>
          <w:b/>
        </w:rPr>
        <w:t>根据运作方式的不同，将理财产品分为封闭式理财产品和开放式理财产品。</w:t>
      </w:r>
      <w:r>
        <w:rPr>
          <w:rFonts w:hint="eastAsia" w:ascii="宋体" w:hAnsi="宋体" w:cs="宋体"/>
          <w:bCs/>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rPr>
      </w:pPr>
      <w:r>
        <w:rPr>
          <w:rFonts w:hint="eastAsia" w:ascii="宋体" w:hAnsi="宋体" w:cs="宋体"/>
          <w:b/>
        </w:rPr>
        <w:t>本理财计划为公募、开放式、〖固定收益类〗净值型理财计划，〖无固定期限〗，不保证本金与收益。根据本公司理财产品内部风险评级，该理财计划风险评级结果为〖R1〗,〖低〗风险</w:t>
      </w:r>
      <w:r>
        <w:rPr>
          <w:rFonts w:hint="eastAsia" w:ascii="宋体" w:hAnsi="宋体" w:cs="宋体"/>
          <w:bCs/>
        </w:rPr>
        <w:t>（本风险等级为我公司内部风险评级结果，仅供参考，理财计划通过代理销售机构渠道销售的，理财计划风险评级应当以代理销售机构最终披露的评级结果为准），</w:t>
      </w:r>
      <w:r>
        <w:rPr>
          <w:rFonts w:hint="eastAsia" w:ascii="宋体" w:hAnsi="宋体" w:cs="宋体"/>
          <w:b/>
        </w:rPr>
        <w:t>总体风险〖程度低，收益波动小，管理人不承诺本金保障〗。</w:t>
      </w:r>
    </w:p>
    <w:p>
      <w:pPr>
        <w:spacing w:line="360" w:lineRule="auto"/>
        <w:ind w:firstLine="482" w:firstLineChars="200"/>
        <w:jc w:val="left"/>
        <w:rPr>
          <w:rFonts w:hint="eastAsia" w:ascii="宋体" w:hAnsi="宋体" w:cs="宋体"/>
          <w:bCs/>
        </w:rPr>
      </w:pPr>
      <w:r>
        <w:rPr>
          <w:rFonts w:hint="eastAsia" w:ascii="宋体" w:hAnsi="宋体" w:cs="宋体"/>
          <w:b/>
        </w:rPr>
        <w:t>本理财计划适合〖机构投资者〗以及〖保守型、稳健型、平衡型、成长型、进取型〗的个人投资者，个人投资者的风险承受能力评估以销售机构为准。</w:t>
      </w:r>
      <w:r>
        <w:rPr>
          <w:rFonts w:hint="eastAsia" w:ascii="宋体" w:hAnsi="宋体" w:cs="宋体"/>
          <w:bCs/>
        </w:rPr>
        <w:t>本理财计划投资者适当性评估由销售机构负责，销售机构应确保个人投资者的风险承受能力不低于本理财计划风险评级。</w:t>
      </w:r>
    </w:p>
    <w:p>
      <w:pPr>
        <w:spacing w:line="360" w:lineRule="auto"/>
        <w:ind w:firstLine="480" w:firstLineChars="200"/>
        <w:jc w:val="left"/>
        <w:rPr>
          <w:rFonts w:hint="eastAsia" w:ascii="宋体" w:hAnsi="宋体" w:cs="宋体"/>
          <w:bCs/>
        </w:rPr>
      </w:pPr>
      <w:r>
        <w:rPr>
          <w:rFonts w:hint="eastAsia" w:ascii="宋体" w:hAnsi="宋体" w:cs="宋体"/>
          <w:bCs/>
        </w:rPr>
        <w:t>上述风险客观存在，敬请投资者予以充分关注！</w:t>
      </w:r>
    </w:p>
    <w:p>
      <w:pPr>
        <w:spacing w:line="360" w:lineRule="auto"/>
        <w:ind w:firstLine="480" w:firstLineChars="200"/>
        <w:jc w:val="right"/>
        <w:rPr>
          <w:rFonts w:hint="eastAsia" w:ascii="宋体" w:hAnsi="宋体" w:cs="宋体"/>
          <w:bCs/>
        </w:rPr>
      </w:pPr>
    </w:p>
    <w:p>
      <w:pPr>
        <w:spacing w:line="360" w:lineRule="auto"/>
        <w:ind w:firstLine="480" w:firstLineChars="200"/>
        <w:jc w:val="left"/>
        <w:rPr>
          <w:rFonts w:hint="eastAsia" w:ascii="宋体" w:hAnsi="宋体" w:cs="宋体"/>
          <w:bCs/>
        </w:rPr>
      </w:pPr>
      <w:r>
        <w:rPr>
          <w:rFonts w:hint="eastAsia" w:ascii="宋体" w:hAnsi="宋体" w:cs="宋体"/>
          <w:bCs/>
        </w:rPr>
        <w:t>特别提示：杭银理财有限责任公司作为本理财计划管理人有权按照国内外反洗钱相关适用的法律法规和监管要求，从销售机构获得相应必要的投资者身份信息并报送投资者身份信息及其持有理财产品信息。销售机构将在合法、合理且必要时向管理人提供投资者身份识别信息（投资者身份识别信息包括但不限于：投资者的姓名、性别、国籍、职业、住所地或者工作单位地址、常居地地址、联系方式、身份证明文件的种类、号码和有效期限、代理人信息、受益所有人信息），以及在合法、合理且必要时进一步提供身份证明文件的复印件和影印件以及其他必要信息。投资者签署后即表示同意并配合提供前述信息。</w:t>
      </w:r>
    </w:p>
    <w:p>
      <w:pPr>
        <w:spacing w:line="360" w:lineRule="auto"/>
        <w:ind w:firstLine="480" w:firstLineChars="200"/>
        <w:jc w:val="left"/>
        <w:rPr>
          <w:rFonts w:hint="eastAsia" w:ascii="宋体" w:hAnsi="宋体" w:cs="宋体"/>
          <w:bCs/>
        </w:rPr>
      </w:pPr>
    </w:p>
    <w:p>
      <w:pPr>
        <w:spacing w:line="360" w:lineRule="auto"/>
        <w:ind w:firstLine="480" w:firstLineChars="200"/>
        <w:jc w:val="right"/>
        <w:rPr>
          <w:rFonts w:hint="eastAsia" w:ascii="宋体" w:hAnsi="宋体" w:cs="宋体"/>
          <w:bCs/>
        </w:rPr>
      </w:pPr>
    </w:p>
    <w:p>
      <w:pPr>
        <w:spacing w:line="360" w:lineRule="auto"/>
        <w:ind w:firstLine="480" w:firstLineChars="200"/>
        <w:jc w:val="right"/>
        <w:rPr>
          <w:rFonts w:hint="eastAsia" w:ascii="宋体" w:hAnsi="宋体" w:cs="宋体"/>
          <w:bCs/>
        </w:rPr>
      </w:pPr>
      <w:r>
        <w:rPr>
          <w:rFonts w:hint="eastAsia" w:ascii="宋体" w:hAnsi="宋体" w:cs="宋体"/>
          <w:bCs/>
        </w:rPr>
        <w:t>风险提示方：杭银理财有限责任公司</w:t>
      </w:r>
    </w:p>
    <w:p>
      <w:pPr>
        <w:spacing w:line="360" w:lineRule="auto"/>
        <w:ind w:firstLine="480" w:firstLineChars="200"/>
        <w:jc w:val="right"/>
        <w:rPr>
          <w:rFonts w:hint="eastAsia" w:ascii="宋体" w:hAnsi="宋体" w:cs="宋体"/>
          <w:bCs/>
        </w:rPr>
      </w:pPr>
    </w:p>
    <w:p>
      <w:pPr>
        <w:spacing w:line="360" w:lineRule="auto"/>
        <w:ind w:firstLine="480" w:firstLineChars="200"/>
        <w:jc w:val="right"/>
        <w:rPr>
          <w:rFonts w:hint="eastAsia" w:ascii="宋体" w:hAnsi="宋体" w:cs="宋体"/>
          <w:bCs/>
        </w:rPr>
      </w:pPr>
    </w:p>
    <w:p>
      <w:pPr>
        <w:pStyle w:val="17"/>
        <w:spacing w:line="360" w:lineRule="auto"/>
        <w:jc w:val="both"/>
        <w:rPr>
          <w:rFonts w:hint="eastAsia" w:ascii="宋体" w:hAnsi="宋体" w:cs="宋体"/>
          <w:b/>
          <w:color w:val="auto"/>
        </w:rPr>
      </w:pPr>
    </w:p>
    <w:p>
      <w:pPr>
        <w:pStyle w:val="17"/>
        <w:spacing w:line="360" w:lineRule="auto"/>
        <w:jc w:val="both"/>
        <w:rPr>
          <w:rFonts w:hint="eastAsia" w:ascii="宋体" w:hAnsi="宋体" w:cs="宋体"/>
          <w:b/>
          <w:color w:val="auto"/>
        </w:rPr>
      </w:pPr>
      <w:r>
        <w:rPr>
          <w:rFonts w:ascii="宋体" w:hAnsi="宋体" w:cs="宋体"/>
          <w:b/>
          <w:color w:val="auto"/>
        </w:rPr>
        <w:br w:type="page"/>
      </w:r>
    </w:p>
    <w:p>
      <w:pPr>
        <w:pStyle w:val="17"/>
        <w:spacing w:line="360" w:lineRule="auto"/>
        <w:ind w:firstLine="482" w:firstLineChars="200"/>
        <w:jc w:val="center"/>
        <w:outlineLvl w:val="1"/>
        <w:rPr>
          <w:rFonts w:hint="eastAsia" w:ascii="宋体" w:hAnsi="宋体" w:cs="宋体"/>
          <w:b/>
          <w:color w:val="auto"/>
        </w:rPr>
      </w:pPr>
      <w:r>
        <w:rPr>
          <w:rFonts w:hint="eastAsia" w:ascii="宋体" w:hAnsi="宋体" w:cs="宋体"/>
          <w:b/>
          <w:color w:val="auto"/>
        </w:rPr>
        <w:t>投资者确认栏（个人投资者填写）</w:t>
      </w:r>
    </w:p>
    <w:p>
      <w:pPr>
        <w:pStyle w:val="17"/>
        <w:spacing w:line="360" w:lineRule="auto"/>
        <w:jc w:val="both"/>
        <w:rPr>
          <w:rFonts w:hint="eastAsia" w:ascii="宋体" w:hAnsi="宋体" w:cs="宋体"/>
          <w:color w:val="auto"/>
        </w:rPr>
      </w:pPr>
      <w:r>
        <w:rPr>
          <w:rFonts w:hint="eastAsia" w:ascii="宋体" w:hAnsi="宋体" w:cs="宋体"/>
          <w:color w:val="auto"/>
        </w:rPr>
        <w:t>本人经销售机构评估的风险承受能力等级为（投资者填写）：</w:t>
      </w:r>
    </w:p>
    <w:p>
      <w:pPr>
        <w:pStyle w:val="17"/>
        <w:spacing w:line="360" w:lineRule="auto"/>
        <w:ind w:firstLine="480" w:firstLineChars="200"/>
        <w:jc w:val="both"/>
        <w:rPr>
          <w:rFonts w:hint="eastAsia" w:ascii="宋体" w:hAnsi="宋体" w:cs="宋体"/>
          <w:color w:val="auto"/>
          <w:u w:val="single"/>
        </w:rPr>
      </w:pPr>
      <w:r>
        <w:rPr>
          <w:rFonts w:hint="eastAsia" w:ascii="宋体" w:hAnsi="宋体" w:cs="宋体"/>
          <w:color w:val="auto"/>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u w:val="single"/>
        </w:rPr>
      </w:pPr>
      <w:r>
        <w:rPr>
          <w:rFonts w:hint="eastAsia" w:ascii="宋体" w:hAnsi="宋体" w:cs="宋体"/>
          <w:color w:val="auto"/>
          <w:u w:val="single"/>
        </w:rPr>
        <w:t>如超过一年未进行风险承受能力评估或影响本人风险承受能力的因素发生变化，本人将于再次购买理财计划时及时完成风险承受能力评估。</w:t>
      </w:r>
    </w:p>
    <w:p>
      <w:pPr>
        <w:pStyle w:val="17"/>
        <w:spacing w:line="360" w:lineRule="auto"/>
        <w:ind w:firstLine="482" w:firstLineChars="200"/>
        <w:jc w:val="both"/>
        <w:rPr>
          <w:rFonts w:hint="eastAsia" w:ascii="宋体" w:hAnsi="宋体" w:cs="宋体"/>
          <w:b/>
          <w:bCs/>
          <w:color w:val="auto"/>
          <w:u w:val="single"/>
        </w:rPr>
      </w:pPr>
      <w:r>
        <w:rPr>
          <w:rFonts w:hint="eastAsia" w:ascii="宋体" w:hAnsi="宋体" w:cs="宋体"/>
          <w:b/>
          <w:bCs/>
          <w:color w:val="auto"/>
          <w:u w:val="single"/>
        </w:rPr>
        <w:t>声明：本人已经认真阅读本风险揭示书以及《理财计划产品说明书》《投资者权益须知》《理财计划投资协议书》《理财计划销售协议书》，已对其作全面、准确的理解，充分认识到投资本理财计划要求承担的风险，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cs="宋体"/>
          <w:b/>
          <w:bCs/>
          <w:color w:val="auto"/>
          <w:u w:val="single"/>
        </w:rPr>
      </w:pPr>
      <w:r>
        <w:rPr>
          <w:rFonts w:hint="eastAsia" w:ascii="宋体" w:hAnsi="宋体" w:cs="宋体"/>
          <w:b/>
          <w:bCs/>
          <w:color w:val="auto"/>
          <w:u w:val="single"/>
        </w:rPr>
        <w:t>本人购买本理财计划的资金为合法自有资金，不存在使用借款、贷款等非自有资金的情形；且系为合法目的投资本理财计划，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both"/>
        <w:rPr>
          <w:rFonts w:hint="eastAsia" w:ascii="宋体" w:hAnsi="宋体" w:cs="宋体"/>
          <w:b/>
          <w:color w:val="auto"/>
        </w:rPr>
      </w:pPr>
      <w:r>
        <w:rPr>
          <w:rFonts w:hint="eastAsia" w:ascii="宋体" w:hAnsi="宋体" w:cs="宋体"/>
          <w:color w:val="auto"/>
        </w:rPr>
        <w:t>（投资者需全文抄录以下文字以完成确认：</w:t>
      </w:r>
      <w:r>
        <w:rPr>
          <w:rFonts w:hint="eastAsia" w:ascii="宋体" w:hAnsi="宋体" w:cs="宋体"/>
          <w:b/>
          <w:color w:val="auto"/>
        </w:rPr>
        <w:t xml:space="preserve">“本人已经阅读上述风险揭示，愿意承担投资风险。”如通过线上渠道购买，认/申购交易确认即视为投资者同意自身风险承受能力等级并确认风险揭示内容，愿意承担投资风险，与书面签署具有同等效力。） </w:t>
      </w:r>
    </w:p>
    <w:p>
      <w:pPr>
        <w:pStyle w:val="17"/>
        <w:spacing w:line="360" w:lineRule="auto"/>
        <w:jc w:val="both"/>
        <w:rPr>
          <w:rFonts w:hint="eastAsia" w:ascii="宋体" w:hAnsi="宋体" w:cs="宋体"/>
          <w:color w:val="auto"/>
          <w:u w:val="single"/>
        </w:rPr>
      </w:pPr>
      <w:r>
        <w:rPr>
          <w:rFonts w:hint="eastAsia" w:ascii="宋体" w:hAnsi="宋体" w:cs="宋体"/>
          <w:color w:val="auto"/>
        </w:rPr>
        <w:t>本人同时确认如下：</w:t>
      </w:r>
      <w:r>
        <w:rPr>
          <w:rFonts w:hint="eastAsia" w:ascii="宋体" w:hAnsi="宋体" w:cs="宋体"/>
          <w:color w:val="auto"/>
          <w:u w:val="single"/>
        </w:rPr>
        <w:t xml:space="preserve">                                                          </w:t>
      </w:r>
    </w:p>
    <w:p>
      <w:pPr>
        <w:spacing w:line="360" w:lineRule="auto"/>
        <w:rPr>
          <w:rFonts w:hint="eastAsia" w:ascii="宋体" w:hAnsi="宋体" w:cs="宋体"/>
          <w:kern w:val="0"/>
        </w:rPr>
      </w:pPr>
    </w:p>
    <w:p>
      <w:pPr>
        <w:spacing w:line="360" w:lineRule="auto"/>
        <w:rPr>
          <w:rFonts w:hint="eastAsia" w:ascii="宋体" w:hAnsi="宋体" w:cs="宋体"/>
          <w:kern w:val="0"/>
        </w:rPr>
      </w:pPr>
      <w:r>
        <w:rPr>
          <w:rFonts w:hint="eastAsia" w:ascii="宋体" w:hAnsi="宋体" w:cs="宋体"/>
          <w:kern w:val="0"/>
        </w:rPr>
        <w:t>确认人（签字）：</w:t>
      </w:r>
      <w:r>
        <w:rPr>
          <w:rFonts w:hint="eastAsia" w:ascii="宋体" w:hAnsi="宋体" w:cs="宋体"/>
          <w:kern w:val="0"/>
          <w:u w:val="single"/>
        </w:rPr>
        <w:t xml:space="preserve">                    </w:t>
      </w:r>
      <w:r>
        <w:rPr>
          <w:rFonts w:hint="eastAsia" w:ascii="宋体" w:hAnsi="宋体" w:cs="宋体"/>
          <w:kern w:val="0"/>
        </w:rPr>
        <w:t xml:space="preserve">           日期：</w:t>
      </w:r>
      <w:r>
        <w:rPr>
          <w:rFonts w:hint="eastAsia" w:ascii="宋体" w:hAnsi="宋体" w:cs="宋体"/>
          <w:kern w:val="0"/>
          <w:u w:val="single"/>
        </w:rPr>
        <w:t xml:space="preserve">      </w:t>
      </w:r>
      <w:r>
        <w:rPr>
          <w:rFonts w:hint="eastAsia" w:ascii="宋体" w:hAnsi="宋体" w:cs="宋体"/>
          <w:kern w:val="0"/>
        </w:rPr>
        <w:t>年</w:t>
      </w:r>
      <w:r>
        <w:rPr>
          <w:rFonts w:hint="eastAsia" w:ascii="宋体" w:hAnsi="宋体" w:cs="宋体"/>
          <w:kern w:val="0"/>
          <w:u w:val="single"/>
        </w:rPr>
        <w:t xml:space="preserve">    </w:t>
      </w:r>
      <w:r>
        <w:rPr>
          <w:rFonts w:hint="eastAsia" w:ascii="宋体" w:hAnsi="宋体" w:cs="宋体"/>
          <w:kern w:val="0"/>
        </w:rPr>
        <w:t>月</w:t>
      </w:r>
      <w:r>
        <w:rPr>
          <w:rFonts w:hint="eastAsia" w:ascii="宋体" w:hAnsi="宋体" w:cs="宋体"/>
          <w:kern w:val="0"/>
          <w:u w:val="single"/>
        </w:rPr>
        <w:t xml:space="preserve">    </w:t>
      </w:r>
      <w:r>
        <w:rPr>
          <w:rFonts w:hint="eastAsia" w:ascii="宋体" w:hAnsi="宋体" w:cs="宋体"/>
          <w:kern w:val="0"/>
        </w:rPr>
        <w:t>日</w:t>
      </w:r>
    </w:p>
    <w:p>
      <w:pPr>
        <w:pStyle w:val="17"/>
        <w:spacing w:line="360" w:lineRule="auto"/>
        <w:ind w:firstLine="482" w:firstLineChars="200"/>
        <w:jc w:val="center"/>
        <w:rPr>
          <w:rFonts w:hint="eastAsia" w:ascii="宋体" w:hAnsi="宋体" w:cs="宋体"/>
          <w:b/>
          <w:bCs/>
          <w:color w:val="auto"/>
        </w:rPr>
      </w:pPr>
    </w:p>
    <w:p>
      <w:pPr>
        <w:pStyle w:val="17"/>
        <w:spacing w:line="360" w:lineRule="auto"/>
        <w:ind w:firstLine="482" w:firstLineChars="200"/>
        <w:jc w:val="center"/>
        <w:rPr>
          <w:rFonts w:hint="eastAsia" w:ascii="宋体" w:hAnsi="宋体" w:cs="宋体"/>
          <w:b/>
          <w:bCs/>
          <w:color w:val="auto"/>
        </w:rPr>
      </w:pPr>
    </w:p>
    <w:p>
      <w:pPr>
        <w:pStyle w:val="17"/>
        <w:spacing w:line="360" w:lineRule="auto"/>
        <w:rPr>
          <w:rFonts w:hint="eastAsia" w:ascii="宋体" w:hAnsi="宋体" w:cs="宋体"/>
          <w:b/>
          <w:bCs/>
          <w:color w:val="auto"/>
        </w:rPr>
      </w:pPr>
    </w:p>
    <w:p>
      <w:pPr>
        <w:pStyle w:val="17"/>
        <w:spacing w:line="360" w:lineRule="auto"/>
        <w:ind w:firstLine="482" w:firstLineChars="200"/>
        <w:jc w:val="center"/>
        <w:rPr>
          <w:rFonts w:hint="eastAsia" w:ascii="宋体" w:hAnsi="宋体" w:cs="宋体"/>
          <w:b/>
          <w:bCs/>
          <w:color w:val="auto"/>
        </w:rPr>
      </w:pPr>
    </w:p>
    <w:p>
      <w:pPr>
        <w:pStyle w:val="17"/>
        <w:spacing w:line="360" w:lineRule="auto"/>
        <w:ind w:firstLine="482" w:firstLineChars="200"/>
        <w:jc w:val="center"/>
        <w:outlineLvl w:val="1"/>
        <w:rPr>
          <w:rFonts w:hint="eastAsia" w:ascii="宋体" w:hAnsi="宋体" w:cs="宋体"/>
          <w:b/>
          <w:bCs/>
          <w:color w:val="auto"/>
        </w:rPr>
      </w:pPr>
      <w:r>
        <w:rPr>
          <w:rFonts w:hint="eastAsia" w:ascii="宋体" w:hAnsi="宋体" w:cs="宋体"/>
          <w:b/>
          <w:bCs/>
          <w:color w:val="auto"/>
        </w:rPr>
        <w:t>投资者确认栏（机构投资者）</w:t>
      </w:r>
    </w:p>
    <w:p>
      <w:pPr>
        <w:pStyle w:val="17"/>
        <w:spacing w:line="360" w:lineRule="auto"/>
        <w:ind w:firstLine="482" w:firstLineChars="200"/>
        <w:jc w:val="both"/>
        <w:rPr>
          <w:rFonts w:hint="eastAsia" w:ascii="宋体" w:hAnsi="宋体" w:cs="宋体"/>
          <w:b/>
          <w:bCs/>
          <w:color w:val="auto"/>
          <w:u w:val="single"/>
        </w:rPr>
      </w:pPr>
      <w:r>
        <w:rPr>
          <w:rFonts w:hint="eastAsia" w:ascii="宋体" w:hAnsi="宋体" w:cs="宋体"/>
          <w:b/>
          <w:bCs/>
          <w:color w:val="auto"/>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cs="宋体"/>
          <w:b/>
          <w:bCs/>
          <w:color w:val="auto"/>
          <w:u w:val="single"/>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cs="宋体"/>
          <w:b/>
          <w:bCs/>
          <w:color w:val="auto"/>
          <w:u w:val="single"/>
        </w:rPr>
      </w:pPr>
      <w:r>
        <w:rPr>
          <w:rFonts w:hint="eastAsia" w:ascii="宋体" w:hAnsi="宋体" w:cs="宋体"/>
          <w:b/>
          <w:bCs/>
          <w:color w:val="auto"/>
          <w:u w:val="single"/>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cs="宋体"/>
          <w:color w:val="auto"/>
        </w:rPr>
      </w:pPr>
    </w:p>
    <w:p>
      <w:pPr>
        <w:pStyle w:val="17"/>
        <w:spacing w:line="360" w:lineRule="auto"/>
        <w:ind w:firstLine="480" w:firstLineChars="200"/>
        <w:jc w:val="right"/>
        <w:rPr>
          <w:rFonts w:hint="eastAsia" w:ascii="宋体" w:hAnsi="宋体" w:cs="宋体"/>
          <w:color w:val="auto"/>
        </w:rPr>
      </w:pPr>
    </w:p>
    <w:p>
      <w:pPr>
        <w:pStyle w:val="17"/>
        <w:spacing w:line="360" w:lineRule="auto"/>
        <w:ind w:firstLine="480" w:firstLineChars="200"/>
        <w:jc w:val="right"/>
        <w:rPr>
          <w:rFonts w:hint="eastAsia" w:ascii="宋体" w:hAnsi="宋体" w:cs="宋体"/>
          <w:color w:val="auto"/>
        </w:rPr>
      </w:pPr>
    </w:p>
    <w:p>
      <w:pPr>
        <w:pStyle w:val="17"/>
        <w:spacing w:line="360" w:lineRule="auto"/>
        <w:ind w:firstLine="480" w:firstLineChars="200"/>
        <w:jc w:val="right"/>
        <w:rPr>
          <w:rFonts w:hint="eastAsia" w:ascii="宋体" w:hAnsi="宋体" w:cs="宋体"/>
          <w:color w:val="auto"/>
        </w:rPr>
      </w:pPr>
    </w:p>
    <w:p>
      <w:pPr>
        <w:pStyle w:val="17"/>
        <w:spacing w:line="360" w:lineRule="auto"/>
        <w:jc w:val="both"/>
        <w:rPr>
          <w:rFonts w:hint="eastAsia" w:ascii="宋体" w:hAnsi="宋体" w:cs="宋体"/>
          <w:color w:val="auto"/>
        </w:rPr>
      </w:pPr>
      <w:r>
        <w:rPr>
          <w:rFonts w:hint="eastAsia" w:ascii="宋体" w:hAnsi="宋体" w:cs="宋体"/>
          <w:color w:val="auto"/>
        </w:rPr>
        <w:t>投资者（公章）                          法定代表人或授权代理人（签章）</w:t>
      </w:r>
    </w:p>
    <w:p>
      <w:pPr>
        <w:pStyle w:val="17"/>
        <w:spacing w:line="360" w:lineRule="auto"/>
        <w:ind w:firstLine="480" w:firstLineChars="200"/>
        <w:jc w:val="right"/>
        <w:rPr>
          <w:rFonts w:hint="eastAsia" w:ascii="宋体" w:hAnsi="宋体" w:cs="宋体"/>
          <w:color w:val="auto"/>
        </w:rPr>
      </w:pPr>
    </w:p>
    <w:p>
      <w:pPr>
        <w:pStyle w:val="17"/>
        <w:spacing w:line="360" w:lineRule="auto"/>
        <w:ind w:firstLine="480" w:firstLineChars="200"/>
        <w:jc w:val="right"/>
        <w:rPr>
          <w:rFonts w:hint="eastAsia" w:ascii="宋体" w:hAnsi="宋体" w:cs="宋体"/>
          <w:color w:val="auto"/>
        </w:rPr>
      </w:pPr>
    </w:p>
    <w:p>
      <w:pPr>
        <w:pStyle w:val="17"/>
        <w:spacing w:line="360" w:lineRule="auto"/>
        <w:ind w:firstLine="480" w:firstLineChars="200"/>
        <w:jc w:val="right"/>
        <w:rPr>
          <w:rFonts w:hint="eastAsia" w:ascii="宋体" w:hAnsi="宋体" w:cs="宋体"/>
          <w:color w:val="auto"/>
        </w:rPr>
      </w:pPr>
    </w:p>
    <w:p>
      <w:pPr>
        <w:pStyle w:val="17"/>
        <w:spacing w:line="360" w:lineRule="auto"/>
        <w:ind w:firstLine="480" w:firstLineChars="200"/>
        <w:jc w:val="right"/>
        <w:rPr>
          <w:rFonts w:hint="eastAsia" w:ascii="宋体" w:hAnsi="宋体" w:cs="宋体"/>
          <w:color w:val="auto"/>
        </w:rPr>
      </w:pPr>
      <w:r>
        <w:rPr>
          <w:rFonts w:hint="eastAsia" w:ascii="宋体" w:hAnsi="宋体" w:cs="宋体"/>
          <w:color w:val="auto"/>
        </w:rPr>
        <w:t>日期：</w:t>
      </w:r>
      <w:r>
        <w:rPr>
          <w:rFonts w:hint="eastAsia" w:ascii="宋体" w:hAnsi="宋体" w:cs="宋体"/>
          <w:u w:val="single"/>
        </w:rPr>
        <w:t xml:space="preserve">      </w:t>
      </w:r>
      <w:r>
        <w:rPr>
          <w:rFonts w:hint="eastAsia" w:ascii="宋体" w:hAnsi="宋体" w:cs="宋体"/>
          <w:color w:val="auto"/>
        </w:rPr>
        <w:t>年</w:t>
      </w:r>
      <w:r>
        <w:rPr>
          <w:rFonts w:hint="eastAsia" w:ascii="宋体" w:hAnsi="宋体" w:cs="宋体"/>
          <w:u w:val="single"/>
        </w:rPr>
        <w:t xml:space="preserve">    </w:t>
      </w:r>
      <w:r>
        <w:rPr>
          <w:rFonts w:hint="eastAsia" w:ascii="宋体" w:hAnsi="宋体" w:cs="宋体"/>
          <w:color w:val="auto"/>
        </w:rPr>
        <w:t>月</w:t>
      </w:r>
      <w:r>
        <w:rPr>
          <w:rFonts w:hint="eastAsia" w:ascii="宋体" w:hAnsi="宋体" w:cs="宋体"/>
          <w:u w:val="single"/>
        </w:rPr>
        <w:t xml:space="preserve">    </w:t>
      </w:r>
      <w:r>
        <w:rPr>
          <w:rFonts w:hint="eastAsia" w:ascii="宋体" w:hAnsi="宋体" w:cs="宋体"/>
          <w:color w:val="auto"/>
        </w:rPr>
        <w:t>日</w:t>
      </w:r>
    </w:p>
    <w:p>
      <w:pPr>
        <w:pStyle w:val="17"/>
        <w:spacing w:line="360" w:lineRule="auto"/>
        <w:ind w:firstLine="482" w:firstLineChars="200"/>
        <w:jc w:val="both"/>
        <w:rPr>
          <w:rFonts w:hint="eastAsia" w:ascii="宋体" w:hAnsi="宋体" w:cs="宋体"/>
          <w:b/>
          <w:bCs/>
          <w:color w:val="auto"/>
        </w:rPr>
      </w:pPr>
    </w:p>
    <w:p>
      <w:pPr>
        <w:pStyle w:val="17"/>
        <w:spacing w:line="360" w:lineRule="auto"/>
        <w:ind w:firstLine="482" w:firstLineChars="200"/>
        <w:jc w:val="both"/>
        <w:rPr>
          <w:rFonts w:hint="eastAsia" w:ascii="宋体" w:hAnsi="宋体" w:cs="宋体"/>
          <w:b/>
          <w:bCs/>
          <w:color w:val="auto"/>
          <w:u w:val="single"/>
        </w:rPr>
      </w:pPr>
    </w:p>
    <w:p>
      <w:pPr>
        <w:jc w:val="center"/>
        <w:outlineLvl w:val="0"/>
        <w:rPr>
          <w:rFonts w:hint="eastAsia" w:ascii="宋体" w:hAnsi="宋体" w:cs="宋体"/>
          <w:b/>
          <w:bCs/>
          <w:sz w:val="44"/>
          <w:szCs w:val="44"/>
        </w:rPr>
      </w:pPr>
      <w:r>
        <w:rPr>
          <w:rFonts w:hint="eastAsia" w:ascii="宋体" w:hAnsi="宋体" w:cs="宋体"/>
          <w:b/>
          <w:bCs/>
          <w:sz w:val="44"/>
          <w:szCs w:val="44"/>
        </w:rPr>
        <w:br w:type="page"/>
      </w:r>
      <w:r>
        <w:rPr>
          <w:rFonts w:hint="eastAsia" w:ascii="宋体" w:hAnsi="宋体" w:cs="宋体"/>
          <w:b/>
          <w:bCs/>
          <w:sz w:val="44"/>
          <w:szCs w:val="44"/>
        </w:rPr>
        <w:t>幸福99金钱包</w:t>
      </w:r>
      <w:r>
        <w:rPr>
          <w:rFonts w:hint="eastAsia" w:ascii="宋体" w:hAnsi="宋体" w:cs="宋体"/>
          <w:b/>
          <w:bCs/>
          <w:sz w:val="44"/>
          <w:szCs w:val="44"/>
          <w:lang w:eastAsia="zh-CN"/>
        </w:rPr>
        <w:t>55号</w:t>
      </w:r>
      <w:r>
        <w:rPr>
          <w:rFonts w:hint="eastAsia" w:ascii="宋体" w:hAnsi="宋体" w:cs="宋体"/>
          <w:b/>
          <w:bCs/>
          <w:sz w:val="44"/>
          <w:szCs w:val="44"/>
        </w:rPr>
        <w:t>理财产品说明书</w:t>
      </w:r>
    </w:p>
    <w:p>
      <w:pPr>
        <w:jc w:val="center"/>
        <w:rPr>
          <w:rFonts w:hint="eastAsia" w:ascii="宋体" w:hAnsi="宋体" w:cs="宋体"/>
          <w:b/>
          <w:bCs/>
          <w:sz w:val="44"/>
          <w:szCs w:val="44"/>
        </w:rPr>
      </w:pPr>
      <w:r>
        <w:rPr>
          <w:rFonts w:hint="eastAsia" w:ascii="宋体" w:hAnsi="宋体" w:cs="宋体"/>
          <w:sz w:val="28"/>
          <w:szCs w:val="28"/>
        </w:rPr>
        <w:t>（202201版）</w:t>
      </w:r>
    </w:p>
    <w:p>
      <w:pPr>
        <w:spacing w:line="360" w:lineRule="auto"/>
        <w:jc w:val="right"/>
        <w:rPr>
          <w:rFonts w:hint="eastAsia" w:ascii="宋体" w:hAnsi="宋体" w:cs="宋体"/>
          <w:bCs/>
        </w:rPr>
      </w:pPr>
      <w:r>
        <w:rPr>
          <w:rFonts w:hint="eastAsia" w:ascii="宋体" w:hAnsi="宋体" w:cs="宋体"/>
          <w:color w:val="000000"/>
        </w:rPr>
        <w:t>备案编号:</w:t>
      </w:r>
      <w:r>
        <w:rPr>
          <w:rFonts w:hint="eastAsia" w:ascii="宋体" w:hAnsi="宋体" w:cs="宋体"/>
          <w:bCs/>
        </w:rPr>
        <w:t>〖</w:t>
      </w:r>
      <w:r>
        <w:rPr>
          <w:rFonts w:hint="eastAsia" w:ascii="宋体" w:hAnsi="宋体" w:eastAsia="宋体" w:cs="宋体"/>
          <w:bCs/>
          <w:kern w:val="2"/>
          <w:sz w:val="24"/>
          <w:szCs w:val="24"/>
          <w:highlight w:val="none"/>
          <w:lang w:val="en-US" w:eastAsia="zh-CN" w:bidi="ar-SA"/>
        </w:rPr>
        <w:t>Z7002225000364</w:t>
      </w:r>
      <w:r>
        <w:rPr>
          <w:rFonts w:hint="eastAsia" w:ascii="宋体" w:hAnsi="宋体" w:cs="宋体"/>
          <w:bCs/>
        </w:rPr>
        <w:t>〗</w:t>
      </w:r>
    </w:p>
    <w:p>
      <w:pPr>
        <w:spacing w:line="360" w:lineRule="auto"/>
        <w:jc w:val="center"/>
        <w:rPr>
          <w:rFonts w:hint="eastAsia" w:ascii="宋体" w:hAnsi="宋体" w:cs="宋体"/>
          <w:bCs/>
        </w:rPr>
      </w:pPr>
    </w:p>
    <w:p>
      <w:pPr>
        <w:numPr>
          <w:ilvl w:val="0"/>
          <w:numId w:val="8"/>
        </w:numPr>
        <w:spacing w:line="360" w:lineRule="auto"/>
        <w:ind w:firstLine="482" w:firstLineChars="200"/>
        <w:jc w:val="left"/>
        <w:outlineLvl w:val="1"/>
        <w:rPr>
          <w:rFonts w:ascii="宋体" w:hAnsi="宋体" w:cs="宋体"/>
          <w:b/>
        </w:rPr>
      </w:pPr>
      <w:r>
        <w:rPr>
          <w:rFonts w:hint="eastAsia" w:ascii="宋体" w:hAnsi="宋体" w:cs="宋体"/>
          <w:b/>
        </w:rPr>
        <w:t>重要须知</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本理财计划不等同于银行存款、预期收益型理财产品或其他产品。</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本理财计划仅向依据中华人民共和国有关法律法规及本理财计划产品说明书规定可以购买本理财计划的投资者发售。</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9"/>
        </w:numPr>
        <w:spacing w:line="360" w:lineRule="auto"/>
        <w:ind w:firstLine="482" w:firstLineChars="200"/>
        <w:jc w:val="left"/>
        <w:outlineLvl w:val="2"/>
        <w:rPr>
          <w:rFonts w:hint="eastAsia" w:ascii="宋体" w:hAnsi="宋体" w:cs="宋体"/>
          <w:bCs/>
        </w:rPr>
      </w:pPr>
      <w:r>
        <w:rPr>
          <w:rFonts w:hint="eastAsia" w:ascii="宋体" w:hAnsi="宋体" w:cs="宋体"/>
          <w:b/>
        </w:rPr>
        <w:t>本理财计划是非保本净值型产品。管理人对本理财计划的本金和收益不提供保证承诺。</w:t>
      </w:r>
      <w:r>
        <w:rPr>
          <w:rFonts w:hint="eastAsia" w:ascii="宋体" w:hAnsi="宋体" w:cs="宋体"/>
          <w:bCs/>
        </w:rPr>
        <w:t>本理财计划主要风险为理财本金及收益风险，在极端市场情况下，投资者将损失本金，请投资者基于自身的独立判断进行投资决策。</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风险揭示书》《投资者权益须知》《理财计划投资协议书》《理财计划销售协议书》，将共同构成投资者与管理人之间的理财计划交易合同。</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投资者在购买本理财计划后，应随时关注本理财计划的信息披露情况，及时获取相关信息。如对本理财计划有任何疑问、异议或意见，请联系管理人或销售机构。</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本理财计划的任何业绩比较基准等类似表述均不具有法律约束性，不代表投资者可能获得的实际收益，不构成管理人对于本理财计划的任何收益承诺。</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管理人及销售机构将依据相关法律、法规严格履行投资者信息保密责任，除监管机构或司法机关等有权机构外，不得对其他第三方商业机构提供任何投资者信息。</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在本理财计划存续期内，如因监管政策或法律法规发生变化，在不损害投资者利益的前提下，管理人有权单方对本理财计划说明书条款进行修订。</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管理人承诺以诚实守信、勤勉尽职的原则，根据本理财计划说明书所载要求管理和运用理财计划资产。</w:t>
      </w:r>
    </w:p>
    <w:p>
      <w:pPr>
        <w:numPr>
          <w:ilvl w:val="0"/>
          <w:numId w:val="9"/>
        </w:numPr>
        <w:spacing w:line="360" w:lineRule="auto"/>
        <w:ind w:firstLine="480" w:firstLineChars="200"/>
        <w:jc w:val="left"/>
        <w:outlineLvl w:val="2"/>
        <w:rPr>
          <w:rFonts w:hint="eastAsia" w:ascii="宋体" w:hAnsi="宋体" w:cs="宋体"/>
          <w:bCs/>
        </w:rPr>
      </w:pPr>
      <w:r>
        <w:rPr>
          <w:rFonts w:hint="eastAsia" w:ascii="宋体" w:hAnsi="宋体" w:cs="宋体"/>
          <w:bCs/>
        </w:rPr>
        <w:t>管理人有权依法对本理财计划产品说明书进行解释。</w:t>
      </w:r>
    </w:p>
    <w:p>
      <w:pPr>
        <w:spacing w:line="360" w:lineRule="auto"/>
        <w:jc w:val="left"/>
        <w:rPr>
          <w:rFonts w:hint="eastAsia" w:ascii="宋体" w:hAnsi="宋体" w:cs="宋体"/>
          <w:bCs/>
        </w:rPr>
      </w:pPr>
    </w:p>
    <w:p>
      <w:pPr>
        <w:numPr>
          <w:ilvl w:val="0"/>
          <w:numId w:val="10"/>
        </w:numPr>
        <w:spacing w:line="360" w:lineRule="auto"/>
        <w:ind w:firstLine="482" w:firstLineChars="200"/>
        <w:jc w:val="left"/>
        <w:outlineLvl w:val="1"/>
        <w:rPr>
          <w:rFonts w:ascii="宋体" w:hAnsi="宋体" w:cs="宋体"/>
          <w:b/>
        </w:rPr>
      </w:pPr>
      <w:r>
        <w:rPr>
          <w:rFonts w:hint="eastAsia" w:ascii="宋体" w:hAnsi="宋体" w:cs="宋体"/>
          <w:b/>
        </w:rPr>
        <w:t>释义</w:t>
      </w:r>
    </w:p>
    <w:p>
      <w:pPr>
        <w:pStyle w:val="17"/>
        <w:adjustRightInd/>
        <w:spacing w:line="360" w:lineRule="auto"/>
        <w:ind w:firstLine="480" w:firstLineChars="200"/>
        <w:rPr>
          <w:rFonts w:hint="eastAsia" w:ascii="宋体" w:hAnsi="宋体" w:cs="宋体"/>
          <w:bCs/>
          <w:color w:val="auto"/>
          <w:kern w:val="2"/>
        </w:rPr>
      </w:pPr>
      <w:r>
        <w:rPr>
          <w:rFonts w:hint="eastAsia" w:ascii="宋体" w:hAnsi="宋体" w:cs="宋体"/>
          <w:bCs/>
          <w:color w:val="auto"/>
          <w:kern w:val="2"/>
        </w:rPr>
        <w:t>本说明书中，除非另有明确说明，否则下列词语或简称具有如下含义：</w:t>
      </w:r>
    </w:p>
    <w:p>
      <w:pPr>
        <w:pStyle w:val="17"/>
        <w:numPr>
          <w:ilvl w:val="0"/>
          <w:numId w:val="11"/>
        </w:numPr>
        <w:adjustRightInd/>
        <w:spacing w:line="360" w:lineRule="auto"/>
        <w:ind w:firstLine="482" w:firstLineChars="200"/>
        <w:outlineLvl w:val="2"/>
        <w:rPr>
          <w:rFonts w:hint="eastAsia" w:ascii="宋体" w:hAnsi="宋体" w:cs="宋体"/>
          <w:b/>
          <w:color w:val="auto"/>
          <w:kern w:val="2"/>
        </w:rPr>
      </w:pPr>
      <w:r>
        <w:rPr>
          <w:rFonts w:hint="eastAsia" w:ascii="宋体" w:hAnsi="宋体" w:cs="宋体"/>
          <w:b/>
          <w:color w:val="auto"/>
          <w:kern w:val="2"/>
        </w:rPr>
        <w:t>参与主体用语</w:t>
      </w:r>
    </w:p>
    <w:p>
      <w:pPr>
        <w:pStyle w:val="17"/>
        <w:numPr>
          <w:ilvl w:val="0"/>
          <w:numId w:val="12"/>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理财计划管理人/产品管理人/管理人/本公司：</w:t>
      </w:r>
      <w:r>
        <w:rPr>
          <w:rFonts w:hint="eastAsia" w:ascii="宋体" w:hAnsi="宋体" w:cs="宋体"/>
          <w:bCs/>
          <w:color w:val="auto"/>
          <w:kern w:val="2"/>
        </w:rPr>
        <w:t>指杭银理财有限责任公司，主要从事面向不特定社会公众公开发行理财产品、面向合格投资者非公开发行理财产品、理财顾问和咨询服务等相关业务。杭银理财有限责任公司简称杭银理财，官网网站为https://</w:t>
      </w:r>
      <w:r>
        <w:rPr>
          <w:rFonts w:hint="eastAsia" w:ascii="宋体" w:hAnsi="宋体" w:cs="宋体"/>
          <w:bCs/>
          <w:color w:val="auto"/>
          <w:kern w:val="2"/>
        </w:rPr>
        <w:fldChar w:fldCharType="begin"/>
      </w:r>
      <w:r>
        <w:rPr>
          <w:rFonts w:hint="eastAsia" w:ascii="宋体" w:hAnsi="宋体" w:cs="宋体"/>
          <w:bCs/>
          <w:color w:val="auto"/>
          <w:kern w:val="2"/>
        </w:rPr>
        <w:instrText xml:space="preserve"> HYPERLINK "http://www.hzbank.com.cn" </w:instrText>
      </w:r>
      <w:r>
        <w:rPr>
          <w:rFonts w:hint="eastAsia" w:ascii="宋体" w:hAnsi="宋体" w:cs="宋体"/>
          <w:bCs/>
          <w:color w:val="auto"/>
          <w:kern w:val="2"/>
        </w:rPr>
        <w:fldChar w:fldCharType="separate"/>
      </w:r>
      <w:r>
        <w:rPr>
          <w:rFonts w:hint="eastAsia" w:ascii="宋体" w:hAnsi="宋体" w:cs="宋体"/>
          <w:bCs/>
          <w:color w:val="auto"/>
          <w:kern w:val="2"/>
        </w:rPr>
        <w:t>www.hzbankwealth.com.cn</w:t>
      </w:r>
      <w:r>
        <w:rPr>
          <w:rFonts w:hint="eastAsia" w:ascii="宋体" w:hAnsi="宋体" w:cs="宋体"/>
          <w:bCs/>
          <w:color w:val="auto"/>
          <w:kern w:val="2"/>
        </w:rPr>
        <w:fldChar w:fldCharType="end"/>
      </w:r>
      <w:r>
        <w:rPr>
          <w:rFonts w:hint="eastAsia" w:ascii="宋体" w:hAnsi="宋体" w:cs="宋体"/>
          <w:bCs/>
          <w:color w:val="auto"/>
          <w:kern w:val="2"/>
        </w:rPr>
        <w:t>。</w:t>
      </w:r>
    </w:p>
    <w:p>
      <w:pPr>
        <w:pStyle w:val="17"/>
        <w:numPr>
          <w:ilvl w:val="0"/>
          <w:numId w:val="12"/>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销售机构：</w:t>
      </w:r>
      <w:r>
        <w:rPr>
          <w:rFonts w:hint="eastAsia" w:ascii="宋体" w:hAnsi="宋体" w:cs="宋体"/>
          <w:bCs/>
          <w:color w:val="auto"/>
          <w:kern w:val="2"/>
        </w:rPr>
        <w:t>指银行业金融机构或者国务院银行业监督管理机构认可的其他机构，可代为办理理财产品销售业务。</w:t>
      </w:r>
    </w:p>
    <w:p>
      <w:pPr>
        <w:pStyle w:val="17"/>
        <w:numPr>
          <w:ilvl w:val="0"/>
          <w:numId w:val="12"/>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理财计划托管人/产品托管人/托管人：</w:t>
      </w:r>
      <w:r>
        <w:rPr>
          <w:rFonts w:hint="eastAsia" w:ascii="宋体" w:hAnsi="宋体" w:cs="宋体"/>
          <w:bCs/>
          <w:color w:val="auto"/>
          <w:kern w:val="2"/>
        </w:rPr>
        <w:t>指</w:t>
      </w:r>
      <w:r>
        <w:rPr>
          <w:rFonts w:hint="eastAsia" w:ascii="宋体" w:hAnsi="宋体" w:cs="宋体"/>
        </w:rPr>
        <w:t>〖</w:t>
      </w:r>
      <w:r>
        <w:rPr>
          <w:rFonts w:hint="eastAsia" w:ascii="宋体" w:hAnsi="宋体" w:cs="宋体"/>
          <w:bCs/>
          <w:color w:val="auto"/>
          <w:kern w:val="2"/>
        </w:rPr>
        <w:t>杭州银行股份有限公司</w:t>
      </w:r>
      <w:r>
        <w:rPr>
          <w:rFonts w:hint="eastAsia" w:ascii="宋体" w:hAnsi="宋体" w:cs="宋体"/>
        </w:rPr>
        <w:t>〗</w:t>
      </w:r>
      <w:r>
        <w:rPr>
          <w:rFonts w:hint="eastAsia" w:ascii="宋体" w:hAnsi="宋体" w:cs="宋体"/>
          <w:bCs/>
          <w:color w:val="auto"/>
          <w:kern w:val="2"/>
        </w:rPr>
        <w:t>。</w:t>
      </w:r>
    </w:p>
    <w:p>
      <w:pPr>
        <w:pStyle w:val="17"/>
        <w:numPr>
          <w:ilvl w:val="0"/>
          <w:numId w:val="12"/>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认购人：</w:t>
      </w:r>
      <w:r>
        <w:rPr>
          <w:rFonts w:hint="eastAsia" w:ascii="宋体" w:hAnsi="宋体" w:cs="宋体"/>
          <w:bCs/>
          <w:color w:val="auto"/>
          <w:kern w:val="2"/>
        </w:rPr>
        <w:t>指在理财计划认购期间签署理财计划合同并向理财计划管理人交付认购资金的个人、机构投资者。</w:t>
      </w:r>
    </w:p>
    <w:p>
      <w:pPr>
        <w:pStyle w:val="17"/>
        <w:numPr>
          <w:ilvl w:val="0"/>
          <w:numId w:val="12"/>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理财计划份额持有人/持有人：</w:t>
      </w:r>
      <w:r>
        <w:rPr>
          <w:rFonts w:hint="eastAsia" w:ascii="宋体" w:hAnsi="宋体" w:cs="宋体"/>
          <w:bCs/>
          <w:color w:val="auto"/>
          <w:kern w:val="2"/>
        </w:rPr>
        <w:t>指认购/申购申请后，经过管理人确认成功后，从而持有理财计划份额的投资者。</w:t>
      </w:r>
    </w:p>
    <w:p>
      <w:pPr>
        <w:pStyle w:val="17"/>
        <w:numPr>
          <w:ilvl w:val="0"/>
          <w:numId w:val="12"/>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监管机构：</w:t>
      </w:r>
      <w:r>
        <w:rPr>
          <w:rFonts w:hint="eastAsia" w:ascii="宋体" w:hAnsi="宋体" w:cs="宋体"/>
          <w:bCs/>
          <w:color w:val="auto"/>
          <w:kern w:val="2"/>
        </w:rPr>
        <w:t>指对管理人（包括本理财计划管理人、所投资的的信托计划/资管计划的管理人/受托人、相关投资顾问等）实施监督管理的机构，包括但不限于中国人民银行、国家金融监督管理总局、中国证券监督管理委员会、外汇管理局、银行业理财登记托管中心等。</w:t>
      </w:r>
    </w:p>
    <w:p>
      <w:pPr>
        <w:pStyle w:val="17"/>
        <w:numPr>
          <w:ilvl w:val="0"/>
          <w:numId w:val="11"/>
        </w:numPr>
        <w:adjustRightInd/>
        <w:spacing w:line="360" w:lineRule="auto"/>
        <w:ind w:firstLine="482" w:firstLineChars="200"/>
        <w:outlineLvl w:val="2"/>
        <w:rPr>
          <w:rFonts w:hint="eastAsia" w:ascii="宋体" w:hAnsi="宋体" w:cs="宋体"/>
          <w:b/>
          <w:color w:val="auto"/>
          <w:kern w:val="2"/>
        </w:rPr>
      </w:pPr>
      <w:r>
        <w:rPr>
          <w:rFonts w:hint="eastAsia" w:ascii="宋体" w:hAnsi="宋体" w:cs="宋体"/>
          <w:b/>
          <w:color w:val="auto"/>
          <w:kern w:val="2"/>
        </w:rPr>
        <w:t>法律文件用语</w:t>
      </w:r>
    </w:p>
    <w:p>
      <w:pPr>
        <w:pStyle w:val="17"/>
        <w:numPr>
          <w:ilvl w:val="0"/>
          <w:numId w:val="13"/>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理财计划说明书/产品说明书：</w:t>
      </w:r>
      <w:r>
        <w:rPr>
          <w:rFonts w:hint="eastAsia" w:ascii="宋体" w:hAnsi="宋体" w:cs="宋体"/>
          <w:bCs/>
          <w:color w:val="auto"/>
          <w:kern w:val="2"/>
        </w:rPr>
        <w:t>指《幸福99金钱包</w:t>
      </w:r>
      <w:r>
        <w:rPr>
          <w:rFonts w:hint="eastAsia" w:ascii="宋体" w:hAnsi="宋体" w:cs="宋体"/>
          <w:bCs/>
          <w:color w:val="auto"/>
          <w:kern w:val="2"/>
          <w:lang w:eastAsia="zh-CN"/>
        </w:rPr>
        <w:t>55号</w:t>
      </w:r>
      <w:r>
        <w:rPr>
          <w:rFonts w:hint="eastAsia" w:ascii="宋体" w:hAnsi="宋体" w:cs="宋体"/>
          <w:bCs/>
          <w:color w:val="auto"/>
          <w:kern w:val="2"/>
        </w:rPr>
        <w:t>理财</w:t>
      </w:r>
      <w:r>
        <w:rPr>
          <w:rFonts w:hint="eastAsia" w:ascii="宋体" w:hAnsi="宋体" w:cs="宋体"/>
          <w:bCs/>
        </w:rPr>
        <w:t>产品说明书</w:t>
      </w:r>
      <w:r>
        <w:rPr>
          <w:rFonts w:hint="eastAsia" w:ascii="宋体" w:hAnsi="宋体" w:cs="宋体"/>
          <w:bCs/>
          <w:color w:val="auto"/>
          <w:kern w:val="2"/>
        </w:rPr>
        <w:t>》，以及对该文件的有效修改与补充。</w:t>
      </w:r>
    </w:p>
    <w:p>
      <w:pPr>
        <w:pStyle w:val="17"/>
        <w:numPr>
          <w:ilvl w:val="0"/>
          <w:numId w:val="13"/>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风险揭示书：</w:t>
      </w:r>
      <w:r>
        <w:rPr>
          <w:rFonts w:hint="eastAsia" w:ascii="宋体" w:hAnsi="宋体" w:cs="宋体"/>
          <w:bCs/>
          <w:color w:val="auto"/>
          <w:kern w:val="2"/>
        </w:rPr>
        <w:t>指作为幸福99金钱包</w:t>
      </w:r>
      <w:r>
        <w:rPr>
          <w:rFonts w:hint="eastAsia" w:ascii="宋体" w:hAnsi="宋体" w:cs="宋体"/>
          <w:bCs/>
          <w:color w:val="auto"/>
          <w:kern w:val="2"/>
          <w:lang w:eastAsia="zh-CN"/>
        </w:rPr>
        <w:t>55号</w:t>
      </w:r>
      <w:r>
        <w:rPr>
          <w:rFonts w:hint="eastAsia" w:ascii="宋体" w:hAnsi="宋体" w:cs="宋体"/>
          <w:bCs/>
          <w:color w:val="auto"/>
          <w:kern w:val="2"/>
        </w:rPr>
        <w:t>理财</w:t>
      </w:r>
      <w:r>
        <w:rPr>
          <w:rFonts w:hint="eastAsia" w:ascii="宋体" w:hAnsi="宋体" w:cs="宋体"/>
          <w:bCs/>
        </w:rPr>
        <w:t>合同不可分割组成部分的风险揭示书，</w:t>
      </w:r>
      <w:r>
        <w:rPr>
          <w:rFonts w:hint="eastAsia" w:ascii="宋体" w:hAnsi="宋体" w:cs="宋体"/>
          <w:bCs/>
          <w:color w:val="auto"/>
          <w:kern w:val="2"/>
        </w:rPr>
        <w:t>以及对该文件的有效修改与补充。</w:t>
      </w:r>
    </w:p>
    <w:p>
      <w:pPr>
        <w:pStyle w:val="17"/>
        <w:numPr>
          <w:ilvl w:val="0"/>
          <w:numId w:val="13"/>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投资者权益须知：</w:t>
      </w:r>
      <w:r>
        <w:rPr>
          <w:rFonts w:hint="eastAsia" w:ascii="宋体" w:hAnsi="宋体" w:cs="宋体"/>
          <w:bCs/>
          <w:color w:val="auto"/>
          <w:kern w:val="2"/>
        </w:rPr>
        <w:t>指作为幸福99金钱包</w:t>
      </w:r>
      <w:r>
        <w:rPr>
          <w:rFonts w:hint="eastAsia" w:ascii="宋体" w:hAnsi="宋体" w:cs="宋体"/>
          <w:bCs/>
          <w:color w:val="auto"/>
          <w:kern w:val="2"/>
          <w:lang w:eastAsia="zh-CN"/>
        </w:rPr>
        <w:t>55号</w:t>
      </w:r>
      <w:r>
        <w:rPr>
          <w:rFonts w:hint="eastAsia" w:ascii="宋体" w:hAnsi="宋体" w:cs="宋体"/>
          <w:bCs/>
          <w:color w:val="auto"/>
          <w:kern w:val="2"/>
        </w:rPr>
        <w:t>理财</w:t>
      </w:r>
      <w:r>
        <w:rPr>
          <w:rFonts w:hint="eastAsia" w:ascii="宋体" w:hAnsi="宋体" w:cs="宋体"/>
          <w:bCs/>
        </w:rPr>
        <w:t>合同不可分割组成部分的投资者权益须知，</w:t>
      </w:r>
      <w:r>
        <w:rPr>
          <w:rFonts w:hint="eastAsia" w:ascii="宋体" w:hAnsi="宋体" w:cs="宋体"/>
          <w:bCs/>
          <w:color w:val="auto"/>
          <w:kern w:val="2"/>
        </w:rPr>
        <w:t>以及对该文件的有效修改与补充。</w:t>
      </w:r>
    </w:p>
    <w:p>
      <w:pPr>
        <w:pStyle w:val="17"/>
        <w:numPr>
          <w:ilvl w:val="0"/>
          <w:numId w:val="13"/>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理财计划投资协议书：</w:t>
      </w:r>
      <w:r>
        <w:rPr>
          <w:rFonts w:hint="eastAsia" w:ascii="宋体" w:hAnsi="宋体" w:cs="宋体"/>
          <w:bCs/>
          <w:color w:val="auto"/>
          <w:kern w:val="2"/>
        </w:rPr>
        <w:t>指作为幸福99金钱包</w:t>
      </w:r>
      <w:r>
        <w:rPr>
          <w:rFonts w:hint="eastAsia" w:ascii="宋体" w:hAnsi="宋体" w:cs="宋体"/>
          <w:bCs/>
          <w:color w:val="auto"/>
          <w:kern w:val="2"/>
          <w:lang w:eastAsia="zh-CN"/>
        </w:rPr>
        <w:t>55号</w:t>
      </w:r>
      <w:r>
        <w:rPr>
          <w:rFonts w:hint="eastAsia" w:ascii="宋体" w:hAnsi="宋体" w:cs="宋体"/>
          <w:bCs/>
          <w:color w:val="auto"/>
          <w:kern w:val="2"/>
        </w:rPr>
        <w:t>理财</w:t>
      </w:r>
      <w:r>
        <w:rPr>
          <w:rFonts w:hint="eastAsia" w:ascii="宋体" w:hAnsi="宋体" w:cs="宋体"/>
          <w:bCs/>
        </w:rPr>
        <w:t>合同不可分割组成部分的理财计划投资协议书，</w:t>
      </w:r>
      <w:r>
        <w:rPr>
          <w:rFonts w:hint="eastAsia" w:ascii="宋体" w:hAnsi="宋体" w:cs="宋体"/>
          <w:bCs/>
          <w:color w:val="auto"/>
          <w:kern w:val="2"/>
        </w:rPr>
        <w:t>以及对该文件的有效修改与补充。</w:t>
      </w:r>
    </w:p>
    <w:p>
      <w:pPr>
        <w:pStyle w:val="17"/>
        <w:numPr>
          <w:ilvl w:val="0"/>
          <w:numId w:val="13"/>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理财计划销售协议书：</w:t>
      </w:r>
      <w:r>
        <w:rPr>
          <w:rFonts w:hint="eastAsia" w:ascii="宋体" w:hAnsi="宋体" w:cs="宋体"/>
          <w:bCs/>
          <w:color w:val="auto"/>
          <w:kern w:val="2"/>
        </w:rPr>
        <w:t>指作为幸福99金钱包</w:t>
      </w:r>
      <w:r>
        <w:rPr>
          <w:rFonts w:hint="eastAsia" w:ascii="宋体" w:hAnsi="宋体" w:cs="宋体"/>
          <w:bCs/>
          <w:color w:val="auto"/>
          <w:kern w:val="2"/>
          <w:lang w:eastAsia="zh-CN"/>
        </w:rPr>
        <w:t>55号</w:t>
      </w:r>
      <w:r>
        <w:rPr>
          <w:rFonts w:hint="eastAsia" w:ascii="宋体" w:hAnsi="宋体" w:cs="宋体"/>
          <w:bCs/>
          <w:color w:val="auto"/>
          <w:kern w:val="2"/>
        </w:rPr>
        <w:t>理财合同不可分割组成部分的理财计划销售协议书，以及对该文件的有效修改与补充。</w:t>
      </w:r>
    </w:p>
    <w:p>
      <w:pPr>
        <w:pStyle w:val="17"/>
        <w:numPr>
          <w:ilvl w:val="0"/>
          <w:numId w:val="13"/>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理财计划合同/销售文件：</w:t>
      </w:r>
      <w:r>
        <w:rPr>
          <w:rFonts w:hint="eastAsia" w:ascii="宋体" w:hAnsi="宋体" w:cs="宋体"/>
          <w:bCs/>
          <w:color w:val="auto"/>
          <w:kern w:val="2"/>
        </w:rPr>
        <w:t>指《理财计划风险揭示书》《理财计划产品说明书》《投资者权益须知》《理财计划投资协议书》《理财计划销售协议书》五个部分。</w:t>
      </w:r>
    </w:p>
    <w:p>
      <w:pPr>
        <w:pStyle w:val="17"/>
        <w:numPr>
          <w:ilvl w:val="0"/>
          <w:numId w:val="11"/>
        </w:numPr>
        <w:adjustRightInd/>
        <w:spacing w:line="360" w:lineRule="auto"/>
        <w:ind w:firstLine="482" w:firstLineChars="200"/>
        <w:outlineLvl w:val="2"/>
        <w:rPr>
          <w:rFonts w:hint="eastAsia" w:ascii="宋体" w:hAnsi="宋体" w:cs="宋体"/>
          <w:b/>
          <w:color w:val="auto"/>
          <w:kern w:val="2"/>
        </w:rPr>
      </w:pPr>
      <w:r>
        <w:rPr>
          <w:rFonts w:hint="eastAsia" w:ascii="宋体" w:hAnsi="宋体" w:cs="宋体"/>
          <w:b/>
          <w:color w:val="auto"/>
          <w:kern w:val="2"/>
        </w:rPr>
        <w:t>理财产品用语</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理财计划/理财产品/产品：</w:t>
      </w:r>
      <w:r>
        <w:rPr>
          <w:rFonts w:hint="eastAsia" w:ascii="宋体" w:hAnsi="宋体" w:cs="宋体"/>
          <w:bCs/>
          <w:color w:val="auto"/>
          <w:kern w:val="2"/>
        </w:rPr>
        <w:t>指幸福99金钱包</w:t>
      </w:r>
      <w:r>
        <w:rPr>
          <w:rFonts w:hint="eastAsia" w:ascii="宋体" w:hAnsi="宋体" w:cs="宋体"/>
          <w:bCs/>
          <w:color w:val="auto"/>
          <w:kern w:val="2"/>
          <w:lang w:eastAsia="zh-CN"/>
        </w:rPr>
        <w:t>55号</w:t>
      </w:r>
      <w:r>
        <w:rPr>
          <w:rFonts w:hint="eastAsia" w:ascii="宋体" w:hAnsi="宋体" w:cs="宋体"/>
          <w:bCs/>
          <w:color w:val="auto"/>
          <w:kern w:val="2"/>
        </w:rPr>
        <w:t>理财</w:t>
      </w:r>
      <w:r>
        <w:rPr>
          <w:rFonts w:hint="eastAsia" w:ascii="宋体" w:hAnsi="宋体" w:cs="宋体"/>
          <w:bCs/>
        </w:rPr>
        <w:t>。</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rPr>
        <w:t>理财计划份额/产品份额：</w:t>
      </w:r>
      <w:r>
        <w:rPr>
          <w:rFonts w:hint="eastAsia" w:ascii="宋体" w:hAnsi="宋体" w:cs="宋体"/>
          <w:bCs/>
        </w:rPr>
        <w:t>指管理人根据理财计划合同向投资者发行的资产收益凭证。理财计划份额持有人基于其所持有的理财计划份额享有理财计划相关利益、承担理财计划相关风险。</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rPr>
        <w:t>理财计划份额净值/产品份额净值：</w:t>
      </w:r>
      <w:r>
        <w:rPr>
          <w:rFonts w:hint="eastAsia" w:ascii="宋体" w:hAnsi="宋体" w:cs="宋体"/>
          <w:bCs/>
        </w:rPr>
        <w:t>指理财计划份额的单位净值，即每1份理财计划份额以人民币或外币（以产品说明书交易币种为准）计价的价格。</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rPr>
        <w:t>理财计划份额累计净值/产品份额累计净值：</w:t>
      </w:r>
      <w:r>
        <w:rPr>
          <w:rFonts w:hint="eastAsia" w:ascii="宋体" w:hAnsi="宋体" w:cs="宋体"/>
          <w:bCs/>
        </w:rPr>
        <w:t>指理财计划份额的单位净值与理财计划成立后历次累计单位收益分配的总和。</w:t>
      </w:r>
    </w:p>
    <w:p>
      <w:pPr>
        <w:pStyle w:val="17"/>
        <w:numPr>
          <w:ilvl w:val="0"/>
          <w:numId w:val="14"/>
        </w:numPr>
        <w:adjustRightInd/>
        <w:spacing w:line="360" w:lineRule="auto"/>
        <w:ind w:firstLine="482" w:firstLineChars="200"/>
        <w:rPr>
          <w:rFonts w:hint="eastAsia" w:ascii="宋体" w:hAnsi="宋体" w:cs="宋体"/>
          <w:b/>
        </w:rPr>
      </w:pPr>
      <w:r>
        <w:rPr>
          <w:rFonts w:hint="eastAsia" w:ascii="宋体" w:hAnsi="宋体" w:cs="宋体"/>
          <w:b/>
        </w:rPr>
        <w:t>工作日：</w:t>
      </w:r>
      <w:r>
        <w:rPr>
          <w:rFonts w:hint="eastAsia" w:ascii="宋体" w:hAnsi="宋体" w:cs="宋体"/>
          <w:bCs/>
        </w:rPr>
        <w:t>指除国家法定节假日和休息日外的日期。</w:t>
      </w:r>
    </w:p>
    <w:p>
      <w:pPr>
        <w:pStyle w:val="17"/>
        <w:numPr>
          <w:ilvl w:val="0"/>
          <w:numId w:val="14"/>
        </w:numPr>
        <w:adjustRightInd/>
        <w:spacing w:line="360" w:lineRule="auto"/>
        <w:ind w:firstLine="482" w:firstLineChars="200"/>
        <w:rPr>
          <w:rFonts w:hint="eastAsia" w:ascii="宋体" w:hAnsi="宋体" w:cs="宋体"/>
          <w:b/>
        </w:rPr>
      </w:pPr>
      <w:r>
        <w:rPr>
          <w:rFonts w:hint="eastAsia" w:ascii="宋体" w:hAnsi="宋体" w:cs="宋体"/>
          <w:b/>
        </w:rPr>
        <w:t>交易日：</w:t>
      </w:r>
      <w:r>
        <w:rPr>
          <w:rFonts w:hint="eastAsia" w:ascii="宋体" w:hAnsi="宋体" w:cs="宋体"/>
          <w:bCs/>
        </w:rPr>
        <w:t>指上海证券交易所、深圳证券交易所的正常交易日。</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rPr>
        <w:t>成立日：</w:t>
      </w:r>
      <w:r>
        <w:rPr>
          <w:rFonts w:hint="eastAsia" w:ascii="宋体" w:hAnsi="宋体" w:cs="宋体"/>
          <w:bCs/>
        </w:rPr>
        <w:t>指理财计划完成首次募集发行后正式成立运作日。</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认购期：</w:t>
      </w:r>
      <w:r>
        <w:rPr>
          <w:rFonts w:hint="eastAsia" w:ascii="宋体" w:hAnsi="宋体" w:cs="宋体"/>
          <w:bCs/>
          <w:color w:val="auto"/>
          <w:kern w:val="2"/>
        </w:rPr>
        <w:t>指理财计划成立前，理财计划管理人接受理财计划认购的时间。</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封闭期：</w:t>
      </w:r>
      <w:r>
        <w:rPr>
          <w:rFonts w:hint="eastAsia" w:ascii="宋体" w:hAnsi="宋体" w:cs="宋体"/>
          <w:bCs/>
          <w:color w:val="auto"/>
          <w:kern w:val="2"/>
        </w:rPr>
        <w:t>指理财计划成立后，理财计划不接受投资者申购赎回的时间。</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建仓期：</w:t>
      </w:r>
      <w:r>
        <w:rPr>
          <w:rFonts w:hint="eastAsia" w:ascii="宋体" w:hAnsi="宋体" w:cs="宋体"/>
          <w:bCs/>
          <w:color w:val="auto"/>
          <w:kern w:val="2"/>
        </w:rPr>
        <w:t>指理财计划成立后，在一定期限内投资比例无法满足本理财计划约定的投资比例要求。</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投资周期：</w:t>
      </w:r>
      <w:r>
        <w:rPr>
          <w:rFonts w:hint="eastAsia" w:ascii="宋体" w:hAnsi="宋体" w:cs="宋体"/>
          <w:bCs/>
          <w:color w:val="auto"/>
          <w:kern w:val="2"/>
        </w:rPr>
        <w:t>指理财计划成立或申购/赎回开放期确认后，至下一个申购/赎回开放期确认前的时间。如申购和赎回开放期确认时间不一致，应明确以申购投资周期或赎回投资周期作为理财计划的投资周期。</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到期日：</w:t>
      </w:r>
      <w:r>
        <w:rPr>
          <w:rFonts w:hint="eastAsia" w:ascii="宋体" w:hAnsi="宋体" w:cs="宋体"/>
          <w:bCs/>
          <w:color w:val="auto"/>
          <w:kern w:val="2"/>
        </w:rPr>
        <w:t>指理财计划终止运作的日期。</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收益分配基准日：</w:t>
      </w:r>
      <w:r>
        <w:rPr>
          <w:rFonts w:hint="eastAsia" w:ascii="宋体" w:hAnsi="宋体" w:cs="宋体"/>
          <w:bCs/>
          <w:color w:val="auto"/>
          <w:kern w:val="2"/>
        </w:rPr>
        <w:t>指理财计划进行收益分配时用以确认分配收益金额的最终确认日期。</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节假日临时调整：</w:t>
      </w:r>
      <w:r>
        <w:rPr>
          <w:rFonts w:hint="eastAsia" w:ascii="宋体" w:hAnsi="宋体" w:cs="宋体"/>
          <w:bCs/>
          <w:color w:val="auto"/>
          <w:kern w:val="2"/>
        </w:rPr>
        <w:t>如因国家相关主管部门临时调整节假日安排，导致原定成立日、到期日、估值日、申购和赎回开放期等日期安排发生变化的，原则上采用顺延方式对原定日期进行调整，如有特殊安排，以管理人对外披露的公告为准。</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提前终止权：</w:t>
      </w:r>
      <w:r>
        <w:rPr>
          <w:rFonts w:hint="eastAsia" w:ascii="宋体" w:hAnsi="宋体" w:cs="宋体"/>
          <w:bCs/>
        </w:rPr>
        <w:t>指在本理财计划存续期内，管理人单方面决定全部提前终止本理财计划的权利。</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提前终止日：</w:t>
      </w:r>
      <w:r>
        <w:rPr>
          <w:rFonts w:hint="eastAsia" w:ascii="宋体" w:hAnsi="宋体" w:cs="宋体"/>
          <w:bCs/>
          <w:color w:val="auto"/>
          <w:kern w:val="2"/>
        </w:rPr>
        <w:t>指</w:t>
      </w:r>
      <w:r>
        <w:rPr>
          <w:rFonts w:hint="eastAsia" w:ascii="宋体" w:hAnsi="宋体" w:cs="宋体"/>
          <w:bCs/>
        </w:rPr>
        <w:t>管理人行使提前终止权的日期，即本理财计划被提前终止、开始停止计算收益的日期。</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资金到账日：</w:t>
      </w:r>
      <w:r>
        <w:rPr>
          <w:rFonts w:hint="eastAsia" w:ascii="宋体" w:hAnsi="宋体" w:cs="宋体"/>
          <w:bCs/>
        </w:rPr>
        <w:t>指理财计划终止运作后，资金返还至投资者账户的日期。</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开放日：</w:t>
      </w:r>
      <w:r>
        <w:rPr>
          <w:rFonts w:hint="eastAsia" w:ascii="宋体" w:hAnsi="宋体" w:cs="宋体"/>
          <w:bCs/>
          <w:color w:val="auto"/>
          <w:kern w:val="2"/>
        </w:rPr>
        <w:t>指为投资者办理申购、赎回交易的日期。</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确认日：</w:t>
      </w:r>
      <w:r>
        <w:rPr>
          <w:rFonts w:hint="eastAsia" w:ascii="宋体" w:hAnsi="宋体" w:cs="宋体"/>
          <w:bCs/>
          <w:color w:val="auto"/>
          <w:kern w:val="2"/>
        </w:rPr>
        <w:t>指管理人确认投资者申购、赎回交易是否有效的日期。</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认购：</w:t>
      </w:r>
      <w:r>
        <w:rPr>
          <w:rFonts w:hint="eastAsia" w:ascii="宋体" w:hAnsi="宋体" w:cs="宋体"/>
          <w:bCs/>
          <w:color w:val="auto"/>
          <w:kern w:val="2"/>
        </w:rPr>
        <w:t>指投资者根据理财计划约定申请购买本理财计划份额的行为。</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申购：</w:t>
      </w:r>
      <w:r>
        <w:rPr>
          <w:rFonts w:hint="eastAsia" w:ascii="宋体" w:hAnsi="宋体" w:cs="宋体"/>
          <w:bCs/>
          <w:color w:val="auto"/>
          <w:kern w:val="2"/>
        </w:rPr>
        <w:t>指理财计划申购开放期内，投资者向管理人进行理财计划份额购买的行为。</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赎回：</w:t>
      </w:r>
      <w:r>
        <w:rPr>
          <w:rFonts w:hint="eastAsia" w:ascii="宋体" w:hAnsi="宋体" w:cs="宋体"/>
          <w:bCs/>
          <w:color w:val="auto"/>
          <w:kern w:val="2"/>
        </w:rPr>
        <w:t>指理财计划赎回开放期内，投资者向管理人进行理财计划份额卖出的行为。</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收益分配：</w:t>
      </w:r>
      <w:r>
        <w:rPr>
          <w:rFonts w:hint="eastAsia" w:ascii="宋体" w:hAnsi="宋体" w:cs="宋体"/>
          <w:bCs/>
          <w:color w:val="auto"/>
          <w:kern w:val="2"/>
        </w:rPr>
        <w:t>指管理人在满足收益分配基准日理财计划份额净值大于1元的情况下，定期或不定期将大于1元部分的收益进行全部或部分分配的行为。</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rPr>
        <w:t>理财计划费用/产品费用：</w:t>
      </w:r>
      <w:r>
        <w:rPr>
          <w:rFonts w:hint="eastAsia" w:ascii="宋体" w:hAnsi="宋体" w:cs="宋体"/>
          <w:bCs/>
        </w:rPr>
        <w:t>指管理人为成立理财计划及处理理财计划事务而支出的所有费用，包括但不限于管理人收取的固定管理费、浮动管理费、销售机构收取的销售服务费、托管人收取的托管费、交易费用、执行费用等相关费用，具体以实际发生为准。</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rPr>
        <w:t>其他费用：</w:t>
      </w:r>
      <w:r>
        <w:rPr>
          <w:rFonts w:hint="eastAsia" w:ascii="宋体" w:hAnsi="宋体" w:cs="宋体"/>
          <w:bCs/>
        </w:rPr>
        <w:t>指除理财计划费用以外，理财计划涉及的其他相关费用，包括但不限于认购费、申购费、赎回费、投顾费等，具体以本说明书第八条约定为准。</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rPr>
        <w:t>理财计划估值：</w:t>
      </w:r>
      <w:r>
        <w:rPr>
          <w:rFonts w:hint="eastAsia" w:ascii="宋体" w:hAnsi="宋体" w:cs="宋体"/>
          <w:bCs/>
        </w:rPr>
        <w:t>指计算评估理财计划资产以确定理财计划份额净值的过程。</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理财业绩比较基准：</w:t>
      </w:r>
      <w:r>
        <w:rPr>
          <w:rFonts w:hint="eastAsia" w:ascii="宋体" w:hAnsi="宋体" w:cs="宋体"/>
          <w:bCs/>
          <w:color w:val="auto"/>
          <w:kern w:val="2"/>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指定账户：</w:t>
      </w:r>
      <w:r>
        <w:rPr>
          <w:rFonts w:hint="eastAsia" w:ascii="宋体" w:hAnsi="宋体" w:cs="宋体"/>
          <w:bCs/>
          <w:color w:val="auto"/>
          <w:kern w:val="2"/>
        </w:rPr>
        <w:t>指投资者开立的，在理财计划认/申购时指定扣划本金、返还本金或收益的银行账户。</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流</w:t>
      </w:r>
      <w:r>
        <w:rPr>
          <w:rFonts w:hint="eastAsia"/>
          <w:b/>
        </w:rPr>
        <w:t>动性受限资产：</w:t>
      </w:r>
      <w:r>
        <w:rPr>
          <w:rFonts w:hint="eastAsia"/>
        </w:rPr>
        <w:t>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4"/>
        </w:numPr>
        <w:adjustRightInd/>
        <w:spacing w:line="360" w:lineRule="auto"/>
        <w:ind w:firstLine="482" w:firstLineChars="200"/>
        <w:rPr>
          <w:rFonts w:hint="eastAsia" w:ascii="宋体" w:hAnsi="宋体" w:cs="宋体"/>
          <w:b/>
          <w:color w:val="auto"/>
          <w:kern w:val="2"/>
        </w:rPr>
      </w:pPr>
      <w:r>
        <w:rPr>
          <w:rFonts w:hint="eastAsia"/>
          <w:b/>
          <w:bCs/>
        </w:rPr>
        <w:t>7个工作日可变现资产：</w:t>
      </w:r>
      <w:r>
        <w:rPr>
          <w:rFonts w:hint="eastAsia"/>
        </w:rPr>
        <w:t>包括但不限于可在交易所、银行间市场正常交易的股票、债券、非金融企业债务融资工具、期货及期权合约以及同业存单，7个工作日内到期或可支取的买入返售、银行存款，7个工作日内能够确认收到的各类应收款项等。</w:t>
      </w:r>
    </w:p>
    <w:p>
      <w:pPr>
        <w:pStyle w:val="17"/>
        <w:numPr>
          <w:ilvl w:val="0"/>
          <w:numId w:val="11"/>
        </w:numPr>
        <w:adjustRightInd/>
        <w:spacing w:line="360" w:lineRule="auto"/>
        <w:ind w:firstLine="482" w:firstLineChars="200"/>
        <w:outlineLvl w:val="2"/>
        <w:rPr>
          <w:rFonts w:hint="eastAsia" w:ascii="宋体" w:hAnsi="宋体" w:cs="宋体"/>
          <w:b/>
          <w:color w:val="auto"/>
          <w:kern w:val="2"/>
        </w:rPr>
      </w:pPr>
      <w:r>
        <w:rPr>
          <w:rFonts w:hint="eastAsia" w:ascii="宋体" w:hAnsi="宋体" w:cs="宋体"/>
          <w:b/>
          <w:color w:val="auto"/>
          <w:kern w:val="2"/>
        </w:rPr>
        <w:t>相关事件用语</w:t>
      </w:r>
    </w:p>
    <w:p>
      <w:pPr>
        <w:pStyle w:val="17"/>
        <w:numPr>
          <w:ilvl w:val="0"/>
          <w:numId w:val="15"/>
        </w:numPr>
        <w:adjustRightInd/>
        <w:spacing w:line="360" w:lineRule="auto"/>
        <w:ind w:firstLine="482" w:firstLineChars="200"/>
        <w:rPr>
          <w:rFonts w:hint="eastAsia" w:ascii="宋体" w:hAnsi="宋体" w:cs="宋体"/>
          <w:bCs/>
          <w:color w:val="auto"/>
          <w:kern w:val="2"/>
        </w:rPr>
      </w:pPr>
      <w:r>
        <w:rPr>
          <w:rFonts w:hint="eastAsia" w:ascii="宋体" w:hAnsi="宋体" w:cs="宋体"/>
          <w:b/>
          <w:color w:val="auto"/>
          <w:kern w:val="2"/>
        </w:rPr>
        <w:t>不可抗力：</w:t>
      </w:r>
      <w:r>
        <w:rPr>
          <w:rFonts w:hint="eastAsia" w:ascii="宋体" w:hAnsi="宋体" w:cs="宋体"/>
          <w:bCs/>
          <w:color w:val="auto"/>
          <w:kern w:val="2"/>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rPr>
      </w:pPr>
      <w:r>
        <w:rPr>
          <w:rFonts w:hint="eastAsia" w:ascii="宋体" w:hAnsi="宋体" w:cs="宋体"/>
          <w:bCs/>
          <w:color w:val="auto"/>
          <w:kern w:val="2"/>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rPr>
      </w:pPr>
      <w:r>
        <w:rPr>
          <w:rFonts w:hint="eastAsia" w:ascii="宋体" w:hAnsi="宋体" w:cs="宋体"/>
          <w:bCs/>
          <w:color w:val="auto"/>
          <w:kern w:val="2"/>
        </w:rPr>
        <w:t>（2）战争、政变、恐怖主义行动、骚乱、罢工；</w:t>
      </w:r>
    </w:p>
    <w:p>
      <w:pPr>
        <w:pStyle w:val="17"/>
        <w:adjustRightInd/>
        <w:spacing w:line="360" w:lineRule="auto"/>
        <w:ind w:firstLine="480" w:firstLineChars="200"/>
        <w:rPr>
          <w:rFonts w:hint="eastAsia" w:ascii="宋体" w:hAnsi="宋体" w:cs="宋体"/>
          <w:bCs/>
          <w:color w:val="auto"/>
          <w:kern w:val="2"/>
        </w:rPr>
      </w:pPr>
      <w:r>
        <w:rPr>
          <w:rFonts w:hint="eastAsia" w:ascii="宋体" w:hAnsi="宋体" w:cs="宋体"/>
          <w:bCs/>
          <w:color w:val="auto"/>
          <w:kern w:val="2"/>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rPr>
      </w:pPr>
      <w:r>
        <w:rPr>
          <w:rFonts w:hint="eastAsia" w:ascii="宋体" w:hAnsi="宋体" w:cs="宋体"/>
          <w:bCs/>
          <w:color w:val="auto"/>
          <w:kern w:val="2"/>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rPr>
      </w:pPr>
      <w:r>
        <w:rPr>
          <w:rFonts w:hint="eastAsia" w:ascii="宋体" w:hAnsi="宋体" w:cs="宋体"/>
          <w:bCs/>
          <w:color w:val="auto"/>
          <w:kern w:val="2"/>
        </w:rPr>
        <w:t>（5）因理财计划各方和/或其关联方运营网络系统遭受黑客攻击、电信部门技术调整或故障等原因而造成的理财计划各方和/或其关联方之服务、营业的中断或者延迟。</w:t>
      </w:r>
    </w:p>
    <w:p>
      <w:pPr>
        <w:pStyle w:val="17"/>
        <w:numPr>
          <w:ilvl w:val="0"/>
          <w:numId w:val="16"/>
        </w:numPr>
        <w:adjustRightInd/>
        <w:spacing w:line="360" w:lineRule="auto"/>
        <w:ind w:firstLine="482" w:firstLineChars="200"/>
        <w:rPr>
          <w:rFonts w:hint="eastAsia" w:ascii="宋体" w:hAnsi="宋体" w:cs="宋体"/>
          <w:b/>
          <w:color w:val="auto"/>
          <w:kern w:val="2"/>
        </w:rPr>
      </w:pPr>
      <w:r>
        <w:rPr>
          <w:rFonts w:hint="eastAsia" w:ascii="宋体" w:hAnsi="宋体" w:cs="宋体"/>
          <w:b/>
          <w:color w:val="auto"/>
          <w:kern w:val="2"/>
        </w:rPr>
        <w:t>巨额赎回：</w:t>
      </w:r>
      <w:r>
        <w:rPr>
          <w:rFonts w:hint="eastAsia" w:ascii="宋体" w:hAnsi="宋体" w:cs="宋体"/>
          <w:bCs/>
          <w:color w:val="auto"/>
          <w:kern w:val="2"/>
        </w:rPr>
        <w:t>指理财计划的申购和赎回开放期内，理财计划任一开放日净赎回申请份额超过上一工作日日终理财计划总份额的〖10%〗，即为发生巨额赎回行为。</w:t>
      </w:r>
    </w:p>
    <w:p>
      <w:pPr>
        <w:pStyle w:val="17"/>
        <w:adjustRightInd/>
        <w:spacing w:line="360" w:lineRule="auto"/>
        <w:rPr>
          <w:rFonts w:hint="eastAsia" w:ascii="宋体" w:hAnsi="宋体" w:cs="宋体"/>
          <w:b/>
          <w:color w:val="auto"/>
          <w:kern w:val="2"/>
        </w:rPr>
      </w:pPr>
    </w:p>
    <w:p>
      <w:pPr>
        <w:pStyle w:val="17"/>
        <w:numPr>
          <w:ilvl w:val="0"/>
          <w:numId w:val="17"/>
        </w:numPr>
        <w:adjustRightInd/>
        <w:spacing w:line="360" w:lineRule="auto"/>
        <w:ind w:firstLine="482" w:firstLineChars="200"/>
        <w:outlineLvl w:val="1"/>
        <w:rPr>
          <w:rFonts w:hint="eastAsia" w:ascii="宋体" w:hAnsi="宋体" w:cs="宋体"/>
          <w:b/>
          <w:color w:val="auto"/>
          <w:kern w:val="2"/>
        </w:rPr>
      </w:pPr>
      <w:r>
        <w:rPr>
          <w:rFonts w:hint="eastAsia" w:ascii="宋体" w:hAnsi="宋体" w:cs="宋体"/>
          <w:b/>
          <w:color w:val="auto"/>
          <w:kern w:val="2"/>
        </w:rPr>
        <w:t>风险评级</w:t>
      </w:r>
    </w:p>
    <w:p>
      <w:pPr>
        <w:pStyle w:val="17"/>
        <w:adjustRightInd/>
        <w:spacing w:line="360" w:lineRule="auto"/>
        <w:ind w:firstLine="480" w:firstLineChars="200"/>
        <w:rPr>
          <w:rFonts w:hint="eastAsia" w:ascii="宋体" w:hAnsi="宋体" w:cs="宋体"/>
          <w:bCs/>
          <w:color w:val="auto"/>
          <w:kern w:val="2"/>
        </w:rPr>
      </w:pPr>
      <w:r>
        <w:rPr>
          <w:rFonts w:hint="eastAsia" w:ascii="宋体" w:hAnsi="宋体" w:cs="宋体"/>
          <w:bCs/>
          <w:color w:val="auto"/>
          <w:kern w:val="2"/>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rPr>
        <w:t>本理财计划的风险等级为〖R1〗，〖低〗风险。</w:t>
      </w:r>
      <w:r>
        <w:rPr>
          <w:rFonts w:hint="eastAsia" w:ascii="宋体" w:hAnsi="宋体" w:cs="宋体"/>
          <w:bCs/>
          <w:color w:val="auto"/>
          <w:kern w:val="2"/>
        </w:rPr>
        <w:t>该评级仅是管理人内部测评结果，仅供投资者参考，不具有任何法律约束力。</w:t>
      </w:r>
    </w:p>
    <w:tbl>
      <w:tblPr>
        <w:tblStyle w:val="11"/>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710"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内部风险评级</w:t>
            </w:r>
          </w:p>
        </w:tc>
        <w:tc>
          <w:tcPr>
            <w:tcW w:w="1382"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风险程度</w:t>
            </w:r>
          </w:p>
        </w:tc>
        <w:tc>
          <w:tcPr>
            <w:tcW w:w="4755"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
                <w:color w:val="auto"/>
                <w:kern w:val="2"/>
              </w:rPr>
            </w:pPr>
            <w:r>
              <w:rPr>
                <w:rFonts w:hint="eastAsia" w:ascii="宋体" w:hAnsi="宋体" w:cs="宋体"/>
                <w:b/>
                <w:color w:val="auto"/>
                <w:kern w:val="2"/>
              </w:rPr>
              <w:t>R1</w:t>
            </w:r>
          </w:p>
        </w:tc>
        <w:tc>
          <w:tcPr>
            <w:tcW w:w="1382" w:type="dxa"/>
            <w:noWrap w:val="0"/>
            <w:vAlign w:val="top"/>
          </w:tcPr>
          <w:p>
            <w:pPr>
              <w:pStyle w:val="17"/>
              <w:adjustRightInd/>
              <w:spacing w:line="360" w:lineRule="auto"/>
              <w:jc w:val="center"/>
              <w:rPr>
                <w:rFonts w:ascii="宋体" w:hAnsi="宋体" w:cs="宋体"/>
                <w:b/>
                <w:color w:val="auto"/>
                <w:kern w:val="2"/>
              </w:rPr>
            </w:pPr>
            <w:r>
              <w:rPr>
                <w:rFonts w:hint="eastAsia" w:ascii="宋体" w:hAnsi="宋体" w:cs="宋体"/>
                <w:b/>
                <w:color w:val="auto"/>
                <w:kern w:val="2"/>
              </w:rPr>
              <w:t>低</w:t>
            </w:r>
          </w:p>
        </w:tc>
        <w:tc>
          <w:tcPr>
            <w:tcW w:w="4755" w:type="dxa"/>
            <w:noWrap w:val="0"/>
            <w:vAlign w:val="top"/>
          </w:tcPr>
          <w:p>
            <w:pPr>
              <w:pStyle w:val="17"/>
              <w:adjustRightInd/>
              <w:spacing w:line="360" w:lineRule="auto"/>
              <w:jc w:val="center"/>
              <w:rPr>
                <w:rFonts w:ascii="宋体" w:hAnsi="宋体" w:cs="宋体"/>
                <w:b/>
                <w:color w:val="auto"/>
                <w:kern w:val="2"/>
              </w:rPr>
            </w:pPr>
            <w:r>
              <w:rPr>
                <w:rFonts w:hint="eastAsia" w:ascii="宋体" w:hAnsi="宋体" w:cs="宋体"/>
                <w:b/>
                <w:color w:val="auto"/>
                <w:kern w:val="2"/>
              </w:rPr>
              <w:t>保守型、稳健型、平衡型、成长型、进取型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R2</w:t>
            </w:r>
          </w:p>
        </w:tc>
        <w:tc>
          <w:tcPr>
            <w:tcW w:w="1382"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中低</w:t>
            </w:r>
          </w:p>
        </w:tc>
        <w:tc>
          <w:tcPr>
            <w:tcW w:w="4755"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稳健型、平衡型、成长型、进取型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R3</w:t>
            </w:r>
          </w:p>
        </w:tc>
        <w:tc>
          <w:tcPr>
            <w:tcW w:w="1382"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中</w:t>
            </w:r>
          </w:p>
        </w:tc>
        <w:tc>
          <w:tcPr>
            <w:tcW w:w="4755"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平衡型、成长型、进取型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R4</w:t>
            </w:r>
          </w:p>
        </w:tc>
        <w:tc>
          <w:tcPr>
            <w:tcW w:w="1382"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中高</w:t>
            </w:r>
          </w:p>
        </w:tc>
        <w:tc>
          <w:tcPr>
            <w:tcW w:w="4755"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R5</w:t>
            </w:r>
          </w:p>
        </w:tc>
        <w:tc>
          <w:tcPr>
            <w:tcW w:w="1382"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高</w:t>
            </w:r>
          </w:p>
        </w:tc>
        <w:tc>
          <w:tcPr>
            <w:tcW w:w="4755" w:type="dxa"/>
            <w:noWrap w:val="0"/>
            <w:vAlign w:val="top"/>
          </w:tcPr>
          <w:p>
            <w:pPr>
              <w:pStyle w:val="17"/>
              <w:adjustRightInd/>
              <w:spacing w:line="360" w:lineRule="auto"/>
              <w:jc w:val="center"/>
              <w:rPr>
                <w:rFonts w:ascii="宋体" w:hAnsi="宋体" w:cs="宋体"/>
                <w:bCs/>
                <w:color w:val="auto"/>
                <w:kern w:val="2"/>
              </w:rPr>
            </w:pPr>
            <w:r>
              <w:rPr>
                <w:rFonts w:hint="eastAsia" w:ascii="宋体" w:hAnsi="宋体" w:cs="宋体"/>
                <w:bCs/>
                <w:color w:val="auto"/>
                <w:kern w:val="2"/>
              </w:rPr>
              <w:t>进取型</w:t>
            </w:r>
          </w:p>
        </w:tc>
      </w:tr>
    </w:tbl>
    <w:p>
      <w:pPr>
        <w:pStyle w:val="17"/>
        <w:adjustRightInd/>
        <w:spacing w:line="360" w:lineRule="auto"/>
        <w:ind w:firstLine="480" w:firstLineChars="200"/>
        <w:rPr>
          <w:rFonts w:ascii="宋体" w:hAnsi="宋体" w:cs="宋体"/>
          <w:bCs/>
          <w:color w:val="auto"/>
          <w:kern w:val="2"/>
        </w:rPr>
      </w:pPr>
      <w:r>
        <w:rPr>
          <w:rFonts w:hint="eastAsia" w:ascii="宋体" w:hAnsi="宋体" w:cs="宋体"/>
          <w:bCs/>
          <w:color w:val="auto"/>
          <w:kern w:val="2"/>
        </w:rPr>
        <w:t>投资者风险承受能力评级水平以销售机构评估为准。</w:t>
      </w:r>
    </w:p>
    <w:p>
      <w:pPr>
        <w:pStyle w:val="17"/>
        <w:adjustRightInd/>
        <w:spacing w:line="360" w:lineRule="auto"/>
        <w:rPr>
          <w:rFonts w:hint="eastAsia" w:ascii="宋体" w:hAnsi="宋体" w:cs="宋体"/>
          <w:b/>
          <w:color w:val="auto"/>
          <w:kern w:val="2"/>
        </w:rPr>
      </w:pPr>
    </w:p>
    <w:p>
      <w:pPr>
        <w:pStyle w:val="17"/>
        <w:numPr>
          <w:ilvl w:val="0"/>
          <w:numId w:val="17"/>
        </w:numPr>
        <w:adjustRightInd/>
        <w:spacing w:line="360" w:lineRule="auto"/>
        <w:outlineLvl w:val="1"/>
        <w:rPr>
          <w:rFonts w:hint="eastAsia" w:ascii="宋体" w:hAnsi="宋体" w:cs="宋体"/>
          <w:b/>
          <w:color w:val="auto"/>
          <w:kern w:val="2"/>
        </w:rPr>
      </w:pPr>
      <w:r>
        <w:rPr>
          <w:rFonts w:hint="eastAsia" w:ascii="宋体" w:hAnsi="宋体" w:cs="宋体"/>
          <w:b/>
          <w:color w:val="auto"/>
          <w:kern w:val="2"/>
        </w:rPr>
        <w:t>产品要素</w:t>
      </w:r>
    </w:p>
    <w:tbl>
      <w:tblPr>
        <w:tblStyle w:val="11"/>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产品名称</w:t>
            </w:r>
          </w:p>
        </w:tc>
        <w:tc>
          <w:tcPr>
            <w:tcW w:w="7185" w:type="dxa"/>
            <w:noWrap w:val="0"/>
            <w:vAlign w:val="center"/>
          </w:tcPr>
          <w:p>
            <w:pPr>
              <w:widowControl/>
              <w:spacing w:line="360" w:lineRule="auto"/>
              <w:contextualSpacing/>
              <w:rPr>
                <w:rFonts w:ascii="宋体" w:hAnsi="宋体" w:cs="宋体"/>
                <w:color w:val="000000"/>
                <w:sz w:val="21"/>
                <w:szCs w:val="21"/>
              </w:rPr>
            </w:pPr>
            <w:r>
              <w:rPr>
                <w:rFonts w:hint="eastAsia" w:ascii="宋体" w:hAnsi="宋体" w:cs="宋体"/>
                <w:sz w:val="21"/>
                <w:szCs w:val="21"/>
              </w:rPr>
              <w:t>幸福99金钱包</w:t>
            </w:r>
            <w:r>
              <w:rPr>
                <w:rFonts w:hint="eastAsia" w:ascii="宋体" w:hAnsi="宋体" w:cs="宋体"/>
                <w:sz w:val="21"/>
                <w:szCs w:val="21"/>
                <w:lang w:eastAsia="zh-CN"/>
              </w:rPr>
              <w:t>55号</w:t>
            </w:r>
            <w:r>
              <w:rPr>
                <w:rFonts w:hint="eastAsia" w:ascii="宋体" w:hAnsi="宋体" w:cs="宋体"/>
                <w:sz w:val="21"/>
                <w:szCs w:val="21"/>
              </w:rPr>
              <w:t>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widowControl/>
              <w:spacing w:line="360" w:lineRule="auto"/>
              <w:contextualSpacing/>
              <w:jc w:val="center"/>
              <w:rPr>
                <w:rFonts w:hint="eastAsia" w:ascii="宋体" w:hAnsi="宋体" w:cs="宋体"/>
                <w:sz w:val="21"/>
                <w:szCs w:val="21"/>
              </w:rPr>
            </w:pPr>
            <w:r>
              <w:rPr>
                <w:rFonts w:hint="eastAsia" w:ascii="宋体" w:hAnsi="宋体" w:cs="宋体"/>
                <w:sz w:val="21"/>
                <w:szCs w:val="21"/>
              </w:rPr>
              <w:t>产品简称</w:t>
            </w:r>
          </w:p>
        </w:tc>
        <w:tc>
          <w:tcPr>
            <w:tcW w:w="7185" w:type="dxa"/>
            <w:noWrap w:val="0"/>
            <w:vAlign w:val="center"/>
          </w:tcPr>
          <w:p>
            <w:pPr>
              <w:widowControl/>
              <w:spacing w:line="360" w:lineRule="auto"/>
              <w:contextualSpacing/>
              <w:rPr>
                <w:rFonts w:hint="eastAsia" w:ascii="宋体" w:hAnsi="宋体" w:cs="宋体"/>
                <w:sz w:val="21"/>
                <w:szCs w:val="21"/>
              </w:rPr>
            </w:pPr>
            <w:r>
              <w:rPr>
                <w:rFonts w:hint="eastAsia" w:ascii="宋体" w:hAnsi="宋体" w:cs="宋体"/>
                <w:sz w:val="21"/>
                <w:szCs w:val="21"/>
              </w:rPr>
              <w:t>金钱包</w:t>
            </w:r>
            <w:r>
              <w:rPr>
                <w:rFonts w:hint="eastAsia" w:ascii="宋体" w:hAnsi="宋体" w:cs="宋体"/>
                <w:sz w:val="21"/>
                <w:szCs w:val="21"/>
                <w:lang w:eastAsia="zh-CN"/>
              </w:rPr>
              <w:t>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widowControl/>
              <w:spacing w:line="360" w:lineRule="auto"/>
              <w:contextualSpacing/>
              <w:jc w:val="center"/>
              <w:rPr>
                <w:rFonts w:hint="eastAsia" w:ascii="宋体" w:hAnsi="宋体" w:cs="宋体"/>
                <w:sz w:val="21"/>
                <w:szCs w:val="21"/>
              </w:rPr>
            </w:pPr>
            <w:r>
              <w:rPr>
                <w:rFonts w:hint="eastAsia" w:ascii="宋体" w:hAnsi="宋体" w:cs="宋体"/>
                <w:sz w:val="21"/>
                <w:szCs w:val="21"/>
              </w:rPr>
              <w:t>产品编号</w:t>
            </w:r>
          </w:p>
        </w:tc>
        <w:tc>
          <w:tcPr>
            <w:tcW w:w="7185" w:type="dxa"/>
            <w:noWrap w:val="0"/>
            <w:vAlign w:val="center"/>
          </w:tcPr>
          <w:p>
            <w:pPr>
              <w:widowControl/>
              <w:spacing w:line="360" w:lineRule="auto"/>
              <w:contextualSpacing/>
              <w:rPr>
                <w:rFonts w:ascii="宋体" w:hAnsi="宋体" w:cs="宋体"/>
                <w:color w:val="000000"/>
                <w:sz w:val="21"/>
                <w:szCs w:val="21"/>
              </w:rPr>
            </w:pPr>
            <w:r>
              <w:rPr>
                <w:rFonts w:hint="eastAsia" w:ascii="宋体" w:hAnsi="宋体" w:cs="宋体"/>
                <w:sz w:val="21"/>
                <w:szCs w:val="21"/>
              </w:rPr>
              <w:t>〖</w:t>
            </w:r>
            <w:r>
              <w:rPr>
                <w:rFonts w:hint="eastAsia" w:ascii="宋体" w:hAnsi="宋体" w:cs="宋体"/>
                <w:color w:val="000000"/>
                <w:sz w:val="21"/>
                <w:szCs w:val="21"/>
              </w:rPr>
              <w:t>JQB</w:t>
            </w:r>
            <w:r>
              <w:rPr>
                <w:rFonts w:hint="eastAsia" w:ascii="宋体" w:hAnsi="宋体" w:cs="宋体"/>
                <w:color w:val="000000"/>
                <w:sz w:val="21"/>
                <w:szCs w:val="21"/>
                <w:lang w:eastAsia="zh-CN"/>
              </w:rPr>
              <w:t>2555</w:t>
            </w:r>
            <w:r>
              <w:rPr>
                <w:rFonts w:hint="eastAsia" w:ascii="宋体" w:hAnsi="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widowControl/>
              <w:spacing w:line="360" w:lineRule="auto"/>
              <w:contextualSpacing/>
              <w:jc w:val="center"/>
              <w:rPr>
                <w:rFonts w:hint="eastAsia" w:ascii="宋体" w:hAnsi="宋体" w:cs="宋体"/>
                <w:sz w:val="21"/>
                <w:szCs w:val="21"/>
              </w:rPr>
            </w:pPr>
            <w:r>
              <w:rPr>
                <w:rFonts w:hint="eastAsia" w:ascii="宋体" w:hAnsi="宋体" w:cs="宋体"/>
                <w:sz w:val="21"/>
                <w:szCs w:val="21"/>
              </w:rPr>
              <w:t>产品销售代码</w:t>
            </w:r>
          </w:p>
        </w:tc>
        <w:tc>
          <w:tcPr>
            <w:tcW w:w="7185" w:type="dxa"/>
            <w:noWrap w:val="0"/>
            <w:vAlign w:val="center"/>
          </w:tcPr>
          <w:p>
            <w:pPr>
              <w:widowControl/>
              <w:spacing w:line="360" w:lineRule="auto"/>
              <w:contextualSpacing/>
              <w:rPr>
                <w:rFonts w:hint="eastAsia" w:ascii="宋体" w:hAnsi="宋体" w:cs="宋体"/>
                <w:sz w:val="21"/>
                <w:szCs w:val="21"/>
              </w:rPr>
            </w:pPr>
            <w:r>
              <w:rPr>
                <w:rFonts w:hint="eastAsia" w:ascii="宋体" w:hAnsi="宋体" w:cs="宋体"/>
                <w:color w:val="000000"/>
                <w:sz w:val="21"/>
                <w:szCs w:val="21"/>
              </w:rPr>
              <w:t>A份额：</w:t>
            </w:r>
            <w:r>
              <w:rPr>
                <w:rFonts w:hint="eastAsia" w:ascii="宋体" w:hAnsi="宋体" w:cs="宋体"/>
                <w:sz w:val="21"/>
                <w:szCs w:val="21"/>
              </w:rPr>
              <w:t>〖</w:t>
            </w:r>
            <w:r>
              <w:rPr>
                <w:rFonts w:hint="eastAsia" w:ascii="宋体" w:hAnsi="宋体" w:cs="宋体"/>
                <w:color w:val="000000"/>
                <w:sz w:val="21"/>
                <w:szCs w:val="21"/>
              </w:rPr>
              <w:t>JQB</w:t>
            </w:r>
            <w:r>
              <w:rPr>
                <w:rFonts w:hint="eastAsia" w:ascii="宋体" w:hAnsi="宋体" w:cs="宋体"/>
                <w:color w:val="000000"/>
                <w:sz w:val="21"/>
                <w:szCs w:val="21"/>
                <w:lang w:eastAsia="zh-CN"/>
              </w:rPr>
              <w:t>2555</w:t>
            </w:r>
            <w:r>
              <w:rPr>
                <w:rFonts w:hint="eastAsia" w:ascii="宋体" w:hAnsi="宋体" w:cs="宋体"/>
                <w:color w:val="000000"/>
                <w:sz w:val="21"/>
                <w:szCs w:val="21"/>
              </w:rPr>
              <w:t>A</w:t>
            </w:r>
            <w:r>
              <w:rPr>
                <w:rFonts w:hint="eastAsia" w:ascii="宋体" w:hAnsi="宋体" w:cs="宋体"/>
                <w:sz w:val="21"/>
                <w:szCs w:val="21"/>
              </w:rPr>
              <w:t>〗</w:t>
            </w:r>
          </w:p>
          <w:p>
            <w:pPr>
              <w:widowControl/>
              <w:spacing w:line="360" w:lineRule="auto"/>
              <w:contextualSpacing/>
              <w:rPr>
                <w:rFonts w:hint="eastAsia" w:ascii="宋体" w:hAnsi="宋体" w:cs="宋体"/>
                <w:sz w:val="21"/>
                <w:szCs w:val="21"/>
              </w:rPr>
            </w:pPr>
            <w:r>
              <w:rPr>
                <w:rFonts w:hint="eastAsia" w:ascii="宋体" w:hAnsi="宋体" w:cs="宋体"/>
                <w:color w:val="000000"/>
                <w:sz w:val="21"/>
                <w:szCs w:val="21"/>
                <w:lang w:val="en-US" w:eastAsia="zh-CN"/>
              </w:rPr>
              <w:t>B</w:t>
            </w:r>
            <w:r>
              <w:rPr>
                <w:rFonts w:hint="eastAsia" w:ascii="宋体" w:hAnsi="宋体" w:cs="宋体"/>
                <w:color w:val="000000"/>
                <w:sz w:val="21"/>
                <w:szCs w:val="21"/>
              </w:rPr>
              <w:t>份额：</w:t>
            </w:r>
            <w:r>
              <w:rPr>
                <w:rFonts w:hint="eastAsia" w:ascii="宋体" w:hAnsi="宋体" w:cs="宋体"/>
                <w:sz w:val="21"/>
                <w:szCs w:val="21"/>
              </w:rPr>
              <w:t>〖</w:t>
            </w:r>
            <w:r>
              <w:rPr>
                <w:rFonts w:hint="eastAsia" w:ascii="宋体" w:hAnsi="宋体" w:cs="宋体"/>
                <w:color w:val="000000"/>
                <w:sz w:val="21"/>
                <w:szCs w:val="21"/>
              </w:rPr>
              <w:t>JQB</w:t>
            </w:r>
            <w:r>
              <w:rPr>
                <w:rFonts w:hint="eastAsia" w:ascii="宋体" w:hAnsi="宋体" w:cs="宋体"/>
                <w:color w:val="000000"/>
                <w:sz w:val="21"/>
                <w:szCs w:val="21"/>
                <w:lang w:eastAsia="zh-CN"/>
              </w:rPr>
              <w:t>2555</w:t>
            </w:r>
            <w:r>
              <w:rPr>
                <w:rFonts w:hint="eastAsia" w:ascii="宋体" w:hAnsi="宋体" w:cs="宋体"/>
                <w:color w:val="000000"/>
                <w:sz w:val="21"/>
                <w:szCs w:val="21"/>
                <w:lang w:val="en-US" w:eastAsia="zh-CN"/>
              </w:rPr>
              <w:t>B</w:t>
            </w:r>
            <w:r>
              <w:rPr>
                <w:rFonts w:hint="eastAsia" w:ascii="宋体" w:hAnsi="宋体" w:cs="宋体"/>
                <w:sz w:val="21"/>
                <w:szCs w:val="21"/>
              </w:rPr>
              <w:t>〗</w:t>
            </w:r>
          </w:p>
          <w:p>
            <w:pPr>
              <w:widowControl/>
              <w:spacing w:line="360" w:lineRule="auto"/>
              <w:contextualSpacing/>
              <w:rPr>
                <w:rFonts w:hint="eastAsia" w:ascii="宋体" w:hAnsi="宋体" w:cs="宋体"/>
                <w:sz w:val="21"/>
                <w:szCs w:val="21"/>
              </w:rPr>
            </w:pPr>
            <w:r>
              <w:rPr>
                <w:rFonts w:hint="eastAsia" w:ascii="宋体" w:hAnsi="宋体" w:cs="宋体"/>
                <w:color w:val="000000"/>
                <w:sz w:val="21"/>
                <w:szCs w:val="21"/>
                <w:lang w:val="en-US" w:eastAsia="zh-CN"/>
              </w:rPr>
              <w:t>C</w:t>
            </w:r>
            <w:r>
              <w:rPr>
                <w:rFonts w:hint="eastAsia" w:ascii="宋体" w:hAnsi="宋体" w:cs="宋体"/>
                <w:color w:val="000000"/>
                <w:sz w:val="21"/>
                <w:szCs w:val="21"/>
              </w:rPr>
              <w:t>份额：</w:t>
            </w:r>
            <w:r>
              <w:rPr>
                <w:rFonts w:hint="eastAsia" w:ascii="宋体" w:hAnsi="宋体" w:cs="宋体"/>
                <w:sz w:val="21"/>
                <w:szCs w:val="21"/>
              </w:rPr>
              <w:t>〖</w:t>
            </w:r>
            <w:r>
              <w:rPr>
                <w:rFonts w:hint="eastAsia" w:ascii="宋体" w:hAnsi="宋体" w:cs="宋体"/>
                <w:color w:val="000000"/>
                <w:sz w:val="21"/>
                <w:szCs w:val="21"/>
              </w:rPr>
              <w:t>JQB</w:t>
            </w:r>
            <w:r>
              <w:rPr>
                <w:rFonts w:hint="eastAsia" w:ascii="宋体" w:hAnsi="宋体" w:cs="宋体"/>
                <w:color w:val="000000"/>
                <w:sz w:val="21"/>
                <w:szCs w:val="21"/>
                <w:lang w:eastAsia="zh-CN"/>
              </w:rPr>
              <w:t>2555</w:t>
            </w:r>
            <w:r>
              <w:rPr>
                <w:rFonts w:hint="eastAsia" w:ascii="宋体" w:hAnsi="宋体" w:cs="宋体"/>
                <w:color w:val="000000"/>
                <w:sz w:val="21"/>
                <w:szCs w:val="21"/>
                <w:lang w:val="en-US" w:eastAsia="zh-CN"/>
              </w:rPr>
              <w:t>C</w:t>
            </w:r>
            <w:r>
              <w:rPr>
                <w:rFonts w:hint="eastAsia" w:ascii="宋体" w:hAnsi="宋体" w:cs="宋体"/>
                <w:sz w:val="21"/>
                <w:szCs w:val="21"/>
              </w:rPr>
              <w:t>〗</w:t>
            </w:r>
          </w:p>
          <w:p>
            <w:pPr>
              <w:widowControl/>
              <w:spacing w:line="360" w:lineRule="auto"/>
              <w:contextualSpacing/>
              <w:rPr>
                <w:rFonts w:hint="eastAsia" w:ascii="宋体" w:hAnsi="宋体" w:cs="宋体"/>
                <w:sz w:val="21"/>
                <w:szCs w:val="21"/>
              </w:rPr>
            </w:pPr>
            <w:r>
              <w:rPr>
                <w:rFonts w:hint="eastAsia" w:ascii="宋体" w:hAnsi="宋体" w:cs="宋体"/>
                <w:color w:val="000000"/>
                <w:sz w:val="21"/>
                <w:szCs w:val="21"/>
                <w:lang w:val="en-US" w:eastAsia="zh-CN"/>
              </w:rPr>
              <w:t>E</w:t>
            </w:r>
            <w:r>
              <w:rPr>
                <w:rFonts w:hint="eastAsia" w:ascii="宋体" w:hAnsi="宋体" w:cs="宋体"/>
                <w:color w:val="000000"/>
                <w:sz w:val="21"/>
                <w:szCs w:val="21"/>
              </w:rPr>
              <w:t>份额：</w:t>
            </w:r>
            <w:r>
              <w:rPr>
                <w:rFonts w:hint="eastAsia" w:ascii="宋体" w:hAnsi="宋体" w:cs="宋体"/>
                <w:sz w:val="21"/>
                <w:szCs w:val="21"/>
              </w:rPr>
              <w:t>〖</w:t>
            </w:r>
            <w:r>
              <w:rPr>
                <w:rFonts w:hint="eastAsia" w:ascii="宋体" w:hAnsi="宋体" w:cs="宋体"/>
                <w:color w:val="000000"/>
                <w:sz w:val="21"/>
                <w:szCs w:val="21"/>
              </w:rPr>
              <w:t>JQB</w:t>
            </w:r>
            <w:r>
              <w:rPr>
                <w:rFonts w:hint="eastAsia" w:ascii="宋体" w:hAnsi="宋体" w:cs="宋体"/>
                <w:color w:val="000000"/>
                <w:sz w:val="21"/>
                <w:szCs w:val="21"/>
                <w:lang w:eastAsia="zh-CN"/>
              </w:rPr>
              <w:t>2555</w:t>
            </w:r>
            <w:r>
              <w:rPr>
                <w:rFonts w:hint="eastAsia" w:ascii="宋体" w:hAnsi="宋体" w:cs="宋体"/>
                <w:color w:val="000000"/>
                <w:sz w:val="21"/>
                <w:szCs w:val="21"/>
                <w:lang w:val="en-US" w:eastAsia="zh-CN"/>
              </w:rPr>
              <w:t>E</w:t>
            </w:r>
            <w:r>
              <w:rPr>
                <w:rFonts w:hint="eastAsia" w:ascii="宋体" w:hAnsi="宋体" w:cs="宋体"/>
                <w:sz w:val="21"/>
                <w:szCs w:val="21"/>
              </w:rPr>
              <w:t>〗</w:t>
            </w:r>
          </w:p>
          <w:p>
            <w:pPr>
              <w:widowControl/>
              <w:spacing w:line="360" w:lineRule="auto"/>
              <w:contextualSpacing/>
              <w:rPr>
                <w:rFonts w:hint="eastAsia" w:ascii="宋体" w:hAnsi="宋体" w:cs="宋体"/>
                <w:sz w:val="21"/>
                <w:szCs w:val="21"/>
              </w:rPr>
            </w:pPr>
            <w:r>
              <w:rPr>
                <w:rFonts w:hint="eastAsia" w:ascii="宋体" w:hAnsi="宋体" w:cs="宋体"/>
                <w:color w:val="000000"/>
                <w:sz w:val="21"/>
                <w:szCs w:val="21"/>
                <w:lang w:val="en-US" w:eastAsia="zh-CN"/>
              </w:rPr>
              <w:t>F</w:t>
            </w:r>
            <w:r>
              <w:rPr>
                <w:rFonts w:hint="eastAsia" w:ascii="宋体" w:hAnsi="宋体" w:cs="宋体"/>
                <w:color w:val="000000"/>
                <w:sz w:val="21"/>
                <w:szCs w:val="21"/>
              </w:rPr>
              <w:t>份额：</w:t>
            </w:r>
            <w:r>
              <w:rPr>
                <w:rFonts w:hint="eastAsia" w:ascii="宋体" w:hAnsi="宋体" w:cs="宋体"/>
                <w:sz w:val="21"/>
                <w:szCs w:val="21"/>
              </w:rPr>
              <w:t>〖</w:t>
            </w:r>
            <w:r>
              <w:rPr>
                <w:rFonts w:hint="eastAsia" w:ascii="宋体" w:hAnsi="宋体" w:cs="宋体"/>
                <w:color w:val="000000"/>
                <w:sz w:val="21"/>
                <w:szCs w:val="21"/>
              </w:rPr>
              <w:t>JQB</w:t>
            </w:r>
            <w:r>
              <w:rPr>
                <w:rFonts w:hint="eastAsia" w:ascii="宋体" w:hAnsi="宋体" w:cs="宋体"/>
                <w:color w:val="000000"/>
                <w:sz w:val="21"/>
                <w:szCs w:val="21"/>
                <w:lang w:eastAsia="zh-CN"/>
              </w:rPr>
              <w:t>2555</w:t>
            </w:r>
            <w:r>
              <w:rPr>
                <w:rFonts w:hint="eastAsia" w:ascii="宋体" w:hAnsi="宋体" w:cs="宋体"/>
                <w:color w:val="000000"/>
                <w:sz w:val="21"/>
                <w:szCs w:val="21"/>
                <w:lang w:val="en-US" w:eastAsia="zh-CN"/>
              </w:rPr>
              <w:t>F</w:t>
            </w:r>
            <w:r>
              <w:rPr>
                <w:rFonts w:hint="eastAsia" w:ascii="宋体" w:hAnsi="宋体" w:cs="宋体"/>
                <w:sz w:val="21"/>
                <w:szCs w:val="21"/>
              </w:rPr>
              <w:t>〗</w:t>
            </w:r>
          </w:p>
          <w:p>
            <w:pPr>
              <w:widowControl/>
              <w:spacing w:line="360" w:lineRule="auto"/>
              <w:contextualSpacing/>
              <w:rPr>
                <w:rFonts w:hint="eastAsia" w:ascii="宋体" w:hAnsi="宋体" w:cs="宋体"/>
                <w:sz w:val="21"/>
                <w:szCs w:val="21"/>
              </w:rPr>
            </w:pPr>
            <w:r>
              <w:rPr>
                <w:rFonts w:hint="eastAsia" w:ascii="宋体" w:hAnsi="宋体" w:cs="宋体"/>
                <w:color w:val="000000"/>
                <w:sz w:val="21"/>
                <w:szCs w:val="21"/>
                <w:lang w:val="en-US" w:eastAsia="zh-CN"/>
              </w:rPr>
              <w:t>G</w:t>
            </w:r>
            <w:r>
              <w:rPr>
                <w:rFonts w:hint="eastAsia" w:ascii="宋体" w:hAnsi="宋体" w:cs="宋体"/>
                <w:color w:val="000000"/>
                <w:sz w:val="21"/>
                <w:szCs w:val="21"/>
              </w:rPr>
              <w:t>份额：</w:t>
            </w:r>
            <w:r>
              <w:rPr>
                <w:rFonts w:hint="eastAsia" w:ascii="宋体" w:hAnsi="宋体" w:cs="宋体"/>
                <w:sz w:val="21"/>
                <w:szCs w:val="21"/>
              </w:rPr>
              <w:t>〖</w:t>
            </w:r>
            <w:r>
              <w:rPr>
                <w:rFonts w:hint="eastAsia" w:ascii="宋体" w:hAnsi="宋体" w:cs="宋体"/>
                <w:color w:val="000000"/>
                <w:sz w:val="21"/>
                <w:szCs w:val="21"/>
              </w:rPr>
              <w:t>JQB</w:t>
            </w:r>
            <w:r>
              <w:rPr>
                <w:rFonts w:hint="eastAsia" w:ascii="宋体" w:hAnsi="宋体" w:cs="宋体"/>
                <w:color w:val="000000"/>
                <w:sz w:val="21"/>
                <w:szCs w:val="21"/>
                <w:lang w:eastAsia="zh-CN"/>
              </w:rPr>
              <w:t>2555</w:t>
            </w:r>
            <w:r>
              <w:rPr>
                <w:rFonts w:hint="eastAsia" w:ascii="宋体" w:hAnsi="宋体" w:cs="宋体"/>
                <w:color w:val="000000"/>
                <w:sz w:val="21"/>
                <w:szCs w:val="21"/>
                <w:lang w:val="en-US" w:eastAsia="zh-CN"/>
              </w:rPr>
              <w:t>G</w:t>
            </w:r>
            <w:r>
              <w:rPr>
                <w:rFonts w:hint="eastAsia" w:ascii="宋体" w:hAnsi="宋体" w:cs="宋体"/>
                <w:sz w:val="21"/>
                <w:szCs w:val="21"/>
              </w:rPr>
              <w:t>〗</w:t>
            </w:r>
          </w:p>
          <w:p>
            <w:pPr>
              <w:widowControl/>
              <w:spacing w:line="360" w:lineRule="auto"/>
              <w:contextualSpacing/>
              <w:rPr>
                <w:rFonts w:hint="eastAsia" w:ascii="宋体" w:hAnsi="宋体" w:cs="宋体"/>
                <w:sz w:val="21"/>
                <w:szCs w:val="21"/>
              </w:rPr>
            </w:pPr>
            <w:r>
              <w:rPr>
                <w:rFonts w:hint="eastAsia" w:ascii="宋体" w:hAnsi="宋体" w:cs="宋体"/>
                <w:color w:val="000000"/>
                <w:sz w:val="21"/>
                <w:szCs w:val="21"/>
                <w:lang w:val="en-US" w:eastAsia="zh-CN"/>
              </w:rPr>
              <w:t>J</w:t>
            </w:r>
            <w:r>
              <w:rPr>
                <w:rFonts w:hint="eastAsia" w:ascii="宋体" w:hAnsi="宋体" w:cs="宋体"/>
                <w:color w:val="000000"/>
                <w:sz w:val="21"/>
                <w:szCs w:val="21"/>
              </w:rPr>
              <w:t>份额：</w:t>
            </w:r>
            <w:r>
              <w:rPr>
                <w:rFonts w:hint="eastAsia" w:ascii="宋体" w:hAnsi="宋体" w:cs="宋体"/>
                <w:sz w:val="21"/>
                <w:szCs w:val="21"/>
              </w:rPr>
              <w:t>〖</w:t>
            </w:r>
            <w:r>
              <w:rPr>
                <w:rFonts w:hint="eastAsia" w:ascii="宋体" w:hAnsi="宋体" w:cs="宋体"/>
                <w:color w:val="000000"/>
                <w:sz w:val="21"/>
                <w:szCs w:val="21"/>
              </w:rPr>
              <w:t>JQB</w:t>
            </w:r>
            <w:r>
              <w:rPr>
                <w:rFonts w:hint="eastAsia" w:ascii="宋体" w:hAnsi="宋体" w:cs="宋体"/>
                <w:color w:val="000000"/>
                <w:sz w:val="21"/>
                <w:szCs w:val="21"/>
                <w:lang w:eastAsia="zh-CN"/>
              </w:rPr>
              <w:t>2555</w:t>
            </w:r>
            <w:r>
              <w:rPr>
                <w:rFonts w:hint="eastAsia" w:ascii="宋体" w:hAnsi="宋体" w:cs="宋体"/>
                <w:color w:val="000000"/>
                <w:sz w:val="21"/>
                <w:szCs w:val="21"/>
                <w:lang w:val="en-US" w:eastAsia="zh-CN"/>
              </w:rPr>
              <w:t>J</w:t>
            </w:r>
            <w:r>
              <w:rPr>
                <w:rFonts w:hint="eastAsia" w:ascii="宋体" w:hAnsi="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登记编码</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Z7002225000364</w:t>
            </w:r>
            <w:r>
              <w:rPr>
                <w:rFonts w:hint="eastAsia" w:ascii="宋体" w:hAnsi="宋体" w:cs="宋体"/>
                <w:color w:val="000000"/>
                <w:sz w:val="21"/>
                <w:szCs w:val="21"/>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发行对象</w:t>
            </w:r>
          </w:p>
        </w:tc>
        <w:tc>
          <w:tcPr>
            <w:tcW w:w="7185" w:type="dxa"/>
            <w:noWrap w:val="0"/>
            <w:vAlign w:val="center"/>
          </w:tcPr>
          <w:p>
            <w:pPr>
              <w:widowControl/>
              <w:spacing w:line="360" w:lineRule="auto"/>
              <w:contextualSpacing/>
              <w:rPr>
                <w:rFonts w:ascii="宋体" w:hAnsi="宋体" w:cs="宋体"/>
                <w:bCs/>
                <w:sz w:val="21"/>
                <w:szCs w:val="21"/>
              </w:rPr>
            </w:pPr>
            <w:r>
              <w:rPr>
                <w:rFonts w:hint="eastAsia" w:ascii="宋体" w:hAnsi="宋体" w:cs="宋体"/>
                <w:color w:val="000000"/>
                <w:sz w:val="21"/>
                <w:szCs w:val="21"/>
              </w:rPr>
              <w:t>本理财计划适合</w:t>
            </w:r>
            <w:r>
              <w:rPr>
                <w:rFonts w:hint="eastAsia" w:ascii="宋体" w:hAnsi="宋体" w:cs="宋体"/>
                <w:b/>
                <w:sz w:val="21"/>
                <w:szCs w:val="21"/>
              </w:rPr>
              <w:t>〖</w:t>
            </w:r>
            <w:r>
              <w:rPr>
                <w:rFonts w:hint="eastAsia" w:ascii="宋体" w:hAnsi="宋体" w:cs="宋体"/>
                <w:b/>
                <w:color w:val="000000"/>
                <w:sz w:val="21"/>
                <w:szCs w:val="21"/>
              </w:rPr>
              <w:t>机构投资者</w:t>
            </w:r>
            <w:r>
              <w:rPr>
                <w:rFonts w:hint="eastAsia" w:ascii="宋体" w:hAnsi="宋体" w:cs="宋体"/>
                <w:b/>
                <w:sz w:val="21"/>
                <w:szCs w:val="21"/>
              </w:rPr>
              <w:t>〗</w:t>
            </w:r>
            <w:r>
              <w:rPr>
                <w:rFonts w:hint="eastAsia" w:ascii="宋体" w:hAnsi="宋体" w:cs="宋体"/>
                <w:b/>
                <w:color w:val="000000"/>
                <w:sz w:val="21"/>
                <w:szCs w:val="21"/>
              </w:rPr>
              <w:t>以及</w:t>
            </w:r>
            <w:r>
              <w:rPr>
                <w:rFonts w:hint="eastAsia" w:ascii="宋体" w:hAnsi="宋体" w:cs="宋体"/>
                <w:b/>
                <w:sz w:val="21"/>
                <w:szCs w:val="21"/>
              </w:rPr>
              <w:t>〖保守型、稳健型、平衡型、成长型、进取型〗</w:t>
            </w:r>
            <w:r>
              <w:rPr>
                <w:rFonts w:hint="eastAsia" w:ascii="宋体" w:hAnsi="宋体" w:cs="宋体"/>
                <w:b/>
                <w:color w:val="000000"/>
                <w:sz w:val="21"/>
                <w:szCs w:val="21"/>
              </w:rPr>
              <w:t>的个人投资者。</w:t>
            </w:r>
            <w:r>
              <w:rPr>
                <w:rFonts w:hint="eastAsia" w:ascii="宋体" w:hAnsi="宋体" w:cs="宋体"/>
                <w:bCs/>
                <w:sz w:val="21"/>
                <w:szCs w:val="21"/>
              </w:rPr>
              <w:t>投资者风险承受能力评级水平以销售机构评估为准。</w:t>
            </w:r>
          </w:p>
          <w:p>
            <w:pPr>
              <w:widowControl/>
              <w:spacing w:line="360" w:lineRule="auto"/>
              <w:contextualSpacing/>
              <w:rPr>
                <w:rFonts w:hint="eastAsia" w:ascii="宋体" w:hAnsi="宋体" w:cs="宋体"/>
                <w:bCs/>
                <w:color w:val="000000"/>
                <w:sz w:val="21"/>
                <w:szCs w:val="21"/>
              </w:rPr>
            </w:pPr>
            <w:r>
              <w:rPr>
                <w:rFonts w:hint="eastAsia" w:ascii="宋体" w:hAnsi="宋体" w:cs="宋体"/>
                <w:bCs/>
                <w:color w:val="000000"/>
                <w:sz w:val="21"/>
                <w:szCs w:val="21"/>
              </w:rPr>
              <w:t>其中：</w:t>
            </w:r>
          </w:p>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A份额</w:t>
            </w:r>
            <w:r>
              <w:rPr>
                <w:rFonts w:hint="eastAsia" w:ascii="宋体" w:hAnsi="宋体" w:cs="宋体"/>
                <w:color w:val="000000"/>
                <w:sz w:val="21"/>
                <w:szCs w:val="21"/>
                <w:lang w:val="en-US" w:eastAsia="zh-CN"/>
              </w:rPr>
              <w:t>（</w:t>
            </w:r>
            <w:r>
              <w:rPr>
                <w:rFonts w:hint="eastAsia" w:ascii="宋体" w:hAnsi="宋体" w:cs="宋体"/>
                <w:color w:val="000000"/>
                <w:sz w:val="21"/>
                <w:szCs w:val="21"/>
              </w:rPr>
              <w:t>销售代码〖JQB</w:t>
            </w:r>
            <w:r>
              <w:rPr>
                <w:rFonts w:hint="eastAsia" w:ascii="宋体" w:hAnsi="宋体" w:cs="宋体"/>
                <w:color w:val="000000"/>
                <w:sz w:val="21"/>
                <w:szCs w:val="21"/>
                <w:lang w:eastAsia="zh-CN"/>
              </w:rPr>
              <w:t>2555</w:t>
            </w:r>
            <w:r>
              <w:rPr>
                <w:rFonts w:hint="eastAsia" w:ascii="宋体" w:hAnsi="宋体" w:cs="宋体"/>
                <w:color w:val="000000"/>
                <w:sz w:val="21"/>
                <w:szCs w:val="21"/>
              </w:rPr>
              <w:t>A〗</w:t>
            </w:r>
            <w:r>
              <w:rPr>
                <w:rFonts w:hint="eastAsia" w:ascii="宋体" w:hAnsi="宋体" w:cs="宋体"/>
                <w:color w:val="000000"/>
                <w:sz w:val="21"/>
                <w:szCs w:val="21"/>
                <w:lang w:eastAsia="zh-CN"/>
              </w:rPr>
              <w:t>）</w:t>
            </w:r>
            <w:r>
              <w:rPr>
                <w:rFonts w:hint="eastAsia" w:ascii="宋体" w:hAnsi="宋体" w:cs="宋体"/>
                <w:color w:val="000000"/>
                <w:sz w:val="21"/>
                <w:szCs w:val="21"/>
              </w:rPr>
              <w:t>面向〖普通个人投资者和机构客户〗发售</w:t>
            </w:r>
          </w:p>
          <w:p>
            <w:pPr>
              <w:widowControl/>
              <w:spacing w:line="360" w:lineRule="auto"/>
              <w:contextualSpacing/>
              <w:rPr>
                <w:rFonts w:hint="eastAsia" w:ascii="宋体" w:hAnsi="宋体" w:cs="宋体"/>
                <w:color w:val="000000"/>
                <w:sz w:val="21"/>
                <w:szCs w:val="21"/>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B份额（销售代码〖JQB2555B〗）</w:t>
            </w:r>
            <w:r>
              <w:rPr>
                <w:rFonts w:hint="eastAsia" w:ascii="宋体" w:hAnsi="宋体" w:cs="宋体"/>
                <w:color w:val="000000"/>
                <w:sz w:val="21"/>
                <w:szCs w:val="21"/>
              </w:rPr>
              <w:t>面向〖普通个人投资者和机构客户〗发售</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C份额（销售代码〖JQB2555C〗）</w:t>
            </w:r>
            <w:r>
              <w:rPr>
                <w:rFonts w:hint="eastAsia" w:ascii="宋体" w:hAnsi="宋体" w:cs="宋体"/>
                <w:color w:val="000000"/>
                <w:sz w:val="21"/>
                <w:szCs w:val="21"/>
              </w:rPr>
              <w:t>面向〖普通个人投资者和机构客户〗发售</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E份额（销售代码〖JQB2555E〗）</w:t>
            </w:r>
            <w:r>
              <w:rPr>
                <w:rFonts w:hint="eastAsia" w:ascii="宋体" w:hAnsi="宋体" w:cs="宋体"/>
                <w:color w:val="000000"/>
                <w:sz w:val="21"/>
                <w:szCs w:val="21"/>
              </w:rPr>
              <w:t>面向〖普通个人投资者和机构客户〗发售</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F份额（销售代码〖JQB2555F〗）</w:t>
            </w:r>
            <w:r>
              <w:rPr>
                <w:rFonts w:hint="eastAsia" w:ascii="宋体" w:hAnsi="宋体" w:cs="宋体"/>
                <w:color w:val="000000"/>
                <w:sz w:val="21"/>
                <w:szCs w:val="21"/>
              </w:rPr>
              <w:t>面向〖普通个人投资者和机构客户〗发售</w:t>
            </w:r>
          </w:p>
          <w:p>
            <w:pPr>
              <w:widowControl/>
              <w:spacing w:line="360" w:lineRule="auto"/>
              <w:contextualSpacing/>
              <w:rPr>
                <w:rFonts w:hint="eastAsia" w:ascii="宋体" w:hAnsi="宋体" w:cs="宋体"/>
                <w:color w:val="000000"/>
                <w:sz w:val="21"/>
                <w:szCs w:val="21"/>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G份额（销售代码〖JQB2555G〗）</w:t>
            </w:r>
            <w:r>
              <w:rPr>
                <w:rFonts w:hint="eastAsia" w:ascii="宋体" w:hAnsi="宋体" w:cs="宋体"/>
                <w:color w:val="000000"/>
                <w:sz w:val="21"/>
                <w:szCs w:val="21"/>
              </w:rPr>
              <w:t>面向〖普通个人投资者和机构客户〗发售</w:t>
            </w:r>
          </w:p>
          <w:p>
            <w:pPr>
              <w:widowControl/>
              <w:spacing w:line="360" w:lineRule="auto"/>
              <w:contextualSpacing/>
              <w:rPr>
                <w:rFonts w:hint="eastAsia" w:ascii="宋体" w:hAnsi="宋体" w:cs="宋体"/>
                <w:color w:val="000000"/>
                <w:sz w:val="21"/>
                <w:szCs w:val="21"/>
              </w:rPr>
            </w:pPr>
            <w:r>
              <w:rPr>
                <w:rFonts w:hint="eastAsia" w:ascii="宋体" w:hAnsi="宋体" w:eastAsia="宋体" w:cs="宋体"/>
                <w:b w:val="0"/>
                <w:i w:val="0"/>
                <w:caps w:val="0"/>
                <w:strike w:val="0"/>
                <w:dstrike w:val="0"/>
                <w:shadow w:val="0"/>
                <w:emboss w:val="0"/>
                <w:imprint w:val="0"/>
                <w:color w:val="000000"/>
                <w:kern w:val="2"/>
                <w:position w:val="-1"/>
                <w:sz w:val="21"/>
                <w:u w:val="none"/>
                <w:vertAlign w:val="baseline"/>
                <w:lang w:val="en-US" w:eastAsia="zh-CN"/>
              </w:rPr>
              <w:t>J</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份额</w:t>
            </w:r>
            <w:r>
              <w:rPr>
                <w:rFonts w:hint="eastAsia" w:ascii="宋体" w:hAnsi="宋体" w:eastAsia="宋体" w:cs="宋体"/>
                <w:b w:val="0"/>
                <w:i w:val="0"/>
                <w:caps w:val="0"/>
                <w:strike w:val="0"/>
                <w:dstrike w:val="0"/>
                <w:shadow w:val="0"/>
                <w:emboss w:val="0"/>
                <w:imprint w:val="0"/>
                <w:color w:val="000000"/>
                <w:kern w:val="2"/>
                <w:position w:val="-1"/>
                <w:sz w:val="21"/>
                <w:u w:val="none"/>
                <w:vertAlign w:val="baseline"/>
                <w:lang w:eastAsia="zh-CN"/>
              </w:rPr>
              <w:t>（</w:t>
            </w:r>
            <w:r>
              <w:rPr>
                <w:rFonts w:hint="eastAsia" w:ascii="宋体" w:hAnsi="宋体" w:eastAsia="宋体" w:cs="宋体"/>
                <w:b w:val="0"/>
                <w:i w:val="0"/>
                <w:caps w:val="0"/>
                <w:strike w:val="0"/>
                <w:dstrike w:val="0"/>
                <w:shadow w:val="0"/>
                <w:emboss w:val="0"/>
                <w:imprint w:val="0"/>
                <w:color w:val="000000"/>
                <w:kern w:val="2"/>
                <w:position w:val="-1"/>
                <w:sz w:val="21"/>
                <w:u w:val="none"/>
                <w:vertAlign w:val="baseline"/>
                <w:lang w:val="en-US" w:eastAsia="zh-CN"/>
              </w:rPr>
              <w:t>鑫福款）</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（销售代码〖JQB2555</w:t>
            </w:r>
            <w:r>
              <w:rPr>
                <w:rFonts w:hint="eastAsia" w:ascii="宋体" w:hAnsi="宋体" w:eastAsia="宋体" w:cs="宋体"/>
                <w:b w:val="0"/>
                <w:i w:val="0"/>
                <w:caps w:val="0"/>
                <w:strike w:val="0"/>
                <w:dstrike w:val="0"/>
                <w:shadow w:val="0"/>
                <w:emboss w:val="0"/>
                <w:imprint w:val="0"/>
                <w:color w:val="000000"/>
                <w:kern w:val="2"/>
                <w:position w:val="-1"/>
                <w:sz w:val="21"/>
                <w:u w:val="none"/>
                <w:vertAlign w:val="baseline"/>
                <w:lang w:val="en-US" w:eastAsia="zh-CN"/>
              </w:rPr>
              <w:t>J</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t>
            </w:r>
            <w:r>
              <w:rPr>
                <w:rFonts w:hint="eastAsia" w:ascii="宋体" w:hAnsi="宋体" w:cs="宋体"/>
                <w:color w:val="000000"/>
                <w:sz w:val="21"/>
                <w:szCs w:val="21"/>
              </w:rPr>
              <w:t>面向〖普通个人投资者和机构客户〗发售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发行方式</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sz w:val="21"/>
                <w:szCs w:val="21"/>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产品类型</w:t>
            </w:r>
          </w:p>
        </w:tc>
        <w:tc>
          <w:tcPr>
            <w:tcW w:w="7185" w:type="dxa"/>
            <w:noWrap w:val="0"/>
            <w:vAlign w:val="center"/>
          </w:tcPr>
          <w:p>
            <w:pPr>
              <w:widowControl/>
              <w:spacing w:line="360" w:lineRule="auto"/>
              <w:contextualSpacing/>
              <w:rPr>
                <w:rFonts w:ascii="宋体" w:hAnsi="宋体" w:cs="宋体"/>
                <w:color w:val="000000"/>
                <w:sz w:val="21"/>
                <w:szCs w:val="21"/>
              </w:rPr>
            </w:pPr>
            <w:r>
              <w:rPr>
                <w:rFonts w:hint="eastAsia" w:ascii="宋体" w:hAnsi="宋体" w:cs="宋体"/>
                <w:sz w:val="21"/>
                <w:szCs w:val="21"/>
              </w:rPr>
              <w:t>〖</w:t>
            </w:r>
            <w:r>
              <w:rPr>
                <w:rFonts w:hint="eastAsia" w:ascii="宋体" w:hAnsi="宋体" w:cs="宋体"/>
                <w:sz w:val="21"/>
                <w:szCs w:val="21"/>
                <w:lang w:val="en-US" w:eastAsia="zh-CN"/>
              </w:rPr>
              <w:t>现金管理</w:t>
            </w:r>
            <w:r>
              <w:rPr>
                <w:rFonts w:hint="eastAsia" w:ascii="宋体" w:hAnsi="宋体" w:cs="宋体"/>
                <w:sz w:val="21"/>
                <w:szCs w:val="21"/>
              </w:rPr>
              <w:t>〗</w:t>
            </w:r>
            <w:r>
              <w:rPr>
                <w:rFonts w:hint="eastAsia" w:ascii="宋体" w:hAnsi="宋体" w:cs="宋体"/>
                <w:color w:val="000000"/>
                <w:sz w:val="21"/>
                <w:szCs w:val="21"/>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widowControl/>
              <w:spacing w:line="360" w:lineRule="auto"/>
              <w:contextualSpacing/>
              <w:jc w:val="center"/>
              <w:rPr>
                <w:rFonts w:ascii="宋体" w:hAnsi="宋体" w:cs="宋体"/>
                <w:color w:val="000000"/>
                <w:sz w:val="21"/>
                <w:szCs w:val="21"/>
              </w:rPr>
            </w:pPr>
            <w:r>
              <w:rPr>
                <w:rFonts w:hint="eastAsia" w:ascii="宋体" w:hAnsi="宋体" w:cs="宋体"/>
                <w:color w:val="000000"/>
                <w:sz w:val="21"/>
                <w:szCs w:val="21"/>
              </w:rPr>
              <w:t>运作模式</w:t>
            </w:r>
          </w:p>
        </w:tc>
        <w:tc>
          <w:tcPr>
            <w:tcW w:w="7185" w:type="dxa"/>
            <w:noWrap w:val="0"/>
            <w:vAlign w:val="center"/>
          </w:tcPr>
          <w:p>
            <w:pPr>
              <w:widowControl/>
              <w:spacing w:line="360" w:lineRule="auto"/>
              <w:contextualSpacing/>
              <w:rPr>
                <w:rFonts w:ascii="宋体" w:hAnsi="宋体" w:cs="宋体"/>
                <w:color w:val="000000"/>
                <w:sz w:val="21"/>
                <w:szCs w:val="21"/>
              </w:rPr>
            </w:pPr>
            <w:r>
              <w:rPr>
                <w:rFonts w:hint="eastAsia" w:ascii="宋体" w:hAnsi="宋体" w:cs="宋体"/>
                <w:color w:val="000000"/>
                <w:sz w:val="21"/>
                <w:szCs w:val="21"/>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分级产品</w:t>
            </w:r>
          </w:p>
        </w:tc>
        <w:tc>
          <w:tcPr>
            <w:tcW w:w="7185" w:type="dxa"/>
            <w:noWrap w:val="0"/>
            <w:vAlign w:val="center"/>
          </w:tcPr>
          <w:p>
            <w:pPr>
              <w:widowControl/>
              <w:spacing w:line="360" w:lineRule="auto"/>
              <w:contextualSpacing/>
              <w:rPr>
                <w:rFonts w:hint="eastAsia" w:ascii="宋体" w:hAnsi="宋体" w:cs="宋体"/>
                <w:sz w:val="21"/>
                <w:szCs w:val="21"/>
              </w:rPr>
            </w:pPr>
            <w:r>
              <w:rPr>
                <w:rFonts w:hint="eastAsia" w:ascii="宋体" w:hAnsi="宋体" w:cs="宋体"/>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销售范围</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sz w:val="21"/>
                <w:szCs w:val="21"/>
              </w:rPr>
              <w:t>〖</w:t>
            </w:r>
            <w:r>
              <w:rPr>
                <w:rFonts w:hint="eastAsia" w:ascii="宋体" w:hAnsi="宋体" w:cs="宋体"/>
                <w:color w:val="000000"/>
                <w:sz w:val="21"/>
                <w:szCs w:val="21"/>
              </w:rPr>
              <w:t>全国</w:t>
            </w:r>
            <w:r>
              <w:rPr>
                <w:rFonts w:hint="eastAsia" w:ascii="宋体" w:hAnsi="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销售渠道</w:t>
            </w:r>
          </w:p>
        </w:tc>
        <w:tc>
          <w:tcPr>
            <w:tcW w:w="7185" w:type="dxa"/>
            <w:noWrap w:val="0"/>
            <w:vAlign w:val="center"/>
          </w:tcPr>
          <w:p>
            <w:pPr>
              <w:widowControl/>
              <w:spacing w:line="360" w:lineRule="auto"/>
              <w:contextualSpacing/>
              <w:jc w:val="left"/>
              <w:rPr>
                <w:rFonts w:hint="eastAsia" w:ascii="宋体" w:hAnsi="宋体" w:cs="宋体"/>
                <w:color w:val="000000"/>
                <w:sz w:val="21"/>
                <w:szCs w:val="21"/>
              </w:rPr>
            </w:pPr>
            <w:r>
              <w:rPr>
                <w:rFonts w:hint="eastAsia" w:ascii="宋体" w:hAnsi="宋体" w:cs="宋体"/>
                <w:color w:val="000000"/>
                <w:sz w:val="21"/>
                <w:szCs w:val="21"/>
              </w:rPr>
              <w:t>可通过杭银理财直销渠道和代理销售机构的</w:t>
            </w:r>
            <w:r>
              <w:rPr>
                <w:rFonts w:hint="eastAsia" w:ascii="宋体" w:hAnsi="宋体" w:cs="宋体"/>
                <w:sz w:val="21"/>
                <w:szCs w:val="21"/>
              </w:rPr>
              <w:t>〖</w:t>
            </w:r>
            <w:r>
              <w:rPr>
                <w:rFonts w:hint="eastAsia" w:ascii="宋体" w:hAnsi="宋体" w:cs="宋体"/>
                <w:color w:val="000000"/>
                <w:sz w:val="21"/>
                <w:szCs w:val="21"/>
              </w:rPr>
              <w:t>营业网点、网上银行、手机银行</w:t>
            </w:r>
            <w:r>
              <w:rPr>
                <w:rFonts w:hint="eastAsia" w:ascii="宋体" w:hAnsi="宋体" w:cs="宋体"/>
                <w:sz w:val="21"/>
                <w:szCs w:val="21"/>
              </w:rPr>
              <w:t>〗</w:t>
            </w:r>
            <w:r>
              <w:rPr>
                <w:rFonts w:hint="eastAsia" w:ascii="宋体" w:hAnsi="宋体" w:cs="宋体"/>
                <w:color w:val="000000"/>
                <w:sz w:val="21"/>
                <w:szCs w:val="21"/>
              </w:rPr>
              <w:t>等渠道购买，通过代理销售机构购买的，具体销售渠道以代理销售机构披露为准。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交易币种</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sz w:val="21"/>
                <w:szCs w:val="21"/>
              </w:rPr>
              <w:t>〖</w:t>
            </w:r>
            <w:r>
              <w:rPr>
                <w:rFonts w:hint="eastAsia" w:ascii="宋体" w:hAnsi="宋体" w:cs="宋体"/>
                <w:color w:val="000000"/>
                <w:sz w:val="21"/>
                <w:szCs w:val="21"/>
              </w:rPr>
              <w:t>人民币</w:t>
            </w:r>
            <w:r>
              <w:rPr>
                <w:rFonts w:hint="eastAsia" w:ascii="宋体" w:hAnsi="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发行规模上限</w:t>
            </w:r>
          </w:p>
        </w:tc>
        <w:tc>
          <w:tcPr>
            <w:tcW w:w="7185" w:type="dxa"/>
            <w:noWrap w:val="0"/>
            <w:vAlign w:val="center"/>
          </w:tcPr>
          <w:p>
            <w:pPr>
              <w:tabs>
                <w:tab w:val="left" w:pos="360"/>
              </w:tabs>
              <w:jc w:val="left"/>
              <w:rPr>
                <w:rFonts w:hint="eastAsia" w:ascii="宋体" w:hAnsi="宋体"/>
                <w:kern w:val="0"/>
                <w:sz w:val="21"/>
                <w:szCs w:val="21"/>
              </w:rPr>
            </w:pPr>
            <w:r>
              <w:rPr>
                <w:rFonts w:hint="eastAsia" w:ascii="宋体" w:hAnsi="宋体"/>
                <w:kern w:val="0"/>
                <w:sz w:val="21"/>
                <w:szCs w:val="21"/>
              </w:rPr>
              <w:t>发行规模上限</w:t>
            </w:r>
            <w:r>
              <w:rPr>
                <w:rFonts w:hint="eastAsia" w:ascii="宋体" w:hAnsi="宋体"/>
                <w:sz w:val="21"/>
                <w:szCs w:val="21"/>
              </w:rPr>
              <w:t>〖</w:t>
            </w:r>
            <w:r>
              <w:rPr>
                <w:rFonts w:hint="eastAsia" w:ascii="宋体" w:hAnsi="宋体"/>
                <w:sz w:val="21"/>
                <w:szCs w:val="21"/>
                <w:lang w:val="en-US" w:eastAsia="zh-CN"/>
              </w:rPr>
              <w:t>2</w:t>
            </w:r>
            <w:r>
              <w:rPr>
                <w:rFonts w:ascii="宋体" w:hAnsi="宋体"/>
                <w:sz w:val="21"/>
                <w:szCs w:val="21"/>
              </w:rPr>
              <w:t>0</w:t>
            </w:r>
            <w:r>
              <w:rPr>
                <w:rFonts w:hint="eastAsia" w:ascii="宋体" w:hAnsi="宋体"/>
                <w:sz w:val="21"/>
                <w:szCs w:val="21"/>
              </w:rPr>
              <w:t>0〗</w:t>
            </w:r>
            <w:r>
              <w:rPr>
                <w:rFonts w:hint="eastAsia" w:ascii="宋体" w:hAnsi="宋体"/>
                <w:kern w:val="0"/>
                <w:sz w:val="21"/>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认购期</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 w:val="21"/>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 w:val="21"/>
                <w:szCs w:val="21"/>
                <w:highlight w:val="none"/>
              </w:rPr>
              <w:t>〗月〖</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 w:val="21"/>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 w:val="21"/>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 w:val="21"/>
                <w:szCs w:val="21"/>
                <w:highlight w:val="none"/>
              </w:rPr>
              <w:t>〗月〖</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 w:val="21"/>
                <w:szCs w:val="21"/>
                <w:highlight w:val="none"/>
              </w:rPr>
              <w:t>〗日</w:t>
            </w:r>
            <w:r>
              <w:rPr>
                <w:rFonts w:hint="eastAsia" w:ascii="宋体" w:hAnsi="宋体" w:cs="宋体"/>
                <w:color w:val="000000"/>
                <w:kern w:val="0"/>
                <w:sz w:val="21"/>
                <w:szCs w:val="21"/>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认购时间</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认购期首日〖9：00〗至认购结束日〖1</w:t>
            </w:r>
            <w:r>
              <w:rPr>
                <w:rFonts w:ascii="宋体" w:hAnsi="宋体" w:cs="宋体"/>
                <w:color w:val="000000"/>
                <w:sz w:val="21"/>
                <w:szCs w:val="21"/>
              </w:rPr>
              <w:t>7</w:t>
            </w:r>
            <w:r>
              <w:rPr>
                <w:rFonts w:hint="eastAsia" w:ascii="宋体" w:hAnsi="宋体" w:cs="宋体"/>
                <w:color w:val="000000"/>
                <w:sz w:val="21"/>
                <w:szCs w:val="21"/>
              </w:rPr>
              <w:t>：00〗</w:t>
            </w:r>
            <w:r>
              <w:rPr>
                <w:rFonts w:hint="eastAsia" w:ascii="宋体" w:hAnsi="宋体" w:cs="宋体"/>
                <w:color w:val="000000"/>
                <w:kern w:val="0"/>
                <w:sz w:val="21"/>
                <w:szCs w:val="21"/>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成立日</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〖202</w:t>
            </w:r>
            <w:r>
              <w:rPr>
                <w:rFonts w:hint="eastAsia" w:ascii="宋体" w:hAnsi="宋体" w:cs="宋体"/>
                <w:color w:val="000000"/>
                <w:sz w:val="21"/>
                <w:szCs w:val="21"/>
                <w:lang w:val="en-US" w:eastAsia="zh-CN"/>
              </w:rPr>
              <w:t>5</w:t>
            </w:r>
            <w:r>
              <w:rPr>
                <w:rFonts w:hint="eastAsia" w:ascii="宋体" w:hAnsi="宋体" w:cs="宋体"/>
                <w:color w:val="000000"/>
                <w:sz w:val="21"/>
                <w:szCs w:val="21"/>
              </w:rPr>
              <w:t>〗年〖</w:t>
            </w:r>
            <w:r>
              <w:rPr>
                <w:rFonts w:hint="eastAsia" w:ascii="宋体" w:hAnsi="宋体" w:cs="宋体"/>
                <w:color w:val="000000"/>
                <w:sz w:val="21"/>
                <w:szCs w:val="21"/>
                <w:lang w:val="en-US" w:eastAsia="zh-CN"/>
              </w:rPr>
              <w:t>12</w:t>
            </w:r>
            <w:r>
              <w:rPr>
                <w:rFonts w:hint="eastAsia" w:ascii="宋体" w:hAnsi="宋体" w:cs="宋体"/>
                <w:color w:val="000000"/>
                <w:sz w:val="21"/>
                <w:szCs w:val="21"/>
              </w:rPr>
              <w:t>〗月〖</w:t>
            </w:r>
            <w:r>
              <w:rPr>
                <w:rFonts w:hint="eastAsia" w:ascii="宋体" w:hAnsi="宋体" w:cs="宋体"/>
                <w:color w:val="000000"/>
                <w:sz w:val="21"/>
                <w:szCs w:val="21"/>
                <w:lang w:val="en-US" w:eastAsia="zh-CN"/>
              </w:rPr>
              <w:t>2</w:t>
            </w:r>
            <w:r>
              <w:rPr>
                <w:rFonts w:hint="eastAsia" w:ascii="宋体" w:hAnsi="宋体" w:cs="宋体"/>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理财期限</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无固定期限（实际理财期限受制于管理人提前终止权等条款）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封闭期</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无封闭期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认购/申购</w:t>
            </w:r>
          </w:p>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起点金额</w:t>
            </w:r>
          </w:p>
        </w:tc>
        <w:tc>
          <w:tcPr>
            <w:tcW w:w="7185" w:type="dxa"/>
            <w:noWrap w:val="0"/>
            <w:vAlign w:val="center"/>
          </w:tcPr>
          <w:p>
            <w:pPr>
              <w:widowControl/>
              <w:spacing w:line="360" w:lineRule="auto"/>
              <w:contextualSpacing/>
              <w:rPr>
                <w:rFonts w:hint="eastAsia" w:ascii="宋体" w:hAnsi="宋体" w:cs="宋体"/>
                <w:bCs/>
                <w:color w:val="FF0000"/>
                <w:sz w:val="21"/>
                <w:szCs w:val="21"/>
              </w:rPr>
            </w:pPr>
            <w:r>
              <w:rPr>
                <w:rFonts w:hint="eastAsia" w:ascii="宋体" w:hAnsi="宋体" w:cs="宋体"/>
                <w:color w:val="000000"/>
                <w:sz w:val="21"/>
                <w:szCs w:val="21"/>
              </w:rPr>
              <w:t>起点</w:t>
            </w:r>
            <w:r>
              <w:rPr>
                <w:rFonts w:hint="eastAsia" w:ascii="宋体" w:hAnsi="宋体" w:cs="宋体"/>
                <w:sz w:val="21"/>
                <w:szCs w:val="21"/>
              </w:rPr>
              <w:t>〖0</w:t>
            </w:r>
            <w:r>
              <w:rPr>
                <w:rFonts w:ascii="宋体" w:hAnsi="宋体" w:cs="宋体"/>
                <w:sz w:val="21"/>
                <w:szCs w:val="21"/>
              </w:rPr>
              <w:t>.0</w:t>
            </w:r>
            <w:r>
              <w:rPr>
                <w:rFonts w:hint="eastAsia" w:ascii="宋体" w:hAnsi="宋体" w:cs="宋体"/>
                <w:sz w:val="21"/>
                <w:szCs w:val="21"/>
              </w:rPr>
              <w:t>1〗</w:t>
            </w:r>
            <w:r>
              <w:rPr>
                <w:rFonts w:hint="eastAsia" w:ascii="宋体" w:hAnsi="宋体" w:cs="宋体"/>
                <w:color w:val="000000"/>
                <w:sz w:val="21"/>
                <w:szCs w:val="21"/>
              </w:rPr>
              <w:t>元整，超过认/申购起点部分，应为</w:t>
            </w:r>
            <w:r>
              <w:rPr>
                <w:rFonts w:hint="eastAsia" w:ascii="宋体" w:hAnsi="宋体" w:cs="宋体"/>
                <w:sz w:val="21"/>
                <w:szCs w:val="21"/>
              </w:rPr>
              <w:t>〖0.01〗</w:t>
            </w:r>
            <w:r>
              <w:rPr>
                <w:rFonts w:hint="eastAsia" w:ascii="宋体" w:hAnsi="宋体" w:cs="宋体"/>
                <w:color w:val="000000"/>
                <w:sz w:val="21"/>
                <w:szCs w:val="21"/>
              </w:rPr>
              <w:t>元的整数倍。</w:t>
            </w:r>
            <w:r>
              <w:rPr>
                <w:rFonts w:hint="eastAsia" w:ascii="宋体" w:hAnsi="宋体" w:cs="宋体"/>
                <w:color w:val="000000"/>
                <w:kern w:val="0"/>
                <w:sz w:val="21"/>
                <w:szCs w:val="21"/>
              </w:rPr>
              <w:t>具体以销售机构规定为准。投资者全额赎回不再持有本产品份额后再次申购，视同首次申购处理。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认购份额</w:t>
            </w:r>
          </w:p>
        </w:tc>
        <w:tc>
          <w:tcPr>
            <w:tcW w:w="7185" w:type="dxa"/>
            <w:noWrap w:val="0"/>
            <w:vAlign w:val="center"/>
          </w:tcPr>
          <w:p>
            <w:pPr>
              <w:widowControl/>
              <w:spacing w:line="360" w:lineRule="auto"/>
              <w:contextualSpacing/>
              <w:rPr>
                <w:rFonts w:ascii="宋体" w:hAnsi="宋体" w:cs="宋体"/>
                <w:color w:val="000000"/>
                <w:sz w:val="21"/>
                <w:szCs w:val="21"/>
              </w:rPr>
            </w:pPr>
            <w:r>
              <w:rPr>
                <w:rFonts w:hint="eastAsia" w:ascii="宋体" w:hAnsi="宋体" w:cs="宋体"/>
                <w:color w:val="000000"/>
                <w:sz w:val="21"/>
                <w:szCs w:val="21"/>
              </w:rPr>
              <w:t>认购份额=认购金额/1元。认购份额保留至0.01份理财计划份额，小数点后两位以下四舍五入。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开放日</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理财计划封闭期结束后每个国家法定工作日为申购赎回开放日。（</w:t>
            </w:r>
            <w:r>
              <w:rPr>
                <w:rFonts w:hint="eastAsia" w:ascii="宋体" w:hAnsi="宋体" w:cs="宋体"/>
                <w:color w:val="000000"/>
                <w:kern w:val="0"/>
                <w:sz w:val="21"/>
                <w:szCs w:val="21"/>
              </w:rPr>
              <w:t>具体以销售机构规定为准</w:t>
            </w:r>
            <w:r>
              <w:rPr>
                <w:rFonts w:hint="eastAsia" w:ascii="宋体" w:hAnsi="宋体" w:cs="宋体"/>
                <w:color w:val="000000"/>
                <w:sz w:val="21"/>
                <w:szCs w:val="21"/>
              </w:rPr>
              <w:t>）</w:t>
            </w:r>
          </w:p>
          <w:p>
            <w:pPr>
              <w:widowControl/>
              <w:spacing w:line="360" w:lineRule="auto"/>
              <w:contextualSpacing/>
              <w:rPr>
                <w:rFonts w:ascii="宋体" w:hAnsi="宋体" w:cs="宋体"/>
                <w:color w:val="000000"/>
                <w:sz w:val="21"/>
                <w:szCs w:val="21"/>
              </w:rPr>
            </w:pPr>
            <w:r>
              <w:rPr>
                <w:rFonts w:hint="eastAsia" w:ascii="宋体" w:hAnsi="宋体" w:cs="宋体"/>
                <w:color w:val="000000"/>
                <w:sz w:val="21"/>
                <w:szCs w:val="21"/>
              </w:rPr>
              <w:t>在理财计划存续期内，管理人有权根据市场情况变化暂停本理财计划的申购、赎回，</w:t>
            </w:r>
            <w:r>
              <w:rPr>
                <w:rFonts w:hint="eastAsia" w:ascii="宋体" w:hAnsi="宋体" w:cs="宋体"/>
                <w:bCs/>
                <w:color w:val="000000"/>
                <w:sz w:val="21"/>
                <w:szCs w:val="21"/>
              </w:rPr>
              <w:t>暂停申购、赎回的</w:t>
            </w:r>
            <w:r>
              <w:rPr>
                <w:rFonts w:hint="eastAsia" w:ascii="宋体" w:hAnsi="宋体" w:cs="宋体"/>
                <w:color w:val="000000"/>
                <w:sz w:val="21"/>
                <w:szCs w:val="21"/>
              </w:rPr>
              <w:t>公告将通过管理人或销售机构网站发布。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rPr>
            </w:pPr>
            <w:r>
              <w:rPr>
                <w:rFonts w:hint="eastAsia" w:ascii="宋体" w:hAnsi="宋体" w:cs="宋体"/>
                <w:color w:val="000000"/>
                <w:sz w:val="21"/>
                <w:szCs w:val="21"/>
              </w:rPr>
              <w:t>交易时间</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1.本理财计划在每个开放日工作时间均可受理申购、赎回申请，其余时间为预受理。申、赎申请将在确认日，即开放日后的第</w:t>
            </w:r>
            <w:r>
              <w:rPr>
                <w:rFonts w:hint="eastAsia" w:ascii="宋体" w:hAnsi="宋体" w:cs="宋体"/>
                <w:sz w:val="21"/>
                <w:szCs w:val="21"/>
              </w:rPr>
              <w:t>〖1〗个</w:t>
            </w:r>
            <w:r>
              <w:rPr>
                <w:rFonts w:hint="eastAsia" w:ascii="宋体" w:hAnsi="宋体" w:cs="宋体"/>
                <w:bCs/>
                <w:sz w:val="21"/>
                <w:szCs w:val="21"/>
              </w:rPr>
              <w:t>工作日进行确认</w:t>
            </w:r>
            <w:r>
              <w:rPr>
                <w:rFonts w:hint="eastAsia" w:ascii="宋体" w:hAnsi="宋体" w:cs="宋体"/>
                <w:color w:val="000000"/>
                <w:sz w:val="21"/>
                <w:szCs w:val="21"/>
              </w:rPr>
              <w:t>。（</w:t>
            </w:r>
            <w:r>
              <w:rPr>
                <w:rFonts w:hint="eastAsia" w:ascii="宋体" w:hAnsi="宋体" w:cs="宋体"/>
                <w:color w:val="000000"/>
                <w:kern w:val="0"/>
                <w:sz w:val="21"/>
                <w:szCs w:val="21"/>
              </w:rPr>
              <w:t>具体以销售机构规定为准</w:t>
            </w:r>
            <w:r>
              <w:rPr>
                <w:rFonts w:hint="eastAsia" w:ascii="宋体" w:hAnsi="宋体" w:cs="宋体"/>
                <w:color w:val="000000"/>
                <w:sz w:val="21"/>
                <w:szCs w:val="21"/>
              </w:rPr>
              <w:t>）</w:t>
            </w:r>
          </w:p>
          <w:p>
            <w:pPr>
              <w:widowControl/>
              <w:spacing w:line="360" w:lineRule="auto"/>
              <w:contextualSpacing/>
              <w:rPr>
                <w:rFonts w:hint="eastAsia" w:ascii="宋体" w:hAnsi="宋体" w:cs="宋体"/>
                <w:bCs/>
                <w:color w:val="FF0000"/>
                <w:sz w:val="21"/>
                <w:szCs w:val="21"/>
              </w:rPr>
            </w:pPr>
            <w:r>
              <w:rPr>
                <w:rFonts w:hint="eastAsia" w:ascii="宋体" w:hAnsi="宋体" w:cs="宋体"/>
                <w:color w:val="000000"/>
                <w:sz w:val="21"/>
                <w:szCs w:val="21"/>
              </w:rPr>
              <w:t>2.工作时间为每个工作日上午〖</w:t>
            </w:r>
            <w:r>
              <w:rPr>
                <w:rFonts w:hint="eastAsia" w:ascii="宋体" w:hAnsi="宋体" w:cs="宋体"/>
                <w:color w:val="000000"/>
                <w:sz w:val="21"/>
                <w:szCs w:val="21"/>
                <w:lang w:val="en-US" w:eastAsia="zh-CN"/>
              </w:rPr>
              <w:t>0</w:t>
            </w:r>
            <w:r>
              <w:rPr>
                <w:rFonts w:hint="eastAsia" w:ascii="宋体" w:hAnsi="宋体" w:cs="宋体"/>
                <w:color w:val="000000"/>
                <w:sz w:val="21"/>
                <w:szCs w:val="21"/>
              </w:rPr>
              <w:t>:00〗至下午〖</w:t>
            </w:r>
            <w:r>
              <w:rPr>
                <w:rFonts w:hint="eastAsia" w:ascii="宋体" w:hAnsi="宋体" w:cs="宋体"/>
                <w:color w:val="000000"/>
                <w:sz w:val="21"/>
                <w:szCs w:val="21"/>
                <w:lang w:val="en-US" w:eastAsia="zh-CN"/>
              </w:rPr>
              <w:t>24</w:t>
            </w:r>
            <w:r>
              <w:rPr>
                <w:rFonts w:hint="eastAsia" w:ascii="宋体" w:hAnsi="宋体" w:cs="宋体"/>
                <w:color w:val="000000"/>
                <w:sz w:val="21"/>
                <w:szCs w:val="21"/>
              </w:rPr>
              <w:t>:</w:t>
            </w:r>
            <w:r>
              <w:rPr>
                <w:rFonts w:hint="eastAsia" w:ascii="宋体" w:hAnsi="宋体" w:cs="宋体"/>
                <w:color w:val="000000"/>
                <w:sz w:val="21"/>
                <w:szCs w:val="21"/>
                <w:lang w:val="en-US" w:eastAsia="zh-CN"/>
              </w:rPr>
              <w:t>00</w:t>
            </w:r>
            <w:r>
              <w:rPr>
                <w:rFonts w:hint="eastAsia" w:ascii="宋体" w:hAnsi="宋体" w:cs="宋体"/>
                <w:color w:val="000000"/>
                <w:sz w:val="21"/>
                <w:szCs w:val="21"/>
              </w:rPr>
              <w:t>〗</w:t>
            </w:r>
            <w:r>
              <w:rPr>
                <w:rFonts w:hint="eastAsia" w:ascii="宋体" w:hAnsi="宋体" w:eastAsia="宋体" w:cs="宋体"/>
                <w:color w:val="000000"/>
                <w:kern w:val="2"/>
                <w:sz w:val="21"/>
                <w:szCs w:val="21"/>
                <w:lang w:val="en-US" w:eastAsia="zh-CN" w:bidi="ar"/>
              </w:rPr>
              <w:t>(不含)</w:t>
            </w:r>
            <w:r>
              <w:rPr>
                <w:rFonts w:hint="eastAsia" w:ascii="宋体" w:hAnsi="宋体" w:cs="宋体"/>
                <w:color w:val="000000"/>
                <w:sz w:val="21"/>
                <w:szCs w:val="21"/>
              </w:rPr>
              <w:t>。</w:t>
            </w:r>
            <w:r>
              <w:rPr>
                <w:rFonts w:hint="eastAsia" w:ascii="宋体" w:hAnsi="宋体" w:cs="宋体"/>
                <w:color w:val="000000"/>
                <w:kern w:val="0"/>
                <w:sz w:val="21"/>
                <w:szCs w:val="21"/>
              </w:rPr>
              <w:t>（具体以销售机构规定为准）</w:t>
            </w:r>
          </w:p>
          <w:p>
            <w:pPr>
              <w:widowControl/>
              <w:spacing w:line="360" w:lineRule="auto"/>
              <w:contextualSpacing/>
              <w:rPr>
                <w:rFonts w:ascii="宋体" w:hAnsi="宋体" w:cs="宋体"/>
                <w:bCs/>
                <w:color w:val="FF0000"/>
                <w:sz w:val="21"/>
                <w:szCs w:val="21"/>
              </w:rPr>
            </w:pPr>
            <w:r>
              <w:rPr>
                <w:rFonts w:hint="eastAsia" w:ascii="宋体" w:hAnsi="宋体" w:cs="宋体"/>
                <w:bCs/>
                <w:sz w:val="21"/>
                <w:szCs w:val="21"/>
              </w:rPr>
              <w:t>3.上述交易安排如有调整，请以管理人公告为准。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rPr>
            </w:pPr>
            <w:r>
              <w:rPr>
                <w:rFonts w:hint="eastAsia" w:ascii="宋体" w:hAnsi="宋体" w:cs="宋体"/>
                <w:color w:val="000000"/>
                <w:sz w:val="21"/>
                <w:szCs w:val="21"/>
              </w:rPr>
              <w:t>巨额赎回</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理财计划存续期内，若理财计划开放日净赎回申请份额超过上一日日终理财计划总份额</w:t>
            </w:r>
            <w:r>
              <w:rPr>
                <w:rFonts w:hint="eastAsia" w:ascii="宋体" w:hAnsi="宋体" w:cs="宋体"/>
                <w:sz w:val="21"/>
                <w:szCs w:val="21"/>
              </w:rPr>
              <w:t>〖</w:t>
            </w:r>
            <w:r>
              <w:rPr>
                <w:rFonts w:hint="eastAsia" w:ascii="宋体" w:hAnsi="宋体" w:cs="宋体"/>
                <w:color w:val="000000"/>
                <w:sz w:val="21"/>
                <w:szCs w:val="21"/>
              </w:rPr>
              <w:t>10%</w:t>
            </w:r>
            <w:r>
              <w:rPr>
                <w:rFonts w:hint="eastAsia" w:ascii="宋体" w:hAnsi="宋体" w:cs="宋体"/>
                <w:sz w:val="21"/>
                <w:szCs w:val="21"/>
              </w:rPr>
              <w:t>〗</w:t>
            </w:r>
            <w:r>
              <w:rPr>
                <w:rFonts w:hint="eastAsia" w:ascii="宋体" w:hAnsi="宋体" w:cs="宋体"/>
                <w:color w:val="000000"/>
                <w:sz w:val="21"/>
                <w:szCs w:val="21"/>
              </w:rPr>
              <w:t>时，管理人有权暂停或拒绝接受赎回申请，并最迟于下一工作日进行对外公告。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rPr>
            </w:pPr>
            <w:r>
              <w:rPr>
                <w:rFonts w:hint="eastAsia" w:ascii="宋体" w:hAnsi="宋体" w:cs="宋体"/>
                <w:color w:val="000000"/>
                <w:sz w:val="21"/>
                <w:szCs w:val="21"/>
              </w:rPr>
              <w:t>单户限额</w:t>
            </w:r>
          </w:p>
        </w:tc>
        <w:tc>
          <w:tcPr>
            <w:tcW w:w="7185" w:type="dxa"/>
            <w:noWrap w:val="0"/>
            <w:vAlign w:val="center"/>
          </w:tcPr>
          <w:p>
            <w:pPr>
              <w:widowControl/>
              <w:numPr>
                <w:ilvl w:val="0"/>
                <w:numId w:val="18"/>
              </w:numPr>
              <w:spacing w:line="360" w:lineRule="auto"/>
              <w:contextualSpacing/>
              <w:rPr>
                <w:rFonts w:hint="eastAsia" w:ascii="宋体" w:hAnsi="宋体" w:cs="宋体"/>
                <w:color w:val="000000"/>
                <w:sz w:val="21"/>
                <w:szCs w:val="21"/>
              </w:rPr>
            </w:pPr>
            <w:r>
              <w:rPr>
                <w:rFonts w:hint="eastAsia" w:ascii="宋体" w:hAnsi="宋体" w:cs="宋体"/>
                <w:color w:val="000000"/>
                <w:sz w:val="21"/>
                <w:szCs w:val="21"/>
                <w:highlight w:val="none"/>
              </w:rPr>
              <w:t>单户持有最高〖</w:t>
            </w:r>
            <w:r>
              <w:rPr>
                <w:rFonts w:hint="eastAsia" w:ascii="宋体" w:hAnsi="宋体" w:cs="宋体"/>
                <w:color w:val="000000"/>
                <w:sz w:val="21"/>
                <w:szCs w:val="21"/>
                <w:highlight w:val="none"/>
                <w:lang w:eastAsia="zh"/>
              </w:rPr>
              <w:t>金额</w:t>
            </w:r>
            <w:r>
              <w:rPr>
                <w:rFonts w:hint="eastAsia" w:ascii="宋体" w:hAnsi="宋体" w:cs="宋体"/>
                <w:color w:val="000000"/>
                <w:sz w:val="21"/>
                <w:szCs w:val="21"/>
                <w:highlight w:val="none"/>
              </w:rPr>
              <w:t>〗为</w:t>
            </w:r>
            <w:r>
              <w:rPr>
                <w:rFonts w:hint="eastAsia" w:ascii="宋体" w:hAnsi="宋体" w:eastAsia="宋体" w:cs="宋体"/>
                <w:color w:val="000000"/>
                <w:kern w:val="2"/>
                <w:sz w:val="21"/>
                <w:szCs w:val="21"/>
                <w:highlight w:val="none"/>
                <w:lang w:val="en-US" w:eastAsia="zh-CN" w:bidi="ar-SA"/>
              </w:rPr>
              <w:t>〖1〗亿元</w:t>
            </w:r>
            <w:r>
              <w:rPr>
                <w:rFonts w:hint="eastAsia" w:ascii="宋体" w:hAnsi="宋体" w:cs="宋体"/>
                <w:color w:val="000000"/>
                <w:sz w:val="21"/>
                <w:szCs w:val="21"/>
              </w:rPr>
              <w:t>，单笔赎回最低份额为0.01份，超过部分应为0.01份的整数倍。</w:t>
            </w:r>
          </w:p>
          <w:p>
            <w:pPr>
              <w:widowControl/>
              <w:spacing w:line="360" w:lineRule="auto"/>
              <w:contextualSpacing/>
              <w:rPr>
                <w:rFonts w:hint="eastAsia" w:ascii="宋体" w:hAnsi="宋体" w:cs="宋体"/>
                <w:color w:val="000000"/>
                <w:sz w:val="21"/>
                <w:szCs w:val="21"/>
              </w:rPr>
            </w:pPr>
            <w:r>
              <w:rPr>
                <w:rFonts w:ascii="宋体" w:hAnsi="宋体" w:cs="宋体"/>
                <w:color w:val="000000"/>
                <w:sz w:val="21"/>
                <w:szCs w:val="21"/>
              </w:rPr>
              <w:t>2</w:t>
            </w:r>
            <w:r>
              <w:rPr>
                <w:rFonts w:hint="eastAsia" w:ascii="宋体" w:hAnsi="宋体" w:cs="宋体"/>
                <w:color w:val="000000"/>
                <w:sz w:val="21"/>
                <w:szCs w:val="21"/>
              </w:rPr>
              <w:t>.单户最低存续份额为0.01份。受理财收益分配去尾规则的影响，投资者持有理财计划份额较低时可能无法取得收益。</w:t>
            </w:r>
          </w:p>
          <w:p>
            <w:pPr>
              <w:widowControl/>
              <w:spacing w:line="360" w:lineRule="auto"/>
              <w:contextualSpacing/>
              <w:rPr>
                <w:rFonts w:ascii="宋体" w:hAnsi="宋体" w:cs="宋体"/>
                <w:color w:val="000000"/>
                <w:sz w:val="21"/>
                <w:szCs w:val="21"/>
              </w:rPr>
            </w:pPr>
            <w:r>
              <w:rPr>
                <w:rFonts w:ascii="宋体" w:hAnsi="宋体" w:cs="宋体"/>
                <w:color w:val="000000"/>
                <w:sz w:val="21"/>
                <w:szCs w:val="21"/>
              </w:rPr>
              <w:t>3</w:t>
            </w:r>
            <w:r>
              <w:rPr>
                <w:rFonts w:hint="eastAsia" w:ascii="宋体" w:hAnsi="宋体" w:cs="宋体"/>
                <w:color w:val="000000"/>
                <w:sz w:val="21"/>
                <w:szCs w:val="21"/>
              </w:rPr>
              <w:t>.在理财计划存续期内，管理人有权根据市场情况变化调整单户单日赎回份额上限及巨额赎回金额上限比例，相关公告最迟于下一工作日在管理人或销售机构网站进行公告。</w:t>
            </w:r>
          </w:p>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注：本产品单一投资者持有份额不得超过产品总份额50%。投资者提出认购/申购申请时，如认购/申购后投资者持有份额超过产品总份额的50%，管理人有权不接受超过单个投资者持仓份额比例限制的申请。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rPr>
            </w:pPr>
            <w:r>
              <w:rPr>
                <w:rFonts w:hint="eastAsia" w:ascii="宋体" w:hAnsi="宋体" w:cs="宋体"/>
                <w:color w:val="000000"/>
                <w:sz w:val="21"/>
                <w:szCs w:val="21"/>
              </w:rPr>
              <w:t>申购份额</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bCs/>
                <w:sz w:val="21"/>
                <w:szCs w:val="21"/>
              </w:rPr>
              <w:t>申购份额=申购金额</w:t>
            </w:r>
            <w:r>
              <w:rPr>
                <w:rFonts w:hint="eastAsia" w:ascii="宋体" w:hAnsi="宋体" w:cs="宋体"/>
                <w:color w:val="000000"/>
                <w:sz w:val="21"/>
                <w:szCs w:val="21"/>
              </w:rPr>
              <w:t>/1元</w:t>
            </w:r>
            <w:r>
              <w:rPr>
                <w:rFonts w:hint="eastAsia" w:ascii="宋体" w:hAnsi="宋体" w:cs="宋体"/>
                <w:bCs/>
                <w:sz w:val="21"/>
                <w:szCs w:val="21"/>
              </w:rPr>
              <w:t>。申购</w:t>
            </w:r>
            <w:r>
              <w:rPr>
                <w:rFonts w:hint="eastAsia" w:ascii="宋体" w:hAnsi="宋体" w:cs="宋体"/>
                <w:color w:val="000000"/>
                <w:sz w:val="21"/>
                <w:szCs w:val="21"/>
              </w:rPr>
              <w:t>份额保留至0.01份理财计划份额，小数点后两位以下四舍五入。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rPr>
            </w:pPr>
            <w:r>
              <w:rPr>
                <w:rFonts w:hint="eastAsia" w:ascii="宋体" w:hAnsi="宋体" w:cs="宋体"/>
                <w:color w:val="000000"/>
                <w:sz w:val="21"/>
                <w:szCs w:val="21"/>
              </w:rPr>
              <w:t>赎回金额</w:t>
            </w:r>
          </w:p>
        </w:tc>
        <w:tc>
          <w:tcPr>
            <w:tcW w:w="7185" w:type="dxa"/>
            <w:noWrap w:val="0"/>
            <w:vAlign w:val="center"/>
          </w:tcPr>
          <w:p>
            <w:pPr>
              <w:widowControl/>
              <w:spacing w:line="360" w:lineRule="auto"/>
              <w:contextualSpacing/>
              <w:rPr>
                <w:rFonts w:ascii="宋体" w:hAnsi="宋体" w:cs="宋体"/>
                <w:color w:val="000000"/>
                <w:sz w:val="21"/>
                <w:szCs w:val="21"/>
              </w:rPr>
            </w:pPr>
            <w:r>
              <w:rPr>
                <w:rFonts w:hint="eastAsia" w:ascii="宋体" w:hAnsi="宋体" w:cs="宋体"/>
                <w:color w:val="000000"/>
                <w:sz w:val="21"/>
                <w:szCs w:val="21"/>
              </w:rPr>
              <w:t>赎回金额=赎</w:t>
            </w:r>
            <w:r>
              <w:rPr>
                <w:rFonts w:hint="eastAsia" w:ascii="宋体" w:hAnsi="宋体" w:cs="宋体"/>
                <w:bCs/>
                <w:sz w:val="21"/>
                <w:szCs w:val="21"/>
              </w:rPr>
              <w:t>回份额×</w:t>
            </w:r>
            <w:r>
              <w:rPr>
                <w:rFonts w:hint="eastAsia" w:ascii="宋体" w:hAnsi="宋体" w:cs="宋体"/>
                <w:color w:val="000000"/>
                <w:sz w:val="21"/>
                <w:szCs w:val="21"/>
              </w:rPr>
              <w:t>1元</w:t>
            </w:r>
            <w:r>
              <w:rPr>
                <w:rFonts w:hint="eastAsia" w:ascii="宋体" w:hAnsi="宋体" w:cs="宋体"/>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单位净值</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1.本理财计划采用1.00元固定份额净值交易方式。</w:t>
            </w:r>
          </w:p>
          <w:p>
            <w:pPr>
              <w:widowControl/>
              <w:spacing w:line="360" w:lineRule="auto"/>
              <w:contextualSpacing/>
              <w:rPr>
                <w:rFonts w:ascii="宋体" w:hAnsi="宋体" w:cs="宋体"/>
                <w:b/>
                <w:color w:val="000000"/>
                <w:sz w:val="21"/>
                <w:szCs w:val="21"/>
              </w:rPr>
            </w:pPr>
            <w:r>
              <w:rPr>
                <w:rFonts w:hint="eastAsia" w:ascii="宋体" w:hAnsi="宋体" w:cs="宋体"/>
                <w:bCs/>
                <w:color w:val="000000"/>
                <w:sz w:val="21"/>
                <w:szCs w:val="21"/>
              </w:rPr>
              <w:t>2.若理财计划开放日估值时，出现理财单位份额净值小于1的情况，管理人将暂停本理财计划的申购、赎回，暂停申购、赎回的公告将通过管理人或销售机构网站发布。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资金与收益支付方式</w:t>
            </w:r>
          </w:p>
        </w:tc>
        <w:tc>
          <w:tcPr>
            <w:tcW w:w="7185" w:type="dxa"/>
            <w:noWrap w:val="0"/>
            <w:vAlign w:val="center"/>
          </w:tcPr>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如投资者进行份额赎回，赎回交易确认后，</w:t>
            </w:r>
            <w:r>
              <w:rPr>
                <w:rFonts w:hint="eastAsia" w:ascii="宋体" w:hAnsi="宋体" w:cs="宋体"/>
                <w:sz w:val="21"/>
                <w:szCs w:val="21"/>
              </w:rPr>
              <w:t>〖1〗</w:t>
            </w:r>
            <w:r>
              <w:rPr>
                <w:rFonts w:hint="eastAsia" w:ascii="宋体" w:hAnsi="宋体" w:cs="宋体"/>
                <w:color w:val="000000"/>
                <w:sz w:val="21"/>
                <w:szCs w:val="21"/>
              </w:rPr>
              <w:t>个工作日内（遇节假日顺延）支付赎回份额对应的金额。如遇资金在途或法定工作日调整，实际资金到账日以公告为准。</w:t>
            </w:r>
            <w:r>
              <w:rPr>
                <w:rFonts w:hint="eastAsia" w:ascii="宋体" w:hAnsi="宋体" w:cs="宋体"/>
                <w:color w:val="000000"/>
                <w:kern w:val="0"/>
                <w:sz w:val="21"/>
                <w:szCs w:val="21"/>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rPr>
            </w:pPr>
            <w:r>
              <w:rPr>
                <w:rFonts w:hint="eastAsia" w:ascii="宋体" w:hAnsi="宋体" w:cs="宋体"/>
                <w:color w:val="000000"/>
                <w:sz w:val="21"/>
                <w:szCs w:val="21"/>
              </w:rPr>
              <w:t>收益分配</w:t>
            </w:r>
          </w:p>
        </w:tc>
        <w:tc>
          <w:tcPr>
            <w:tcW w:w="7185" w:type="dxa"/>
            <w:noWrap w:val="0"/>
            <w:vAlign w:val="center"/>
          </w:tcPr>
          <w:p>
            <w:pPr>
              <w:widowControl/>
              <w:spacing w:line="360" w:lineRule="auto"/>
              <w:contextualSpacing/>
              <w:rPr>
                <w:rFonts w:ascii="宋体" w:hAnsi="宋体" w:cs="宋体"/>
                <w:b/>
                <w:sz w:val="21"/>
                <w:szCs w:val="21"/>
              </w:rPr>
            </w:pPr>
            <w:r>
              <w:rPr>
                <w:rFonts w:hint="eastAsia" w:ascii="宋体" w:hAnsi="宋体" w:cs="宋体"/>
                <w:color w:val="000000"/>
                <w:sz w:val="21"/>
                <w:szCs w:val="21"/>
              </w:rPr>
              <w:t>本理财计划不保障本金和收益。收益每日计算，按日结转为份额。具体分配方案以管理人公告为准。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产品费用</w:t>
            </w:r>
          </w:p>
        </w:tc>
        <w:tc>
          <w:tcPr>
            <w:tcW w:w="7185" w:type="dxa"/>
            <w:noWrap w:val="0"/>
            <w:vAlign w:val="center"/>
          </w:tcPr>
          <w:p>
            <w:pPr>
              <w:widowControl/>
              <w:tabs>
                <w:tab w:val="left" w:pos="312"/>
              </w:tabs>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1</w:t>
            </w:r>
            <w:r>
              <w:rPr>
                <w:rFonts w:ascii="宋体" w:hAnsi="宋体" w:cs="宋体"/>
                <w:color w:val="000000"/>
                <w:sz w:val="21"/>
                <w:szCs w:val="21"/>
              </w:rPr>
              <w:t>.</w:t>
            </w:r>
            <w:r>
              <w:rPr>
                <w:rFonts w:hint="eastAsia" w:ascii="宋体" w:hAnsi="宋体" w:cs="宋体"/>
                <w:color w:val="000000"/>
                <w:sz w:val="21"/>
                <w:szCs w:val="21"/>
              </w:rPr>
              <w:t>销售服务费：</w:t>
            </w:r>
            <w:r>
              <w:rPr>
                <w:rFonts w:hint="eastAsia" w:ascii="宋体" w:hAnsi="宋体" w:eastAsia="宋体" w:cs="宋体"/>
                <w:color w:val="000000"/>
                <w:kern w:val="2"/>
                <w:sz w:val="21"/>
                <w:szCs w:val="21"/>
                <w:highlight w:val="none"/>
                <w:lang w:val="en-US" w:eastAsia="zh-CN" w:bidi="ar-SA"/>
              </w:rPr>
              <w:t>〖A份额〗收取年化〖0.20%〗的销售服务费, 〖B份额〗收取年化〖0.20%〗的销售服务费, 〖C份额〗收取年化〖0.20%〗的销售服务费, 〖E份额〗收取年化〖0.30%〗的销售服务费, 〖F份额〗收取年化〖0.30%〗的销售服务费, 〖G份额〗收取年化〖0.30%〗的销售服务费，〖J份额〗收取年化〖0.20%〗的销售服务费。</w:t>
            </w:r>
          </w:p>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2.托管费：收取年化</w:t>
            </w:r>
            <w:r>
              <w:rPr>
                <w:rFonts w:hint="eastAsia" w:ascii="宋体" w:hAnsi="宋体" w:cs="宋体"/>
                <w:sz w:val="21"/>
                <w:szCs w:val="21"/>
              </w:rPr>
              <w:t>〖0.025%〗</w:t>
            </w:r>
            <w:r>
              <w:rPr>
                <w:rFonts w:hint="eastAsia" w:ascii="宋体" w:hAnsi="宋体" w:cs="宋体"/>
                <w:color w:val="000000"/>
                <w:sz w:val="21"/>
                <w:szCs w:val="21"/>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Cs/>
                <w:color w:val="FF0000"/>
                <w:sz w:val="21"/>
                <w:szCs w:val="21"/>
                <w:highlight w:val="none"/>
              </w:rPr>
            </w:pPr>
            <w:r>
              <w:rPr>
                <w:rFonts w:hint="eastAsia" w:ascii="宋体" w:hAnsi="宋体" w:cs="宋体"/>
                <w:color w:val="000000"/>
                <w:sz w:val="21"/>
                <w:szCs w:val="21"/>
              </w:rPr>
              <w:t>3.固定管理费：</w:t>
            </w:r>
            <w:r>
              <w:rPr>
                <w:rFonts w:hint="eastAsia" w:ascii="宋体" w:hAnsi="宋体" w:eastAsia="宋体" w:cs="宋体"/>
                <w:color w:val="000000"/>
                <w:kern w:val="2"/>
                <w:sz w:val="21"/>
                <w:szCs w:val="21"/>
                <w:highlight w:val="none"/>
                <w:lang w:val="en-US" w:eastAsia="zh-CN" w:bidi="ar-SA"/>
              </w:rPr>
              <w:t>〖A份额〗收取年化〖0.30%〗的固定管理费, 〖B份额〗收取年化〖0.30%〗的固定管理费, 〖C份额〗收取年化〖0.30%〗的固定管理费, 〖E份额〗收取年化〖0.30%〗的固定管理费, 〖F份额〗收取年化〖0.30%〗的固定管理费, 〖G份额〗收取年化〖0.15%〗的固定管理费，〖J份额〗收取年化〖0.30%〗的固定管理费。</w:t>
            </w:r>
          </w:p>
          <w:p>
            <w:pPr>
              <w:widowControl/>
              <w:tabs>
                <w:tab w:val="left" w:pos="312"/>
              </w:tabs>
              <w:spacing w:line="360" w:lineRule="auto"/>
              <w:contextualSpacing/>
              <w:rPr>
                <w:rFonts w:hint="eastAsia" w:ascii="宋体" w:hAnsi="宋体" w:cs="宋体"/>
                <w:bCs/>
                <w:color w:val="FF0000"/>
                <w:sz w:val="21"/>
                <w:szCs w:val="21"/>
              </w:rPr>
            </w:pPr>
            <w:r>
              <w:rPr>
                <w:rFonts w:hint="eastAsia" w:ascii="宋体" w:hAnsi="宋体" w:cs="宋体"/>
                <w:color w:val="000000"/>
                <w:sz w:val="21"/>
                <w:szCs w:val="21"/>
              </w:rPr>
              <w:t>4.认购费：本理财计划免除认购费。</w:t>
            </w:r>
          </w:p>
          <w:p>
            <w:pPr>
              <w:widowControl/>
              <w:spacing w:line="360" w:lineRule="auto"/>
              <w:contextualSpacing/>
              <w:rPr>
                <w:rFonts w:hint="eastAsia" w:ascii="宋体" w:hAnsi="宋体" w:cs="宋体"/>
                <w:bCs/>
                <w:sz w:val="21"/>
                <w:szCs w:val="21"/>
              </w:rPr>
            </w:pPr>
            <w:r>
              <w:rPr>
                <w:rFonts w:hint="eastAsia" w:ascii="宋体" w:hAnsi="宋体" w:cs="宋体"/>
                <w:bCs/>
                <w:sz w:val="21"/>
                <w:szCs w:val="21"/>
              </w:rPr>
              <w:t>5.申购费：</w:t>
            </w:r>
            <w:r>
              <w:rPr>
                <w:rFonts w:hint="eastAsia" w:ascii="宋体" w:hAnsi="宋体" w:cs="宋体"/>
                <w:color w:val="000000"/>
                <w:sz w:val="21"/>
                <w:szCs w:val="21"/>
              </w:rPr>
              <w:t>本理财计划免除申购费。</w:t>
            </w:r>
          </w:p>
          <w:p>
            <w:pPr>
              <w:widowControl/>
              <w:spacing w:line="360" w:lineRule="auto"/>
              <w:contextualSpacing/>
              <w:rPr>
                <w:rFonts w:ascii="宋体" w:hAnsi="宋体" w:cs="宋体"/>
                <w:bCs/>
                <w:sz w:val="21"/>
                <w:szCs w:val="21"/>
              </w:rPr>
            </w:pPr>
            <w:r>
              <w:rPr>
                <w:rFonts w:hint="eastAsia" w:ascii="宋体" w:hAnsi="宋体" w:cs="宋体"/>
                <w:bCs/>
                <w:sz w:val="21"/>
                <w:szCs w:val="21"/>
              </w:rPr>
              <w:t>6.赎回费：</w:t>
            </w:r>
            <w:r>
              <w:rPr>
                <w:rFonts w:hint="eastAsia" w:ascii="宋体" w:hAnsi="宋体" w:cs="宋体"/>
                <w:color w:val="000000"/>
                <w:sz w:val="21"/>
                <w:szCs w:val="21"/>
              </w:rPr>
              <w:t>本理财计划免除赎回费。</w:t>
            </w:r>
          </w:p>
          <w:p>
            <w:pPr>
              <w:widowControl/>
              <w:spacing w:line="360" w:lineRule="auto"/>
              <w:contextualSpacing/>
              <w:rPr>
                <w:rFonts w:ascii="宋体" w:hAnsi="宋体" w:cs="宋体"/>
                <w:bCs/>
                <w:color w:val="000000"/>
                <w:sz w:val="21"/>
                <w:szCs w:val="21"/>
              </w:rPr>
            </w:pPr>
            <w:r>
              <w:rPr>
                <w:rFonts w:hint="eastAsia" w:ascii="宋体" w:hAnsi="宋体" w:cs="宋体"/>
                <w:color w:val="000000"/>
                <w:sz w:val="21"/>
                <w:szCs w:val="21"/>
              </w:rPr>
              <w:t>7.浮动管理费</w:t>
            </w:r>
            <w:r>
              <w:rPr>
                <w:rFonts w:hint="eastAsia" w:ascii="宋体" w:hAnsi="宋体" w:cs="宋体"/>
                <w:bCs/>
                <w:sz w:val="21"/>
                <w:szCs w:val="21"/>
              </w:rPr>
              <w:t>：</w:t>
            </w:r>
            <w:r>
              <w:rPr>
                <w:rFonts w:hint="eastAsia" w:ascii="宋体" w:hAnsi="宋体" w:cs="宋体"/>
                <w:color w:val="000000"/>
                <w:sz w:val="21"/>
                <w:szCs w:val="21"/>
              </w:rPr>
              <w:t>本理财计划免除浮动管理费</w:t>
            </w:r>
            <w:r>
              <w:rPr>
                <w:rFonts w:hint="eastAsia" w:ascii="宋体" w:hAnsi="宋体" w:cs="宋体"/>
                <w:bCs/>
                <w:color w:val="000000"/>
                <w:sz w:val="21"/>
                <w:szCs w:val="21"/>
              </w:rPr>
              <w:t>。</w:t>
            </w:r>
          </w:p>
          <w:p>
            <w:pPr>
              <w:widowControl/>
              <w:spacing w:line="360" w:lineRule="auto"/>
              <w:contextualSpacing/>
              <w:rPr>
                <w:rFonts w:ascii="宋体" w:hAnsi="宋体" w:cs="宋体"/>
                <w:bCs/>
                <w:color w:val="000000"/>
                <w:sz w:val="21"/>
                <w:szCs w:val="21"/>
              </w:rPr>
            </w:pPr>
            <w:r>
              <w:rPr>
                <w:rFonts w:hint="eastAsia" w:ascii="宋体" w:hAnsi="宋体" w:cs="宋体"/>
                <w:bCs/>
                <w:color w:val="000000"/>
                <w:sz w:val="21"/>
                <w:szCs w:val="21"/>
              </w:rPr>
              <w:t>8</w:t>
            </w:r>
            <w:r>
              <w:rPr>
                <w:rFonts w:ascii="宋体" w:hAnsi="宋体" w:cs="宋体"/>
                <w:bCs/>
                <w:color w:val="000000"/>
                <w:sz w:val="21"/>
                <w:szCs w:val="21"/>
              </w:rPr>
              <w:t>.</w:t>
            </w:r>
            <w:r>
              <w:rPr>
                <w:rFonts w:hint="eastAsia"/>
              </w:rPr>
              <w:t xml:space="preserve"> </w:t>
            </w:r>
            <w:r>
              <w:rPr>
                <w:rFonts w:hint="eastAsia" w:ascii="宋体" w:hAnsi="宋体" w:cs="宋体"/>
                <w:bCs/>
                <w:color w:val="000000"/>
                <w:sz w:val="21"/>
                <w:szCs w:val="21"/>
              </w:rPr>
              <w:t>强制赎回费（如有）：</w:t>
            </w:r>
          </w:p>
          <w:p>
            <w:pPr>
              <w:widowControl/>
              <w:spacing w:line="360" w:lineRule="auto"/>
              <w:contextualSpacing/>
              <w:rPr>
                <w:rFonts w:hint="eastAsia" w:ascii="宋体" w:hAnsi="宋体" w:cs="宋体"/>
                <w:bCs/>
                <w:color w:val="000000"/>
                <w:sz w:val="21"/>
                <w:szCs w:val="21"/>
              </w:rPr>
            </w:pPr>
            <w:r>
              <w:rPr>
                <w:rFonts w:hint="eastAsia" w:ascii="宋体" w:hAnsi="宋体" w:cs="宋体"/>
                <w:bCs/>
                <w:color w:val="000000"/>
                <w:sz w:val="21"/>
                <w:szCs w:val="21"/>
              </w:rPr>
              <w:t>（1）产品持有的现金、国债、中央银行票据、政策性金融债券以及5个交易日内到期的其他金融工具占产品资产净值的比例合计低于5%且偏离度为负时，产品管理人可对当日单个投资者申请赎回份额超过产品总份额1%以上的赎回申请征收1%的强制赎回费用，并将上述赎回费用全部计入产品资产。</w:t>
            </w:r>
          </w:p>
          <w:p>
            <w:pPr>
              <w:widowControl/>
              <w:spacing w:line="360" w:lineRule="auto"/>
              <w:contextualSpacing/>
              <w:rPr>
                <w:rFonts w:hint="eastAsia" w:ascii="宋体" w:hAnsi="宋体" w:cs="宋体"/>
                <w:bCs/>
                <w:color w:val="000000"/>
                <w:sz w:val="21"/>
                <w:szCs w:val="21"/>
              </w:rPr>
            </w:pPr>
            <w:r>
              <w:rPr>
                <w:rFonts w:hint="eastAsia" w:ascii="宋体" w:hAnsi="宋体" w:cs="宋体"/>
                <w:bCs/>
                <w:color w:val="000000"/>
                <w:sz w:val="21"/>
                <w:szCs w:val="21"/>
              </w:rPr>
              <w:t>（2）产品前10名投资者的持有份额合计超过该产品总份额50%的，当投资组合中现金、国债、中央银行票据、政策性金融债券以及5个交易日内到期的其他金融工具占该产品资产净值的比例合计低于10%且偏离度为负时，产品管理人可对投资者超过产品总份额1%以上的赎回申请征收1%的强制赎回费用。</w:t>
            </w:r>
          </w:p>
          <w:p>
            <w:pPr>
              <w:widowControl/>
              <w:spacing w:line="360" w:lineRule="auto"/>
              <w:contextualSpacing/>
              <w:rPr>
                <w:rFonts w:ascii="宋体" w:hAnsi="宋体" w:cs="宋体"/>
                <w:bCs/>
                <w:color w:val="000000"/>
                <w:sz w:val="21"/>
                <w:szCs w:val="21"/>
              </w:rPr>
            </w:pPr>
            <w:r>
              <w:rPr>
                <w:rFonts w:ascii="宋体" w:hAnsi="宋体" w:cs="宋体"/>
                <w:bCs/>
                <w:color w:val="000000"/>
                <w:sz w:val="21"/>
                <w:szCs w:val="21"/>
              </w:rPr>
              <w:t>9</w:t>
            </w:r>
            <w:r>
              <w:rPr>
                <w:rFonts w:hint="eastAsia" w:ascii="宋体" w:hAnsi="宋体" w:cs="宋体"/>
                <w:bCs/>
                <w:color w:val="000000"/>
                <w:sz w:val="21"/>
                <w:szCs w:val="21"/>
              </w:rPr>
              <w:t>.管理人有权根据市场情况和产品运作情况，对本理财计划的收费项目、条件、标准和方式进行调整。如有变更，将提前一个工作日在管理人或者销售机构网站公告。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提前终止</w:t>
            </w:r>
          </w:p>
        </w:tc>
        <w:tc>
          <w:tcPr>
            <w:tcW w:w="7185" w:type="dxa"/>
            <w:noWrap w:val="0"/>
            <w:vAlign w:val="center"/>
          </w:tcPr>
          <w:p>
            <w:pPr>
              <w:widowControl/>
              <w:spacing w:line="360" w:lineRule="auto"/>
              <w:contextualSpacing/>
              <w:rPr>
                <w:rFonts w:hint="eastAsia" w:ascii="宋体" w:hAnsi="宋体" w:cs="宋体"/>
                <w:b/>
                <w:color w:val="000000"/>
                <w:kern w:val="0"/>
                <w:sz w:val="21"/>
                <w:szCs w:val="21"/>
              </w:rPr>
            </w:pPr>
            <w:r>
              <w:rPr>
                <w:rFonts w:hint="eastAsia" w:ascii="宋体" w:hAnsi="宋体" w:cs="宋体"/>
                <w:b/>
                <w:color w:val="000000"/>
                <w:kern w:val="0"/>
                <w:sz w:val="21"/>
                <w:szCs w:val="21"/>
              </w:rPr>
              <w:t>如遇国家金融政策出现重大调整并影响到本理财计划的正常运行的、市场收益率大幅波动可能或实质影响理财计划收益等情况，管理人有权提前全部或部分终止本理财计划。具体参见说明书“交易规则”部分。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税费规定</w:t>
            </w:r>
          </w:p>
        </w:tc>
        <w:tc>
          <w:tcPr>
            <w:tcW w:w="7185" w:type="dxa"/>
            <w:noWrap w:val="0"/>
            <w:vAlign w:val="center"/>
          </w:tcPr>
          <w:p>
            <w:pPr>
              <w:spacing w:line="360" w:lineRule="auto"/>
              <w:outlineLvl w:val="0"/>
              <w:rPr>
                <w:rFonts w:hint="eastAsia" w:ascii="宋体" w:hAnsi="宋体" w:cs="宋体"/>
                <w:color w:val="000000"/>
                <w:sz w:val="21"/>
                <w:szCs w:val="21"/>
              </w:rPr>
            </w:pPr>
            <w:r>
              <w:rPr>
                <w:rFonts w:hint="eastAsia" w:ascii="宋体" w:hAnsi="宋体" w:cs="宋体"/>
                <w:color w:val="000000"/>
                <w:sz w:val="21"/>
                <w:szCs w:val="21"/>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widowControl/>
              <w:spacing w:line="360" w:lineRule="auto"/>
              <w:contextualSpacing/>
              <w:rPr>
                <w:rFonts w:hint="eastAsia" w:ascii="宋体" w:hAnsi="宋体" w:cs="宋体"/>
                <w:color w:val="000000"/>
                <w:sz w:val="21"/>
                <w:szCs w:val="21"/>
              </w:rPr>
            </w:pPr>
            <w:r>
              <w:rPr>
                <w:rFonts w:hint="eastAsia" w:ascii="宋体" w:hAnsi="宋体" w:cs="宋体"/>
                <w:color w:val="000000"/>
                <w:sz w:val="21"/>
                <w:szCs w:val="21"/>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kern w:val="0"/>
                <w:sz w:val="21"/>
                <w:szCs w:val="21"/>
              </w:rPr>
            </w:pPr>
            <w:r>
              <w:rPr>
                <w:rFonts w:hint="eastAsia" w:ascii="宋体" w:hAnsi="宋体" w:cs="宋体"/>
                <w:color w:val="000000"/>
                <w:sz w:val="21"/>
                <w:szCs w:val="21"/>
              </w:rPr>
              <w:t>融资服务</w:t>
            </w:r>
          </w:p>
        </w:tc>
        <w:tc>
          <w:tcPr>
            <w:tcW w:w="7185" w:type="dxa"/>
            <w:noWrap w:val="0"/>
            <w:vAlign w:val="bottom"/>
          </w:tcPr>
          <w:p>
            <w:pPr>
              <w:spacing w:line="360" w:lineRule="auto"/>
              <w:rPr>
                <w:rFonts w:hint="eastAsia" w:ascii="宋体" w:hAnsi="宋体" w:cs="宋体"/>
                <w:b/>
                <w:color w:val="000000"/>
                <w:kern w:val="0"/>
                <w:sz w:val="21"/>
                <w:szCs w:val="21"/>
              </w:rPr>
            </w:pPr>
            <w:r>
              <w:rPr>
                <w:rFonts w:hint="eastAsia" w:ascii="宋体" w:hAnsi="宋体" w:cs="宋体"/>
                <w:b/>
                <w:color w:val="000000"/>
                <w:kern w:val="0"/>
                <w:sz w:val="21"/>
                <w:szCs w:val="21"/>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contextualSpacing/>
              <w:jc w:val="center"/>
              <w:rPr>
                <w:rFonts w:hint="eastAsia" w:ascii="宋体" w:hAnsi="宋体" w:cs="宋体"/>
                <w:color w:val="000000"/>
                <w:sz w:val="21"/>
                <w:szCs w:val="21"/>
              </w:rPr>
            </w:pPr>
            <w:r>
              <w:rPr>
                <w:rFonts w:hint="eastAsia" w:ascii="宋体" w:hAnsi="宋体" w:cs="宋体"/>
                <w:color w:val="000000"/>
                <w:sz w:val="21"/>
                <w:szCs w:val="21"/>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kern w:val="0"/>
                <w:sz w:val="21"/>
                <w:szCs w:val="21"/>
              </w:rPr>
            </w:pPr>
            <w:r>
              <w:rPr>
                <w:rFonts w:hint="eastAsia" w:ascii="宋体" w:hAnsi="宋体" w:cs="宋体"/>
                <w:color w:val="000000"/>
                <w:sz w:val="21"/>
                <w:szCs w:val="21"/>
              </w:rPr>
              <w:t>认购期内按照活期存款利率计息，认购期内的利息不计入认购本金份额。到期日（或理财计划实际终止日）到理财资金返还到账日为还本清算期，还本清算期内不计付利息。</w:t>
            </w:r>
            <w:r>
              <w:rPr>
                <w:rFonts w:hint="eastAsia" w:ascii="宋体" w:hAnsi="宋体" w:cs="宋体"/>
                <w:color w:val="000000"/>
                <w:kern w:val="0"/>
                <w:sz w:val="21"/>
                <w:szCs w:val="21"/>
              </w:rPr>
              <w:t>（具体以销售机构规定为准）</w:t>
            </w:r>
          </w:p>
          <w:p>
            <w:pPr>
              <w:spacing w:line="360" w:lineRule="auto"/>
              <w:rPr>
                <w:rFonts w:hint="eastAsia" w:ascii="宋体" w:hAnsi="宋体" w:cs="宋体"/>
                <w:color w:val="000000"/>
                <w:kern w:val="0"/>
                <w:sz w:val="21"/>
                <w:szCs w:val="21"/>
              </w:rPr>
            </w:pPr>
            <w:r>
              <w:rPr>
                <w:rFonts w:hint="eastAsia" w:ascii="宋体" w:hAnsi="宋体" w:cs="宋体"/>
                <w:color w:val="000000"/>
                <w:kern w:val="0"/>
                <w:sz w:val="21"/>
                <w:szCs w:val="21"/>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rPr>
      </w:pPr>
      <w:r>
        <w:rPr>
          <w:rFonts w:hint="eastAsia" w:ascii="宋体" w:hAnsi="宋体"/>
          <w:b/>
          <w:color w:val="000000"/>
        </w:rPr>
        <w:t>特别说明：</w:t>
      </w:r>
      <w:r>
        <w:rPr>
          <w:rFonts w:hint="eastAsia" w:ascii="宋体" w:hAnsi="宋体" w:cs="宋体"/>
          <w:b/>
          <w:color w:val="000000"/>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rPr>
      </w:pPr>
    </w:p>
    <w:p>
      <w:pPr>
        <w:numPr>
          <w:ilvl w:val="0"/>
          <w:numId w:val="19"/>
        </w:numPr>
        <w:spacing w:line="360" w:lineRule="auto"/>
        <w:ind w:firstLine="482" w:firstLineChars="200"/>
        <w:outlineLvl w:val="1"/>
        <w:rPr>
          <w:rFonts w:hint="eastAsia" w:ascii="宋体" w:hAnsi="宋体" w:cs="宋体"/>
          <w:b/>
          <w:color w:val="000000"/>
        </w:rPr>
      </w:pPr>
      <w:r>
        <w:rPr>
          <w:rFonts w:hint="eastAsia" w:ascii="宋体" w:hAnsi="宋体" w:cs="宋体"/>
          <w:b/>
          <w:color w:val="000000"/>
        </w:rPr>
        <w:t>投资管理</w:t>
      </w:r>
    </w:p>
    <w:p>
      <w:pPr>
        <w:numPr>
          <w:ilvl w:val="0"/>
          <w:numId w:val="0"/>
        </w:numPr>
        <w:spacing w:line="360" w:lineRule="auto"/>
        <w:ind w:left="0" w:leftChars="0" w:firstLine="480" w:firstLineChars="200"/>
        <w:outlineLvl w:val="1"/>
        <w:rPr>
          <w:rFonts w:hint="eastAsia" w:ascii="宋体" w:hAnsi="宋体" w:cs="宋体"/>
          <w:b/>
          <w:color w:val="000000"/>
        </w:rPr>
      </w:pPr>
      <w:r>
        <w:rPr>
          <w:rFonts w:hint="eastAsia" w:ascii="宋体" w:hAnsi="宋体" w:cs="宋体"/>
          <w:bCs/>
          <w:color w:val="auto"/>
          <w:kern w:val="2"/>
        </w:rPr>
        <w:t>本理财计划自成立日起〖3〗个月为建仓期，管理人应当在建仓期结束前使各项投资比例符合约定。</w:t>
      </w:r>
    </w:p>
    <w:p>
      <w:pPr>
        <w:numPr>
          <w:ilvl w:val="0"/>
          <w:numId w:val="20"/>
        </w:numPr>
        <w:spacing w:line="360" w:lineRule="auto"/>
        <w:ind w:firstLine="482" w:firstLineChars="200"/>
        <w:jc w:val="left"/>
        <w:outlineLvl w:val="2"/>
        <w:rPr>
          <w:rFonts w:hint="eastAsia" w:ascii="宋体" w:hAnsi="宋体" w:cs="宋体"/>
          <w:b/>
        </w:rPr>
      </w:pPr>
      <w:r>
        <w:rPr>
          <w:rFonts w:hint="eastAsia" w:ascii="宋体" w:hAnsi="宋体" w:cs="宋体"/>
          <w:b/>
        </w:rPr>
        <w:t>投资范围</w:t>
      </w:r>
    </w:p>
    <w:p>
      <w:pPr>
        <w:spacing w:line="360" w:lineRule="auto"/>
        <w:ind w:firstLine="480" w:firstLineChars="200"/>
        <w:jc w:val="left"/>
        <w:rPr>
          <w:rFonts w:hint="eastAsia" w:ascii="宋体" w:hAnsi="宋体" w:cs="宋体"/>
          <w:bCs/>
        </w:rPr>
      </w:pPr>
      <w:r>
        <w:rPr>
          <w:rFonts w:hint="eastAsia" w:ascii="宋体" w:hAnsi="宋体" w:cs="宋体"/>
          <w:bCs/>
        </w:rPr>
        <w:t>本理财计划为固定收益类，全部投资于以下符合监管要求的金融工具：</w:t>
      </w:r>
    </w:p>
    <w:p>
      <w:pPr>
        <w:spacing w:line="360" w:lineRule="auto"/>
        <w:ind w:firstLine="480" w:firstLineChars="200"/>
        <w:jc w:val="left"/>
        <w:rPr>
          <w:rFonts w:hint="eastAsia" w:ascii="宋体" w:hAnsi="宋体" w:cs="宋体"/>
          <w:bCs/>
        </w:rPr>
      </w:pPr>
      <w:r>
        <w:rPr>
          <w:rFonts w:hint="eastAsia" w:ascii="宋体" w:hAnsi="宋体" w:cs="宋体"/>
          <w:bCs/>
        </w:rPr>
        <w:t>固定收益类资产：</w:t>
      </w:r>
    </w:p>
    <w:p>
      <w:pPr>
        <w:numPr>
          <w:ilvl w:val="0"/>
          <w:numId w:val="21"/>
        </w:numPr>
        <w:spacing w:line="360" w:lineRule="auto"/>
        <w:ind w:left="480" w:leftChars="200"/>
        <w:jc w:val="left"/>
        <w:rPr>
          <w:rFonts w:hint="eastAsia" w:ascii="宋体" w:hAnsi="宋体" w:cs="宋体"/>
          <w:bCs/>
        </w:rPr>
      </w:pPr>
      <w:r>
        <w:rPr>
          <w:rFonts w:hint="eastAsia" w:ascii="宋体" w:hAnsi="宋体" w:cs="宋体"/>
          <w:bCs/>
        </w:rPr>
        <w:t>现金；</w:t>
      </w:r>
    </w:p>
    <w:p>
      <w:pPr>
        <w:numPr>
          <w:ilvl w:val="0"/>
          <w:numId w:val="21"/>
        </w:numPr>
        <w:spacing w:line="360" w:lineRule="auto"/>
        <w:ind w:left="480" w:leftChars="200"/>
        <w:jc w:val="left"/>
        <w:rPr>
          <w:rFonts w:hint="eastAsia" w:ascii="宋体" w:hAnsi="宋体" w:cs="宋体"/>
          <w:bCs/>
        </w:rPr>
      </w:pPr>
      <w:r>
        <w:rPr>
          <w:rFonts w:hint="eastAsia" w:ascii="宋体" w:hAnsi="宋体" w:cs="宋体"/>
          <w:bCs/>
        </w:rPr>
        <w:t>期限在1年以内（含1年）的银行存款、债券回购、中央银行票据、同业存单；</w:t>
      </w:r>
    </w:p>
    <w:p>
      <w:pPr>
        <w:numPr>
          <w:ilvl w:val="0"/>
          <w:numId w:val="21"/>
        </w:numPr>
        <w:spacing w:line="360" w:lineRule="auto"/>
        <w:ind w:left="480" w:leftChars="200"/>
        <w:jc w:val="left"/>
        <w:rPr>
          <w:rFonts w:hint="eastAsia" w:ascii="宋体" w:hAnsi="宋体" w:cs="宋体"/>
          <w:bCs/>
        </w:rPr>
      </w:pPr>
      <w:r>
        <w:rPr>
          <w:rFonts w:hint="eastAsia" w:ascii="宋体" w:hAnsi="宋体" w:cs="宋体"/>
          <w:bCs/>
        </w:rPr>
        <w:t>剩余期限在397天以内（含397天）的债券、在银行间市场和证券交易所市场发行的资产支持证券；</w:t>
      </w:r>
    </w:p>
    <w:p>
      <w:pPr>
        <w:numPr>
          <w:ilvl w:val="0"/>
          <w:numId w:val="21"/>
        </w:numPr>
        <w:spacing w:line="360" w:lineRule="auto"/>
        <w:ind w:left="480" w:leftChars="200"/>
        <w:jc w:val="left"/>
        <w:rPr>
          <w:rFonts w:ascii="宋体" w:hAnsi="宋体" w:cs="宋体"/>
          <w:bCs/>
        </w:rPr>
      </w:pPr>
      <w:r>
        <w:rPr>
          <w:rFonts w:hint="eastAsia" w:ascii="宋体" w:hAnsi="宋体" w:cs="宋体"/>
          <w:bCs/>
        </w:rPr>
        <w:t>国家金融监督管理总局、中国人民银行认可的其他具有良好流动性的货币市场工具。</w:t>
      </w:r>
    </w:p>
    <w:p>
      <w:pPr>
        <w:spacing w:line="360" w:lineRule="auto"/>
        <w:jc w:val="left"/>
        <w:rPr>
          <w:rFonts w:hint="eastAsia" w:ascii="宋体" w:hAnsi="宋体" w:cs="宋体"/>
          <w:bCs/>
        </w:rPr>
      </w:pPr>
      <w:r>
        <w:rPr>
          <w:rFonts w:hint="eastAsia" w:ascii="宋体" w:hAnsi="宋体" w:cs="宋体"/>
          <w:bCs/>
        </w:rPr>
        <w:t xml:space="preserve"> </w:t>
      </w:r>
      <w:r>
        <w:rPr>
          <w:rFonts w:ascii="宋体" w:hAnsi="宋体" w:cs="宋体"/>
          <w:bCs/>
        </w:rPr>
        <w:t xml:space="preserve">   </w:t>
      </w:r>
      <w:r>
        <w:rPr>
          <w:rFonts w:hint="eastAsia"/>
        </w:rPr>
        <w:t>本理财计划理财资金可直接或通过信托计划、资产管理计划等资产管理产品间接投资于以上金融资产和金融工具。</w:t>
      </w:r>
    </w:p>
    <w:p>
      <w:pPr>
        <w:numPr>
          <w:ilvl w:val="0"/>
          <w:numId w:val="20"/>
        </w:numPr>
        <w:spacing w:line="360" w:lineRule="auto"/>
        <w:ind w:firstLine="482" w:firstLineChars="200"/>
        <w:jc w:val="left"/>
        <w:outlineLvl w:val="2"/>
        <w:rPr>
          <w:rFonts w:hint="eastAsia" w:ascii="宋体" w:hAnsi="宋体" w:cs="宋体"/>
          <w:b/>
        </w:rPr>
      </w:pPr>
      <w:r>
        <w:rPr>
          <w:rFonts w:hint="eastAsia" w:ascii="宋体" w:hAnsi="宋体" w:cs="宋体"/>
          <w:b/>
        </w:rPr>
        <w:t>投资比例</w:t>
      </w:r>
    </w:p>
    <w:p>
      <w:pPr>
        <w:spacing w:line="360" w:lineRule="auto"/>
        <w:ind w:firstLine="480" w:firstLineChars="200"/>
        <w:jc w:val="left"/>
        <w:rPr>
          <w:rFonts w:hint="eastAsia" w:ascii="宋体" w:hAnsi="宋体" w:cs="宋体"/>
          <w:bCs/>
        </w:rPr>
      </w:pPr>
      <w:r>
        <w:rPr>
          <w:rFonts w:hint="eastAsia" w:ascii="宋体" w:hAnsi="宋体" w:cs="宋体"/>
          <w:bCs/>
        </w:rPr>
        <w:t>本理财计划各投资资产占总资产的配置比例如下：</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4740"/>
        <w:gridCol w:w="1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86" w:type="dxa"/>
            <w:noWrap w:val="0"/>
            <w:vAlign w:val="top"/>
          </w:tcPr>
          <w:p>
            <w:pPr>
              <w:spacing w:line="360" w:lineRule="auto"/>
              <w:rPr>
                <w:rFonts w:ascii="宋体" w:hAnsi="宋体" w:cs="宋体"/>
                <w:bCs/>
                <w:sz w:val="21"/>
                <w:szCs w:val="21"/>
              </w:rPr>
            </w:pPr>
          </w:p>
        </w:tc>
        <w:tc>
          <w:tcPr>
            <w:tcW w:w="4740" w:type="dxa"/>
            <w:noWrap w:val="0"/>
            <w:vAlign w:val="top"/>
          </w:tcPr>
          <w:p>
            <w:pPr>
              <w:spacing w:line="360" w:lineRule="auto"/>
              <w:jc w:val="center"/>
              <w:rPr>
                <w:rFonts w:ascii="宋体" w:hAnsi="宋体" w:cs="宋体"/>
                <w:bCs/>
                <w:sz w:val="21"/>
                <w:szCs w:val="21"/>
              </w:rPr>
            </w:pPr>
            <w:r>
              <w:rPr>
                <w:rFonts w:hint="eastAsia" w:ascii="宋体" w:hAnsi="宋体" w:cs="宋体"/>
                <w:bCs/>
                <w:sz w:val="21"/>
                <w:szCs w:val="21"/>
              </w:rPr>
              <w:t>投资资产</w:t>
            </w:r>
          </w:p>
        </w:tc>
        <w:tc>
          <w:tcPr>
            <w:tcW w:w="1996" w:type="dxa"/>
            <w:noWrap w:val="0"/>
            <w:vAlign w:val="top"/>
          </w:tcPr>
          <w:p>
            <w:pPr>
              <w:spacing w:line="360" w:lineRule="auto"/>
              <w:jc w:val="center"/>
              <w:rPr>
                <w:rFonts w:ascii="宋体" w:hAnsi="宋体" w:cs="宋体"/>
                <w:bCs/>
                <w:sz w:val="21"/>
                <w:szCs w:val="21"/>
              </w:rPr>
            </w:pPr>
            <w:r>
              <w:rPr>
                <w:rFonts w:hint="eastAsia" w:ascii="宋体" w:hAnsi="宋体" w:cs="宋体"/>
                <w:bCs/>
                <w:sz w:val="21"/>
                <w:szCs w:val="21"/>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86" w:type="dxa"/>
            <w:vMerge w:val="restart"/>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大类资产类型</w:t>
            </w:r>
          </w:p>
        </w:tc>
        <w:tc>
          <w:tcPr>
            <w:tcW w:w="4740" w:type="dxa"/>
            <w:noWrap w:val="0"/>
            <w:vAlign w:val="top"/>
          </w:tcPr>
          <w:p>
            <w:pPr>
              <w:spacing w:line="360" w:lineRule="auto"/>
              <w:jc w:val="center"/>
              <w:rPr>
                <w:rFonts w:ascii="宋体" w:hAnsi="宋体" w:cs="宋体"/>
                <w:bCs/>
                <w:sz w:val="21"/>
                <w:szCs w:val="21"/>
              </w:rPr>
            </w:pPr>
            <w:r>
              <w:rPr>
                <w:rFonts w:hint="eastAsia" w:ascii="宋体" w:hAnsi="宋体" w:cs="宋体"/>
                <w:bCs/>
                <w:sz w:val="21"/>
                <w:szCs w:val="21"/>
              </w:rPr>
              <w:t>固定收益类资产</w:t>
            </w:r>
          </w:p>
        </w:tc>
        <w:tc>
          <w:tcPr>
            <w:tcW w:w="1996" w:type="dxa"/>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86" w:type="dxa"/>
            <w:vMerge w:val="continue"/>
            <w:noWrap w:val="0"/>
            <w:vAlign w:val="center"/>
          </w:tcPr>
          <w:p>
            <w:pPr>
              <w:spacing w:line="360" w:lineRule="auto"/>
              <w:jc w:val="left"/>
              <w:rPr>
                <w:rFonts w:ascii="宋体" w:hAnsi="宋体" w:cs="宋体"/>
                <w:bCs/>
                <w:sz w:val="21"/>
                <w:szCs w:val="21"/>
              </w:rPr>
            </w:pPr>
          </w:p>
        </w:tc>
        <w:tc>
          <w:tcPr>
            <w:tcW w:w="4740" w:type="dxa"/>
            <w:noWrap w:val="0"/>
            <w:vAlign w:val="top"/>
          </w:tcPr>
          <w:p>
            <w:pPr>
              <w:spacing w:line="360" w:lineRule="auto"/>
              <w:jc w:val="center"/>
              <w:rPr>
                <w:rFonts w:ascii="宋体" w:hAnsi="宋体" w:cs="宋体"/>
                <w:bCs/>
                <w:sz w:val="21"/>
                <w:szCs w:val="21"/>
              </w:rPr>
            </w:pPr>
            <w:r>
              <w:rPr>
                <w:rFonts w:hint="eastAsia" w:ascii="宋体" w:hAnsi="宋体" w:cs="宋体"/>
                <w:bCs/>
                <w:sz w:val="21"/>
                <w:szCs w:val="21"/>
              </w:rPr>
              <w:t>权益类资产</w:t>
            </w:r>
          </w:p>
        </w:tc>
        <w:tc>
          <w:tcPr>
            <w:tcW w:w="1996" w:type="dxa"/>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86" w:type="dxa"/>
            <w:vMerge w:val="restart"/>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特殊资产类型</w:t>
            </w:r>
          </w:p>
        </w:tc>
        <w:tc>
          <w:tcPr>
            <w:tcW w:w="4740" w:type="dxa"/>
            <w:noWrap w:val="0"/>
            <w:vAlign w:val="top"/>
          </w:tcPr>
          <w:p>
            <w:pPr>
              <w:spacing w:line="360" w:lineRule="auto"/>
              <w:jc w:val="center"/>
              <w:rPr>
                <w:rFonts w:ascii="宋体" w:hAnsi="宋体" w:cs="宋体"/>
                <w:bCs/>
                <w:sz w:val="21"/>
                <w:szCs w:val="21"/>
              </w:rPr>
            </w:pPr>
            <w:r>
              <w:rPr>
                <w:rFonts w:hint="eastAsia" w:ascii="宋体" w:hAnsi="宋体" w:cs="宋体"/>
                <w:bCs/>
                <w:sz w:val="21"/>
                <w:szCs w:val="21"/>
              </w:rPr>
              <w:t>非标准化债权类资产</w:t>
            </w:r>
          </w:p>
        </w:tc>
        <w:tc>
          <w:tcPr>
            <w:tcW w:w="1996" w:type="dxa"/>
            <w:noWrap w:val="0"/>
            <w:vAlign w:val="center"/>
          </w:tcPr>
          <w:p>
            <w:pPr>
              <w:spacing w:line="360" w:lineRule="auto"/>
              <w:jc w:val="center"/>
              <w:rPr>
                <w:rFonts w:hint="eastAsia" w:ascii="宋体" w:hAnsi="宋体" w:cs="宋体"/>
                <w:bCs/>
                <w:sz w:val="21"/>
                <w:szCs w:val="21"/>
              </w:rPr>
            </w:pPr>
            <w:r>
              <w:rPr>
                <w:rFonts w:hint="eastAsia" w:ascii="宋体" w:hAnsi="宋体" w:cs="宋体"/>
                <w:bCs/>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86" w:type="dxa"/>
            <w:vMerge w:val="continue"/>
            <w:noWrap w:val="0"/>
            <w:vAlign w:val="top"/>
          </w:tcPr>
          <w:p>
            <w:pPr>
              <w:spacing w:line="360" w:lineRule="auto"/>
              <w:jc w:val="left"/>
              <w:rPr>
                <w:rFonts w:ascii="宋体" w:hAnsi="宋体" w:cs="宋体"/>
                <w:bCs/>
                <w:sz w:val="21"/>
                <w:szCs w:val="21"/>
              </w:rPr>
            </w:pPr>
          </w:p>
        </w:tc>
        <w:tc>
          <w:tcPr>
            <w:tcW w:w="4740" w:type="dxa"/>
            <w:noWrap w:val="0"/>
            <w:vAlign w:val="top"/>
          </w:tcPr>
          <w:p>
            <w:pPr>
              <w:spacing w:line="360" w:lineRule="auto"/>
              <w:jc w:val="left"/>
              <w:rPr>
                <w:rFonts w:hint="eastAsia" w:ascii="宋体" w:hAnsi="宋体" w:cs="宋体"/>
                <w:bCs/>
                <w:sz w:val="21"/>
                <w:szCs w:val="21"/>
              </w:rPr>
            </w:pPr>
            <w:r>
              <w:rPr>
                <w:rFonts w:hint="eastAsia" w:ascii="宋体" w:cs="宋体"/>
                <w:sz w:val="21"/>
                <w:szCs w:val="21"/>
              </w:rPr>
              <w:t>未通过结构化设计、担保、对冲等方式明显降低资产风险的上市公司股票、股票型或混合型证券投资基金</w:t>
            </w:r>
          </w:p>
        </w:tc>
        <w:tc>
          <w:tcPr>
            <w:tcW w:w="1996" w:type="dxa"/>
            <w:noWrap w:val="0"/>
            <w:vAlign w:val="center"/>
          </w:tcPr>
          <w:p>
            <w:pPr>
              <w:spacing w:line="360" w:lineRule="auto"/>
              <w:jc w:val="center"/>
              <w:rPr>
                <w:rFonts w:hint="eastAsia" w:ascii="宋体" w:hAnsi="宋体" w:cs="宋体"/>
                <w:bCs/>
                <w:sz w:val="21"/>
                <w:szCs w:val="21"/>
              </w:rPr>
            </w:pPr>
            <w:r>
              <w:rPr>
                <w:rFonts w:hint="eastAsia" w:ascii="宋体" w:hAnsi="宋体" w:cs="宋体"/>
                <w:bCs/>
                <w:sz w:val="21"/>
                <w:szCs w:val="21"/>
              </w:rPr>
              <w:t>0%</w:t>
            </w:r>
          </w:p>
        </w:tc>
      </w:tr>
    </w:tbl>
    <w:p>
      <w:pPr>
        <w:pStyle w:val="17"/>
        <w:adjustRightInd/>
        <w:spacing w:line="360" w:lineRule="auto"/>
        <w:ind w:firstLine="456" w:firstLineChars="190"/>
        <w:rPr>
          <w:rFonts w:hint="eastAsia" w:ascii="宋体" w:hAnsi="宋体" w:cs="宋体"/>
          <w:bCs/>
          <w:color w:val="auto"/>
          <w:kern w:val="2"/>
        </w:rPr>
      </w:pPr>
      <w:r>
        <w:rPr>
          <w:rFonts w:hint="eastAsia" w:ascii="宋体" w:hAnsi="宋体" w:cs="宋体"/>
          <w:bCs/>
          <w:color w:val="auto"/>
          <w:kern w:val="2"/>
        </w:rPr>
        <w:t>在理财计划存续期间如遇市场变化导致各类投资品投资比例暂时超出以上范围，为保护投资者利益，管理人将在流动性受限资产可出售、可转让或者恢复交易的15个交易日内调整至上述比例范围。</w:t>
      </w:r>
    </w:p>
    <w:p>
      <w:pPr>
        <w:numPr>
          <w:ilvl w:val="0"/>
          <w:numId w:val="20"/>
        </w:numPr>
        <w:spacing w:line="360" w:lineRule="auto"/>
        <w:ind w:firstLine="482" w:firstLineChars="200"/>
        <w:jc w:val="left"/>
        <w:outlineLvl w:val="2"/>
        <w:rPr>
          <w:rFonts w:hint="eastAsia" w:ascii="宋体" w:hAnsi="宋体" w:cs="宋体"/>
          <w:b/>
        </w:rPr>
      </w:pPr>
      <w:r>
        <w:rPr>
          <w:rFonts w:hint="eastAsia" w:ascii="宋体" w:hAnsi="宋体" w:cs="宋体"/>
          <w:b/>
        </w:rPr>
        <w:t>投资策略</w:t>
      </w:r>
    </w:p>
    <w:p>
      <w:pPr>
        <w:pStyle w:val="17"/>
        <w:numPr>
          <w:ilvl w:val="0"/>
          <w:numId w:val="22"/>
        </w:numPr>
        <w:adjustRightInd/>
        <w:spacing w:line="360" w:lineRule="auto"/>
        <w:ind w:firstLine="480" w:firstLineChars="200"/>
        <w:rPr>
          <w:rFonts w:hint="eastAsia" w:ascii="宋体" w:hAnsi="宋体" w:cs="宋体"/>
          <w:bCs/>
          <w:color w:val="auto"/>
          <w:kern w:val="2"/>
        </w:rPr>
      </w:pPr>
      <w:r>
        <w:rPr>
          <w:rFonts w:hint="eastAsia" w:ascii="宋体" w:hAnsi="宋体" w:cs="宋体"/>
          <w:bCs/>
          <w:color w:val="auto"/>
          <w:kern w:val="2"/>
        </w:rPr>
        <w:t>资产配置策略</w:t>
      </w:r>
    </w:p>
    <w:p>
      <w:pPr>
        <w:pStyle w:val="17"/>
        <w:adjustRightInd/>
        <w:spacing w:line="360" w:lineRule="auto"/>
        <w:ind w:firstLine="480" w:firstLineChars="200"/>
        <w:rPr>
          <w:rFonts w:ascii="宋体" w:cs="宋体"/>
          <w:sz w:val="21"/>
          <w:szCs w:val="21"/>
        </w:rPr>
      </w:pPr>
      <w:r>
        <w:rPr>
          <w:rFonts w:hint="eastAsia" w:ascii="宋体" w:hAnsi="宋体" w:cs="宋体"/>
          <w:bCs/>
          <w:color w:val="auto"/>
          <w:kern w:val="2"/>
        </w:rPr>
        <w:t>将通过对宏观经济形势、各项国家政策、及证券市场环境的分析来判断经济周期目前的位置，主动判断市场时机进行固定收益类资产配置，确定在货币市场工具类、债券类、其他符合监管要求的固定收益类资产上的投资比例。</w:t>
      </w:r>
    </w:p>
    <w:p>
      <w:pPr>
        <w:numPr>
          <w:ilvl w:val="0"/>
          <w:numId w:val="23"/>
        </w:numPr>
        <w:spacing w:line="360" w:lineRule="auto"/>
        <w:ind w:firstLine="480" w:firstLineChars="200"/>
        <w:jc w:val="left"/>
        <w:rPr>
          <w:rFonts w:hint="eastAsia" w:ascii="宋体" w:hAnsi="宋体" w:cs="宋体"/>
          <w:bCs/>
        </w:rPr>
      </w:pPr>
      <w:r>
        <w:rPr>
          <w:rFonts w:hint="eastAsia" w:ascii="宋体" w:hAnsi="宋体" w:cs="宋体"/>
          <w:bCs/>
        </w:rPr>
        <w:t>债券投资策略</w:t>
      </w:r>
    </w:p>
    <w:p>
      <w:pPr>
        <w:pStyle w:val="17"/>
        <w:adjustRightInd/>
        <w:spacing w:line="360" w:lineRule="auto"/>
        <w:ind w:firstLine="480" w:firstLineChars="200"/>
        <w:rPr>
          <w:rFonts w:hint="eastAsia" w:ascii="宋体" w:hAnsi="宋体" w:cs="宋体"/>
          <w:bCs/>
        </w:rPr>
      </w:pPr>
      <w:r>
        <w:rPr>
          <w:rFonts w:hint="eastAsia" w:ascii="宋体" w:hAnsi="宋体" w:cs="宋体"/>
          <w:bCs/>
          <w:color w:val="auto"/>
          <w:kern w:val="2"/>
        </w:rPr>
        <w:t>管理人本着稳健投资的理念，采用安全性和流动性优先的投资策略，在资产配置中以较大比例配置投资级别的债券、回购、存放同业等资产，通过组合管理实现稳健收益。</w:t>
      </w:r>
    </w:p>
    <w:p>
      <w:pPr>
        <w:numPr>
          <w:ilvl w:val="0"/>
          <w:numId w:val="20"/>
        </w:numPr>
        <w:spacing w:line="360" w:lineRule="auto"/>
        <w:ind w:firstLine="482" w:firstLineChars="200"/>
        <w:jc w:val="left"/>
        <w:outlineLvl w:val="2"/>
        <w:rPr>
          <w:rFonts w:hint="eastAsia" w:ascii="宋体" w:hAnsi="宋体" w:cs="宋体"/>
          <w:b/>
        </w:rPr>
      </w:pPr>
      <w:r>
        <w:rPr>
          <w:rFonts w:hint="eastAsia" w:ascii="宋体" w:hAnsi="宋体" w:cs="宋体"/>
          <w:b/>
        </w:rPr>
        <w:t>投资限制</w:t>
      </w:r>
    </w:p>
    <w:p>
      <w:pPr>
        <w:numPr>
          <w:ilvl w:val="0"/>
          <w:numId w:val="24"/>
        </w:numPr>
        <w:spacing w:line="360" w:lineRule="auto"/>
        <w:ind w:firstLine="480" w:firstLineChars="200"/>
        <w:jc w:val="left"/>
        <w:rPr>
          <w:rFonts w:hint="eastAsia" w:ascii="宋体" w:hAnsi="宋体" w:cs="宋体"/>
          <w:bCs/>
        </w:rPr>
      </w:pPr>
      <w:r>
        <w:rPr>
          <w:rFonts w:hint="eastAsia" w:ascii="宋体" w:hAnsi="宋体" w:cs="宋体"/>
          <w:bCs/>
        </w:rPr>
        <w:t>投向限制</w:t>
      </w:r>
    </w:p>
    <w:p>
      <w:pPr>
        <w:spacing w:line="360" w:lineRule="auto"/>
        <w:ind w:left="480" w:leftChars="200"/>
        <w:jc w:val="left"/>
        <w:rPr>
          <w:rFonts w:hint="eastAsia" w:ascii="宋体" w:hAnsi="宋体" w:cs="宋体"/>
          <w:bCs/>
        </w:rPr>
      </w:pPr>
      <w:r>
        <w:rPr>
          <w:rFonts w:hint="eastAsia" w:ascii="宋体" w:hAnsi="宋体" w:cs="宋体"/>
          <w:bCs/>
        </w:rPr>
        <w:t>本理财计划不得投资于以下金融工具：</w:t>
      </w:r>
    </w:p>
    <w:p>
      <w:pPr>
        <w:numPr>
          <w:ilvl w:val="0"/>
          <w:numId w:val="25"/>
        </w:numPr>
        <w:spacing w:line="360" w:lineRule="auto"/>
        <w:ind w:left="480" w:leftChars="200"/>
        <w:jc w:val="left"/>
        <w:rPr>
          <w:rFonts w:hint="eastAsia" w:ascii="宋体" w:hAnsi="宋体" w:cs="宋体"/>
          <w:bCs/>
        </w:rPr>
      </w:pPr>
      <w:r>
        <w:rPr>
          <w:rFonts w:hint="eastAsia" w:ascii="宋体" w:hAnsi="宋体" w:cs="宋体"/>
          <w:bCs/>
        </w:rPr>
        <w:t>股票；</w:t>
      </w:r>
    </w:p>
    <w:p>
      <w:pPr>
        <w:numPr>
          <w:ilvl w:val="0"/>
          <w:numId w:val="25"/>
        </w:numPr>
        <w:spacing w:line="360" w:lineRule="auto"/>
        <w:ind w:left="480" w:leftChars="200"/>
        <w:jc w:val="left"/>
        <w:rPr>
          <w:rFonts w:hint="eastAsia" w:ascii="宋体" w:hAnsi="宋体" w:cs="宋体"/>
          <w:bCs/>
        </w:rPr>
      </w:pPr>
      <w:r>
        <w:rPr>
          <w:rFonts w:hint="eastAsia" w:ascii="宋体" w:hAnsi="宋体" w:cs="宋体"/>
          <w:bCs/>
        </w:rPr>
        <w:t>可转换债券、可交换债券；</w:t>
      </w:r>
    </w:p>
    <w:p>
      <w:pPr>
        <w:spacing w:line="360" w:lineRule="auto"/>
        <w:ind w:firstLine="480" w:firstLineChars="200"/>
        <w:jc w:val="left"/>
        <w:rPr>
          <w:rFonts w:hint="eastAsia" w:ascii="宋体" w:hAnsi="宋体" w:cs="宋体"/>
          <w:bCs/>
        </w:rPr>
      </w:pPr>
      <w:r>
        <w:rPr>
          <w:rFonts w:hint="eastAsia" w:ascii="宋体" w:hAnsi="宋体" w:cs="宋体"/>
          <w:bCs/>
        </w:rPr>
        <w:t>（3）以定期存款利率为基准利率的浮动利率债券，已进入最后一个利率调整期的除外；</w:t>
      </w:r>
    </w:p>
    <w:p>
      <w:pPr>
        <w:spacing w:line="360" w:lineRule="auto"/>
        <w:ind w:firstLine="480" w:firstLineChars="200"/>
        <w:jc w:val="left"/>
        <w:rPr>
          <w:rFonts w:hint="eastAsia" w:ascii="宋体" w:hAnsi="宋体" w:cs="宋体"/>
          <w:bCs/>
        </w:rPr>
      </w:pPr>
      <w:r>
        <w:rPr>
          <w:rFonts w:hint="eastAsia" w:ascii="宋体" w:hAnsi="宋体" w:cs="宋体"/>
          <w:bCs/>
        </w:rPr>
        <w:t>（4）信用等级在AA+以下的债券、资产支持证券；</w:t>
      </w:r>
    </w:p>
    <w:p>
      <w:pPr>
        <w:spacing w:line="360" w:lineRule="auto"/>
        <w:ind w:firstLine="480" w:firstLineChars="200"/>
        <w:jc w:val="left"/>
        <w:rPr>
          <w:rFonts w:hint="eastAsia" w:ascii="宋体" w:hAnsi="宋体" w:cs="宋体"/>
          <w:bCs/>
        </w:rPr>
      </w:pPr>
      <w:r>
        <w:rPr>
          <w:rFonts w:hint="eastAsia" w:ascii="宋体" w:hAnsi="宋体" w:cs="宋体"/>
          <w:bCs/>
        </w:rPr>
        <w:t>（5）国家金融监督管理总局、中国人民银行禁止投资的其它金融工具。</w:t>
      </w:r>
    </w:p>
    <w:p>
      <w:pPr>
        <w:numPr>
          <w:ilvl w:val="0"/>
          <w:numId w:val="24"/>
        </w:numPr>
        <w:spacing w:line="360" w:lineRule="auto"/>
        <w:ind w:firstLine="480" w:firstLineChars="200"/>
        <w:jc w:val="left"/>
        <w:rPr>
          <w:rFonts w:hint="eastAsia" w:ascii="宋体" w:hAnsi="宋体" w:cs="宋体"/>
          <w:bCs/>
        </w:rPr>
      </w:pPr>
      <w:r>
        <w:rPr>
          <w:rFonts w:hint="eastAsia" w:ascii="宋体" w:hAnsi="宋体" w:cs="宋体"/>
          <w:bCs/>
        </w:rPr>
        <w:t>投资集中度限制</w:t>
      </w:r>
    </w:p>
    <w:p>
      <w:pPr>
        <w:numPr>
          <w:ilvl w:val="0"/>
          <w:numId w:val="26"/>
        </w:numPr>
        <w:spacing w:line="360" w:lineRule="auto"/>
        <w:ind w:firstLine="480"/>
        <w:jc w:val="left"/>
        <w:rPr>
          <w:rFonts w:ascii="宋体" w:hAnsi="宋体" w:cs="宋体"/>
          <w:bCs/>
        </w:rPr>
      </w:pPr>
      <w:r>
        <w:rPr>
          <w:rFonts w:hint="eastAsia" w:ascii="宋体" w:hAnsi="宋体" w:cs="宋体"/>
          <w:bCs/>
        </w:rPr>
        <w:t>本理财计划持有单只证券或单只公募证券投资基金的市值不得超过该理财计划净资产的10%。</w:t>
      </w:r>
    </w:p>
    <w:p>
      <w:pPr>
        <w:numPr>
          <w:ilvl w:val="0"/>
          <w:numId w:val="26"/>
        </w:numPr>
        <w:spacing w:line="360" w:lineRule="auto"/>
        <w:ind w:firstLine="480" w:firstLineChars="200"/>
        <w:jc w:val="left"/>
        <w:rPr>
          <w:rFonts w:hint="eastAsia" w:ascii="宋体" w:hAnsi="宋体" w:cs="宋体"/>
          <w:bCs/>
        </w:rPr>
      </w:pPr>
      <w:r>
        <w:rPr>
          <w:rFonts w:hint="eastAsia" w:ascii="宋体" w:hAnsi="宋体" w:cs="宋体"/>
          <w:bCs/>
          <w:color w:val="000000"/>
        </w:rPr>
        <w:t>本理</w:t>
      </w:r>
      <w:r>
        <w:rPr>
          <w:rFonts w:hint="eastAsia" w:ascii="宋体" w:hAnsi="宋体" w:cs="宋体"/>
          <w:bCs/>
        </w:rPr>
        <w:t>财计划投资于同一机构发行的债券及其作为原始权益人的资产支持证券的比例合计</w:t>
      </w:r>
      <w:r>
        <w:rPr>
          <w:rFonts w:ascii="宋体" w:hAnsi="宋体" w:cs="宋体"/>
          <w:bCs/>
        </w:rPr>
        <w:t>不得超过该理财</w:t>
      </w:r>
      <w:r>
        <w:rPr>
          <w:rFonts w:hint="eastAsia" w:ascii="宋体" w:hAnsi="宋体" w:cs="宋体"/>
          <w:bCs/>
        </w:rPr>
        <w:t>计划</w:t>
      </w:r>
      <w:r>
        <w:rPr>
          <w:rFonts w:ascii="宋体" w:hAnsi="宋体" w:cs="宋体"/>
          <w:bCs/>
        </w:rPr>
        <w:t>净资产</w:t>
      </w:r>
      <w:r>
        <w:rPr>
          <w:rFonts w:hint="eastAsia" w:ascii="宋体" w:hAnsi="宋体" w:cs="宋体"/>
          <w:bCs/>
        </w:rPr>
        <w:t>的</w:t>
      </w:r>
      <w:r>
        <w:rPr>
          <w:rFonts w:ascii="宋体" w:hAnsi="宋体" w:cs="宋体"/>
          <w:bCs/>
        </w:rPr>
        <w:t>10%</w:t>
      </w:r>
      <w:r>
        <w:rPr>
          <w:rFonts w:hint="eastAsia" w:ascii="宋体" w:hAnsi="宋体" w:cs="宋体"/>
          <w:bCs/>
        </w:rPr>
        <w:t>，投资于国债、中央银行票据、政策性金融债券的除外。</w:t>
      </w:r>
    </w:p>
    <w:p>
      <w:pPr>
        <w:numPr>
          <w:ilvl w:val="0"/>
          <w:numId w:val="26"/>
        </w:numPr>
        <w:spacing w:line="360" w:lineRule="auto"/>
        <w:ind w:firstLine="480" w:firstLineChars="200"/>
        <w:jc w:val="left"/>
        <w:rPr>
          <w:rFonts w:ascii="宋体" w:hAnsi="宋体" w:cs="宋体"/>
          <w:bCs/>
        </w:rPr>
      </w:pPr>
      <w:r>
        <w:rPr>
          <w:rFonts w:hint="eastAsia" w:ascii="宋体" w:hAnsi="宋体" w:cs="宋体"/>
          <w:bCs/>
        </w:rPr>
        <w:t>管理人发行的全部公募理财计划持有单只证券或单只公募证券投资基金的市值，不得超过该证券市值或该公募证券投资基金市值的30%。</w:t>
      </w:r>
    </w:p>
    <w:p>
      <w:pPr>
        <w:numPr>
          <w:ilvl w:val="0"/>
          <w:numId w:val="26"/>
        </w:numPr>
        <w:spacing w:line="360" w:lineRule="auto"/>
        <w:ind w:firstLine="480" w:firstLineChars="200"/>
        <w:jc w:val="left"/>
        <w:rPr>
          <w:rFonts w:ascii="宋体" w:hAnsi="宋体" w:cs="宋体"/>
          <w:bCs/>
        </w:rPr>
      </w:pPr>
      <w:r>
        <w:rPr>
          <w:rFonts w:hint="eastAsia" w:ascii="宋体" w:hAnsi="宋体" w:cs="宋体"/>
          <w:bCs/>
        </w:rPr>
        <w:t>本理财计划投资于所有主体信用评级低于AAA的机构发行的金融工具的比例合计不得超过该理财计划净资产的10%，其中单一机构发行的金融工具的比例合计不得超过该理财计划净资产的2%；本款所称金融工具包括债券、银行存款、同业存单、相关机构作为原始权益人的资产支持证券及国家金融监督管理总局认可的其他金融工具。</w:t>
      </w:r>
    </w:p>
    <w:p>
      <w:pPr>
        <w:numPr>
          <w:ilvl w:val="0"/>
          <w:numId w:val="26"/>
        </w:numPr>
        <w:spacing w:line="360" w:lineRule="auto"/>
        <w:ind w:firstLine="480" w:firstLineChars="200"/>
        <w:jc w:val="left"/>
        <w:rPr>
          <w:rFonts w:ascii="宋体" w:hAnsi="宋体" w:cs="宋体"/>
          <w:bCs/>
        </w:rPr>
      </w:pPr>
      <w:r>
        <w:rPr>
          <w:rFonts w:hint="eastAsia" w:ascii="宋体" w:hAnsi="宋体" w:cs="宋体"/>
          <w:bCs/>
        </w:rPr>
        <w:t>本理财计划投资于有固定期限银行存款的比例合计不得超过该理财计划净资产的30%，投资于有存款期限，根据协议可提前支取的银行存款除外；本理财计划投资于主体信用评级为AAA的同一商业银行的银行存款、同业存单占该理财计划净资产的比例合计不得超过20%</w:t>
      </w:r>
      <w:r>
        <w:rPr>
          <w:rFonts w:hint="eastAsia" w:ascii="宋体" w:hAnsi="宋体"/>
        </w:rPr>
        <w:t>。</w:t>
      </w:r>
    </w:p>
    <w:p>
      <w:pPr>
        <w:numPr>
          <w:ilvl w:val="0"/>
          <w:numId w:val="26"/>
        </w:numPr>
        <w:spacing w:line="360" w:lineRule="auto"/>
        <w:ind w:firstLine="480" w:firstLineChars="200"/>
        <w:jc w:val="left"/>
        <w:rPr>
          <w:rFonts w:ascii="宋体" w:hAnsi="宋体" w:cs="宋体"/>
          <w:bCs/>
        </w:rPr>
      </w:pPr>
      <w:r>
        <w:rPr>
          <w:rFonts w:hint="eastAsia" w:ascii="宋体" w:hAnsi="宋体" w:cs="宋体"/>
          <w:bCs/>
        </w:rPr>
        <w:t>本理财计划投资于同一商业银行的存款、同业存单和债券，不得超过该商业银行最近一个季度末净资产的10%。</w:t>
      </w:r>
    </w:p>
    <w:p>
      <w:pPr>
        <w:spacing w:line="360" w:lineRule="auto"/>
        <w:ind w:firstLine="480" w:firstLineChars="200"/>
        <w:jc w:val="left"/>
        <w:rPr>
          <w:rFonts w:hint="eastAsia" w:ascii="宋体" w:hAnsi="宋体" w:cs="宋体"/>
          <w:bCs/>
        </w:rPr>
      </w:pPr>
      <w:r>
        <w:rPr>
          <w:rFonts w:hint="eastAsia" w:ascii="宋体" w:hAnsi="宋体" w:cs="宋体"/>
          <w:bCs/>
        </w:rPr>
        <w:t>国务院银行业监督管理机构另有规定的除外。</w:t>
      </w:r>
    </w:p>
    <w:p>
      <w:pPr>
        <w:spacing w:line="360" w:lineRule="auto"/>
        <w:ind w:firstLine="480" w:firstLineChars="200"/>
        <w:jc w:val="left"/>
        <w:rPr>
          <w:rFonts w:hint="eastAsia" w:ascii="宋体" w:hAnsi="宋体" w:cs="宋体"/>
          <w:bCs/>
        </w:rPr>
      </w:pPr>
      <w:r>
        <w:rPr>
          <w:rFonts w:hint="eastAsia" w:ascii="宋体" w:hAnsi="宋体" w:cs="宋体"/>
          <w:bCs/>
        </w:rPr>
        <w:t>非因管理人主观因素导致突破前款各项比例限制的，管理人应当在10个交易日内调整至符合要求，国家金融监督管理总局规定的特殊情形除外。</w:t>
      </w:r>
    </w:p>
    <w:p>
      <w:pPr>
        <w:numPr>
          <w:ilvl w:val="0"/>
          <w:numId w:val="24"/>
        </w:numPr>
        <w:spacing w:line="360" w:lineRule="auto"/>
        <w:ind w:firstLine="480" w:firstLineChars="200"/>
        <w:jc w:val="left"/>
        <w:rPr>
          <w:rFonts w:hint="eastAsia" w:ascii="宋体" w:hAnsi="宋体" w:cs="宋体"/>
          <w:bCs/>
        </w:rPr>
      </w:pPr>
      <w:r>
        <w:rPr>
          <w:rFonts w:hint="eastAsia" w:ascii="宋体" w:hAnsi="宋体" w:cs="宋体"/>
          <w:bCs/>
        </w:rPr>
        <w:t>投资期限限制</w:t>
      </w:r>
    </w:p>
    <w:p>
      <w:pPr>
        <w:spacing w:line="360" w:lineRule="auto"/>
        <w:ind w:firstLine="480" w:firstLineChars="200"/>
        <w:jc w:val="left"/>
        <w:rPr>
          <w:rFonts w:hint="eastAsia" w:ascii="宋体" w:hAnsi="宋体" w:cs="宋体"/>
          <w:bCs/>
        </w:rPr>
      </w:pPr>
      <w:r>
        <w:rPr>
          <w:rFonts w:hint="eastAsia" w:ascii="宋体" w:hAnsi="宋体" w:cs="宋体"/>
          <w:bCs/>
        </w:rPr>
        <w:t>本理财计划投资组合的平均剩余期限不得超过120天，平均剩余存续期限不得超过240天。</w:t>
      </w:r>
    </w:p>
    <w:p>
      <w:pPr>
        <w:numPr>
          <w:ilvl w:val="0"/>
          <w:numId w:val="24"/>
        </w:numPr>
        <w:spacing w:line="360" w:lineRule="auto"/>
        <w:ind w:firstLine="480" w:firstLineChars="200"/>
        <w:jc w:val="left"/>
        <w:rPr>
          <w:rFonts w:hint="eastAsia" w:ascii="宋体" w:hAnsi="宋体" w:cs="宋体"/>
          <w:bCs/>
        </w:rPr>
      </w:pPr>
      <w:r>
        <w:rPr>
          <w:rFonts w:hint="eastAsia" w:ascii="宋体" w:hAnsi="宋体" w:cs="宋体"/>
          <w:bCs/>
        </w:rPr>
        <w:t>投资杠杆率限制</w:t>
      </w:r>
    </w:p>
    <w:p>
      <w:pPr>
        <w:spacing w:line="360" w:lineRule="auto"/>
        <w:ind w:firstLine="480" w:firstLineChars="200"/>
        <w:jc w:val="left"/>
        <w:rPr>
          <w:rFonts w:hint="eastAsia" w:ascii="宋体" w:hAnsi="宋体" w:cs="宋体"/>
          <w:bCs/>
        </w:rPr>
      </w:pPr>
      <w:r>
        <w:rPr>
          <w:rFonts w:hint="eastAsia" w:ascii="宋体" w:hAnsi="宋体" w:cs="宋体"/>
          <w:bCs/>
        </w:rPr>
        <w:t>本理财计划的总资产不得超过净资产的120%，发生巨额赎回、连续3个交易日累计赎回20%以上或者连续5个交易日累计赎回30%以上的情形除外。非因管理人主观因素导致突破该条比例限制的，管理人应当在10个交易日内调整至符合要求。</w:t>
      </w:r>
    </w:p>
    <w:p>
      <w:pPr>
        <w:numPr>
          <w:ilvl w:val="0"/>
          <w:numId w:val="24"/>
        </w:numPr>
        <w:spacing w:line="360" w:lineRule="auto"/>
        <w:ind w:firstLine="480" w:firstLineChars="200"/>
        <w:jc w:val="left"/>
        <w:rPr>
          <w:rFonts w:hint="eastAsia" w:ascii="宋体" w:hAnsi="宋体" w:cs="宋体"/>
          <w:bCs/>
        </w:rPr>
      </w:pPr>
      <w:r>
        <w:rPr>
          <w:rFonts w:hint="eastAsia" w:ascii="宋体" w:hAnsi="宋体" w:cs="宋体"/>
          <w:bCs/>
        </w:rPr>
        <w:t>流动性限制</w:t>
      </w:r>
    </w:p>
    <w:p>
      <w:pPr>
        <w:numPr>
          <w:ilvl w:val="0"/>
          <w:numId w:val="27"/>
        </w:numPr>
        <w:spacing w:line="360" w:lineRule="auto"/>
        <w:ind w:firstLine="480" w:firstLineChars="200"/>
        <w:jc w:val="left"/>
        <w:rPr>
          <w:rFonts w:hint="eastAsia" w:ascii="宋体" w:hAnsi="宋体" w:cs="宋体"/>
          <w:bCs/>
        </w:rPr>
      </w:pPr>
      <w:r>
        <w:rPr>
          <w:rFonts w:hint="eastAsia" w:ascii="宋体" w:hAnsi="宋体" w:cs="宋体"/>
          <w:bCs/>
        </w:rPr>
        <w:t>本理财计划应持有不低于该理财计划净资产5%的现金或者到期日在一年以内的国债、中央银行票据、政策性金融债券。</w:t>
      </w:r>
    </w:p>
    <w:p>
      <w:pPr>
        <w:numPr>
          <w:ilvl w:val="0"/>
          <w:numId w:val="27"/>
        </w:numPr>
        <w:spacing w:line="360" w:lineRule="auto"/>
        <w:ind w:firstLine="480" w:firstLineChars="200"/>
        <w:jc w:val="left"/>
        <w:rPr>
          <w:rFonts w:hint="eastAsia" w:ascii="宋体" w:hAnsi="宋体" w:cs="宋体"/>
          <w:bCs/>
        </w:rPr>
      </w:pPr>
      <w:r>
        <w:rPr>
          <w:rFonts w:hint="eastAsia" w:ascii="宋体" w:hAnsi="宋体" w:cs="宋体"/>
          <w:bCs/>
        </w:rPr>
        <w:t>本理财计划应持有不低于该理财计划净资产10%的现金、国债、中央银行票据、政策性金融债券以及五个交易日内到期的其他金融工具。</w:t>
      </w:r>
    </w:p>
    <w:p>
      <w:pPr>
        <w:numPr>
          <w:ilvl w:val="0"/>
          <w:numId w:val="27"/>
        </w:numPr>
        <w:spacing w:line="360" w:lineRule="auto"/>
        <w:ind w:firstLine="480" w:firstLineChars="200"/>
        <w:jc w:val="left"/>
        <w:rPr>
          <w:rFonts w:ascii="宋体" w:hAnsi="宋体" w:cs="宋体"/>
          <w:bCs/>
        </w:rPr>
      </w:pPr>
      <w:r>
        <w:rPr>
          <w:rFonts w:hint="eastAsia" w:ascii="宋体" w:hAnsi="宋体" w:cs="宋体"/>
          <w:bCs/>
        </w:rPr>
        <w:t>本理财计划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该产品资产净值的10%。非管理人主观因素导致突破该条比例限制的，管理人不得主动新增流动性受限资产的投资。</w:t>
      </w:r>
    </w:p>
    <w:p>
      <w:pPr>
        <w:spacing w:line="360" w:lineRule="auto"/>
        <w:ind w:firstLine="480" w:firstLineChars="200"/>
        <w:jc w:val="left"/>
        <w:rPr>
          <w:rFonts w:ascii="宋体" w:hAnsi="宋体" w:cs="宋体"/>
          <w:bCs/>
        </w:rPr>
      </w:pPr>
      <w:r>
        <w:rPr>
          <w:rFonts w:hint="eastAsia" w:ascii="宋体" w:hAnsi="宋体" w:cs="宋体"/>
          <w:bCs/>
        </w:rPr>
        <w:t>非因管理人主观因素导致突破前款各项比例限制的，管理人应当在10个交易日内调整至符合要求，国家金融监督管理总局规定的特殊情形除外。</w:t>
      </w:r>
    </w:p>
    <w:p>
      <w:pPr>
        <w:numPr>
          <w:ilvl w:val="0"/>
          <w:numId w:val="24"/>
        </w:numPr>
        <w:spacing w:line="360" w:lineRule="auto"/>
        <w:ind w:firstLine="480" w:firstLineChars="200"/>
        <w:jc w:val="left"/>
        <w:rPr>
          <w:rFonts w:hint="eastAsia" w:ascii="宋体" w:hAnsi="宋体" w:cs="宋体"/>
          <w:bCs/>
        </w:rPr>
      </w:pPr>
      <w:r>
        <w:rPr>
          <w:rFonts w:hint="eastAsia" w:ascii="宋体" w:hAnsi="宋体" w:cs="宋体"/>
          <w:bCs/>
        </w:rPr>
        <w:t>其他投资限制</w:t>
      </w:r>
    </w:p>
    <w:p>
      <w:pPr>
        <w:spacing w:line="360" w:lineRule="auto"/>
        <w:ind w:firstLine="480" w:firstLineChars="200"/>
        <w:jc w:val="left"/>
        <w:rPr>
          <w:rFonts w:hint="eastAsia" w:ascii="宋体" w:hAnsi="宋体" w:cs="宋体"/>
          <w:bCs/>
        </w:rPr>
      </w:pPr>
      <w:r>
        <w:rPr>
          <w:rFonts w:hint="eastAsia" w:ascii="宋体" w:hAnsi="宋体" w:cs="宋体"/>
          <w:bCs/>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rPr>
        <w:fldChar w:fldCharType="begin"/>
      </w:r>
      <w:r>
        <w:rPr>
          <w:rFonts w:ascii="宋体" w:hAnsi="宋体" w:cs="宋体"/>
          <w:bCs/>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rPr>
        <w:fldChar w:fldCharType="separate"/>
      </w:r>
      <w:r>
        <w:rPr>
          <w:rFonts w:ascii="宋体" w:hAnsi="宋体" w:cs="宋体"/>
          <w:bCs/>
        </w:rPr>
        <w:t>资产支持证券</w:t>
      </w:r>
      <w:r>
        <w:rPr>
          <w:rFonts w:ascii="宋体" w:hAnsi="宋体" w:cs="宋体"/>
          <w:bCs/>
        </w:rPr>
        <w:fldChar w:fldCharType="end"/>
      </w:r>
      <w:r>
        <w:rPr>
          <w:rFonts w:hint="eastAsia" w:ascii="宋体" w:hAnsi="宋体" w:cs="宋体"/>
          <w:bCs/>
        </w:rPr>
        <w:t>，不得直接或间接投资于未上市公司股权及其受（收）益权。</w:t>
      </w:r>
    </w:p>
    <w:p>
      <w:pPr>
        <w:numPr>
          <w:ilvl w:val="0"/>
          <w:numId w:val="20"/>
        </w:numPr>
        <w:spacing w:line="360" w:lineRule="auto"/>
        <w:ind w:firstLine="482" w:firstLineChars="200"/>
        <w:jc w:val="left"/>
        <w:outlineLvl w:val="2"/>
        <w:rPr>
          <w:rFonts w:hint="eastAsia" w:ascii="宋体" w:hAnsi="宋体" w:cs="宋体"/>
          <w:b/>
        </w:rPr>
      </w:pPr>
      <w:r>
        <w:rPr>
          <w:rFonts w:hint="eastAsia" w:ascii="宋体" w:hAnsi="宋体" w:cs="宋体"/>
          <w:b/>
        </w:rPr>
        <w:t>拟投资市场、资产的流动性风险评估</w:t>
      </w:r>
    </w:p>
    <w:p>
      <w:pPr>
        <w:spacing w:line="360" w:lineRule="auto"/>
        <w:ind w:firstLine="480" w:firstLineChars="200"/>
        <w:jc w:val="left"/>
        <w:rPr>
          <w:rFonts w:hint="eastAsia" w:ascii="宋体" w:hAnsi="宋体" w:cs="宋体"/>
          <w:bCs/>
        </w:rPr>
      </w:pPr>
      <w:r>
        <w:rPr>
          <w:rFonts w:hint="eastAsia" w:ascii="宋体" w:hAnsi="宋体" w:cs="宋体"/>
          <w:bCs/>
        </w:rPr>
        <w:t>本理财计划拟投资市场可能面临的流动性风险如下：</w:t>
      </w:r>
    </w:p>
    <w:p>
      <w:pPr>
        <w:spacing w:line="360" w:lineRule="auto"/>
        <w:ind w:firstLine="480" w:firstLineChars="200"/>
        <w:jc w:val="left"/>
        <w:rPr>
          <w:rFonts w:hint="eastAsia" w:ascii="宋体" w:hAnsi="宋体" w:cs="宋体"/>
          <w:bCs/>
        </w:rPr>
      </w:pPr>
      <w:r>
        <w:rPr>
          <w:rFonts w:hint="eastAsia" w:ascii="宋体" w:hAnsi="宋体" w:cs="宋体"/>
          <w:bCs/>
        </w:rPr>
        <w:t>投资于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spacing w:line="360" w:lineRule="auto"/>
        <w:ind w:firstLine="480" w:firstLineChars="200"/>
        <w:jc w:val="left"/>
        <w:rPr>
          <w:rFonts w:hint="eastAsia" w:ascii="宋体" w:hAnsi="宋体" w:cs="宋体"/>
          <w:bCs/>
        </w:rPr>
      </w:pPr>
      <w:r>
        <w:rPr>
          <w:rFonts w:hint="eastAsia" w:ascii="宋体" w:hAnsi="宋体" w:cs="宋体"/>
          <w:bCs/>
        </w:rPr>
        <w:t>以上风险仅为列举性质，未能详尽列明拟投资市场和资产面临的全部流动性风险</w:t>
      </w:r>
      <w:r>
        <w:rPr>
          <w:rFonts w:ascii="宋体" w:hAnsi="宋体" w:cs="宋体"/>
          <w:bCs/>
        </w:rPr>
        <w:t>可能导致投资者投资本金及收益损失</w:t>
      </w:r>
      <w:r>
        <w:rPr>
          <w:rFonts w:hint="eastAsia" w:ascii="宋体" w:hAnsi="宋体" w:cs="宋体"/>
          <w:bCs/>
        </w:rPr>
        <w:t>或延期兑付</w:t>
      </w:r>
      <w:r>
        <w:rPr>
          <w:rFonts w:ascii="宋体" w:hAnsi="宋体" w:cs="宋体"/>
          <w:bCs/>
        </w:rPr>
        <w:t>的所有因素</w:t>
      </w:r>
      <w:r>
        <w:rPr>
          <w:rFonts w:hint="eastAsia" w:ascii="宋体" w:hAnsi="宋体" w:cs="宋体"/>
          <w:bCs/>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rPr>
      </w:pPr>
    </w:p>
    <w:p>
      <w:pPr>
        <w:numPr>
          <w:ilvl w:val="0"/>
          <w:numId w:val="28"/>
        </w:numPr>
        <w:spacing w:line="360" w:lineRule="auto"/>
        <w:ind w:firstLine="482" w:firstLineChars="200"/>
        <w:jc w:val="left"/>
        <w:outlineLvl w:val="1"/>
        <w:rPr>
          <w:rFonts w:hint="eastAsia" w:ascii="宋体" w:hAnsi="宋体" w:cs="宋体"/>
          <w:b/>
        </w:rPr>
      </w:pPr>
      <w:r>
        <w:rPr>
          <w:rFonts w:hint="eastAsia" w:ascii="宋体" w:hAnsi="宋体" w:cs="宋体"/>
          <w:b/>
        </w:rPr>
        <w:t>合作机构及主要职责</w:t>
      </w:r>
    </w:p>
    <w:p>
      <w:pPr>
        <w:numPr>
          <w:ilvl w:val="0"/>
          <w:numId w:val="29"/>
        </w:numPr>
        <w:spacing w:line="360" w:lineRule="auto"/>
        <w:ind w:firstLine="482" w:firstLineChars="200"/>
        <w:jc w:val="left"/>
        <w:outlineLvl w:val="2"/>
        <w:rPr>
          <w:rFonts w:hint="eastAsia" w:ascii="宋体" w:hAnsi="宋体" w:cs="宋体"/>
          <w:b/>
        </w:rPr>
      </w:pPr>
      <w:r>
        <w:rPr>
          <w:rFonts w:hint="eastAsia" w:ascii="宋体" w:hAnsi="宋体" w:cs="宋体"/>
          <w:b/>
        </w:rPr>
        <w:t>托管人</w:t>
      </w:r>
    </w:p>
    <w:tbl>
      <w:tblPr>
        <w:tblStyle w:val="11"/>
        <w:tblW w:w="75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jc w:val="center"/>
        </w:trPr>
        <w:tc>
          <w:tcPr>
            <w:tcW w:w="1740" w:type="dxa"/>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托管人名称</w:t>
            </w:r>
          </w:p>
        </w:tc>
        <w:tc>
          <w:tcPr>
            <w:tcW w:w="5790" w:type="dxa"/>
            <w:noWrap w:val="0"/>
            <w:vAlign w:val="top"/>
          </w:tcPr>
          <w:p>
            <w:pPr>
              <w:spacing w:line="360" w:lineRule="auto"/>
              <w:jc w:val="left"/>
              <w:rPr>
                <w:rFonts w:ascii="宋体" w:hAnsi="宋体" w:cs="宋体"/>
                <w:bCs/>
                <w:sz w:val="21"/>
                <w:szCs w:val="21"/>
              </w:rPr>
            </w:pPr>
            <w:r>
              <w:rPr>
                <w:rFonts w:hint="eastAsia" w:ascii="宋体" w:hAnsi="宋体" w:cs="宋体"/>
                <w:bCs/>
                <w:sz w:val="21"/>
                <w:szCs w:val="21"/>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jc w:val="center"/>
        </w:trPr>
        <w:tc>
          <w:tcPr>
            <w:tcW w:w="1740" w:type="dxa"/>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托管人住所</w:t>
            </w:r>
          </w:p>
        </w:tc>
        <w:tc>
          <w:tcPr>
            <w:tcW w:w="5790" w:type="dxa"/>
            <w:noWrap w:val="0"/>
            <w:vAlign w:val="top"/>
          </w:tcPr>
          <w:p>
            <w:pPr>
              <w:spacing w:line="360" w:lineRule="auto"/>
              <w:jc w:val="left"/>
              <w:rPr>
                <w:rFonts w:hint="eastAsia" w:ascii="宋体" w:hAnsi="宋体" w:eastAsia="宋体" w:cs="宋体"/>
                <w:bCs/>
                <w:sz w:val="21"/>
                <w:szCs w:val="21"/>
                <w:lang w:eastAsia="zh-CN"/>
              </w:rPr>
            </w:pPr>
            <w:r>
              <w:rPr>
                <w:rFonts w:hint="eastAsia" w:ascii="宋体" w:hAnsi="宋体" w:cs="宋体"/>
                <w:bCs/>
                <w:sz w:val="21"/>
                <w:szCs w:val="21"/>
                <w:lang w:eastAsia="zh-CN"/>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jc w:val="center"/>
        </w:trPr>
        <w:tc>
          <w:tcPr>
            <w:tcW w:w="1740" w:type="dxa"/>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托管人职责</w:t>
            </w:r>
          </w:p>
        </w:tc>
        <w:tc>
          <w:tcPr>
            <w:tcW w:w="5790" w:type="dxa"/>
            <w:noWrap w:val="0"/>
            <w:vAlign w:val="top"/>
          </w:tcPr>
          <w:p>
            <w:pPr>
              <w:spacing w:line="360" w:lineRule="auto"/>
              <w:jc w:val="left"/>
              <w:rPr>
                <w:rFonts w:hint="eastAsia" w:ascii="宋体" w:hAnsi="宋体" w:cs="宋体"/>
                <w:bCs/>
                <w:sz w:val="21"/>
                <w:szCs w:val="21"/>
              </w:rPr>
            </w:pPr>
            <w:r>
              <w:rPr>
                <w:rFonts w:hint="eastAsia" w:ascii="宋体" w:hAnsi="宋体" w:cs="宋体"/>
                <w:bCs/>
                <w:sz w:val="21"/>
                <w:szCs w:val="21"/>
              </w:rPr>
              <w:t>主要提供包括账户开立、资金保管、资金结算、估值核对等理财产品托管服务。</w:t>
            </w:r>
          </w:p>
        </w:tc>
      </w:tr>
    </w:tbl>
    <w:p>
      <w:pPr>
        <w:numPr>
          <w:ilvl w:val="0"/>
          <w:numId w:val="30"/>
        </w:numPr>
        <w:spacing w:line="360" w:lineRule="auto"/>
        <w:ind w:firstLine="482" w:firstLineChars="200"/>
        <w:jc w:val="left"/>
        <w:outlineLvl w:val="2"/>
        <w:rPr>
          <w:rFonts w:hint="eastAsia" w:ascii="宋体" w:hAnsi="宋体" w:cs="宋体"/>
          <w:b/>
        </w:rPr>
      </w:pPr>
      <w:r>
        <w:rPr>
          <w:rFonts w:hint="eastAsia" w:ascii="宋体" w:hAnsi="宋体" w:cs="宋体"/>
          <w:b/>
        </w:rPr>
        <w:t>销售机构</w:t>
      </w:r>
    </w:p>
    <w:tbl>
      <w:tblPr>
        <w:tblStyle w:val="11"/>
        <w:tblW w:w="78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2689"/>
        <w:gridCol w:w="1068"/>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2" w:type="dxa"/>
            <w:vMerge w:val="restart"/>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销售机构信息</w:t>
            </w:r>
          </w:p>
        </w:tc>
        <w:tc>
          <w:tcPr>
            <w:tcW w:w="2689" w:type="dxa"/>
            <w:vMerge w:val="restart"/>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杭州银行股份有限公司</w:t>
            </w:r>
          </w:p>
        </w:tc>
        <w:tc>
          <w:tcPr>
            <w:tcW w:w="1068" w:type="dxa"/>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住所</w:t>
            </w:r>
          </w:p>
        </w:tc>
        <w:tc>
          <w:tcPr>
            <w:tcW w:w="3083" w:type="dxa"/>
            <w:noWrap w:val="0"/>
            <w:vAlign w:val="center"/>
          </w:tcPr>
          <w:p>
            <w:pPr>
              <w:spacing w:line="360" w:lineRule="auto"/>
              <w:jc w:val="left"/>
              <w:rPr>
                <w:rFonts w:hint="eastAsia" w:ascii="宋体" w:hAnsi="宋体" w:eastAsia="宋体" w:cs="宋体"/>
                <w:bCs/>
                <w:sz w:val="21"/>
                <w:szCs w:val="21"/>
                <w:lang w:eastAsia="zh-CN"/>
              </w:rPr>
            </w:pPr>
            <w:r>
              <w:rPr>
                <w:rFonts w:hint="eastAsia" w:ascii="宋体" w:hAnsi="宋体" w:cs="宋体"/>
                <w:bCs/>
                <w:sz w:val="21"/>
                <w:szCs w:val="21"/>
                <w:lang w:eastAsia="zh-CN"/>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2" w:type="dxa"/>
            <w:vMerge w:val="continue"/>
            <w:noWrap w:val="0"/>
            <w:vAlign w:val="top"/>
          </w:tcPr>
          <w:p>
            <w:pPr>
              <w:spacing w:line="360" w:lineRule="auto"/>
              <w:jc w:val="left"/>
              <w:rPr>
                <w:rFonts w:hint="eastAsia" w:ascii="宋体" w:hAnsi="宋体" w:cs="宋体"/>
                <w:bCs/>
                <w:sz w:val="21"/>
                <w:szCs w:val="21"/>
              </w:rPr>
            </w:pPr>
          </w:p>
        </w:tc>
        <w:tc>
          <w:tcPr>
            <w:tcW w:w="2689" w:type="dxa"/>
            <w:vMerge w:val="continue"/>
            <w:noWrap w:val="0"/>
            <w:vAlign w:val="center"/>
          </w:tcPr>
          <w:p>
            <w:pPr>
              <w:spacing w:line="360" w:lineRule="auto"/>
              <w:jc w:val="center"/>
              <w:rPr>
                <w:rFonts w:hint="eastAsia" w:ascii="宋体" w:hAnsi="宋体" w:cs="宋体"/>
                <w:bCs/>
                <w:sz w:val="21"/>
                <w:szCs w:val="21"/>
              </w:rPr>
            </w:pPr>
          </w:p>
        </w:tc>
        <w:tc>
          <w:tcPr>
            <w:tcW w:w="1068" w:type="dxa"/>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客服热线</w:t>
            </w:r>
          </w:p>
        </w:tc>
        <w:tc>
          <w:tcPr>
            <w:tcW w:w="3083" w:type="dxa"/>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95398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2" w:type="dxa"/>
            <w:vMerge w:val="continue"/>
            <w:noWrap w:val="0"/>
            <w:vAlign w:val="top"/>
          </w:tcPr>
          <w:p>
            <w:pPr>
              <w:spacing w:line="360" w:lineRule="auto"/>
              <w:jc w:val="left"/>
              <w:rPr>
                <w:rFonts w:hint="eastAsia" w:ascii="宋体" w:hAnsi="宋体" w:cs="宋体"/>
                <w:bCs/>
                <w:sz w:val="21"/>
                <w:szCs w:val="21"/>
              </w:rPr>
            </w:pPr>
          </w:p>
        </w:tc>
        <w:tc>
          <w:tcPr>
            <w:tcW w:w="2689" w:type="dxa"/>
            <w:vMerge w:val="restart"/>
            <w:noWrap w:val="0"/>
            <w:vAlign w:val="center"/>
          </w:tcPr>
          <w:p>
            <w:pPr>
              <w:spacing w:line="360" w:lineRule="auto"/>
              <w:jc w:val="center"/>
              <w:rPr>
                <w:rFonts w:ascii="宋体" w:hAnsi="宋体" w:cs="宋体"/>
                <w:sz w:val="21"/>
                <w:szCs w:val="21"/>
              </w:rPr>
            </w:pPr>
            <w:r>
              <w:rPr>
                <w:rFonts w:hint="eastAsia" w:ascii="宋体" w:hAnsi="宋体" w:cs="宋体"/>
                <w:sz w:val="21"/>
                <w:szCs w:val="21"/>
              </w:rPr>
              <w:t>杭银理财有限责任公司</w:t>
            </w:r>
          </w:p>
        </w:tc>
        <w:tc>
          <w:tcPr>
            <w:tcW w:w="1068" w:type="dxa"/>
            <w:noWrap w:val="0"/>
            <w:vAlign w:val="center"/>
          </w:tcPr>
          <w:p>
            <w:pPr>
              <w:spacing w:line="360" w:lineRule="auto"/>
              <w:jc w:val="center"/>
              <w:rPr>
                <w:rFonts w:ascii="宋体" w:hAnsi="宋体" w:cs="宋体"/>
                <w:sz w:val="21"/>
                <w:szCs w:val="21"/>
              </w:rPr>
            </w:pPr>
            <w:r>
              <w:rPr>
                <w:rFonts w:hint="eastAsia" w:ascii="宋体" w:hAnsi="宋体" w:cs="宋体"/>
                <w:sz w:val="21"/>
                <w:szCs w:val="21"/>
              </w:rPr>
              <w:t>住所</w:t>
            </w:r>
          </w:p>
        </w:tc>
        <w:tc>
          <w:tcPr>
            <w:tcW w:w="3083" w:type="dxa"/>
            <w:noWrap w:val="0"/>
            <w:vAlign w:val="center"/>
          </w:tcPr>
          <w:p>
            <w:pPr>
              <w:spacing w:line="360" w:lineRule="auto"/>
              <w:jc w:val="left"/>
              <w:rPr>
                <w:rFonts w:ascii="宋体" w:hAnsi="宋体" w:cs="宋体"/>
                <w:sz w:val="21"/>
                <w:szCs w:val="21"/>
              </w:rPr>
            </w:pPr>
            <w:r>
              <w:rPr>
                <w:rFonts w:hint="eastAsia" w:ascii="宋体" w:hAnsi="宋体" w:cs="宋体"/>
                <w:sz w:val="21"/>
                <w:szCs w:val="21"/>
              </w:rPr>
              <w:t>浙江省杭州市拱墅区庆春路38号金龙财富中心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2" w:type="dxa"/>
            <w:vMerge w:val="continue"/>
            <w:noWrap w:val="0"/>
            <w:vAlign w:val="top"/>
          </w:tcPr>
          <w:p>
            <w:pPr>
              <w:spacing w:line="360" w:lineRule="auto"/>
              <w:jc w:val="left"/>
              <w:rPr>
                <w:rFonts w:hint="eastAsia" w:ascii="宋体" w:hAnsi="宋体" w:cs="宋体"/>
                <w:bCs/>
                <w:sz w:val="21"/>
                <w:szCs w:val="21"/>
              </w:rPr>
            </w:pPr>
          </w:p>
        </w:tc>
        <w:tc>
          <w:tcPr>
            <w:tcW w:w="2689" w:type="dxa"/>
            <w:vMerge w:val="continue"/>
            <w:noWrap w:val="0"/>
            <w:vAlign w:val="center"/>
          </w:tcPr>
          <w:p>
            <w:pPr>
              <w:rPr>
                <w:rFonts w:hint="eastAsia" w:ascii="宋体" w:hAnsi="宋体" w:cs="宋体"/>
                <w:bCs/>
                <w:sz w:val="21"/>
                <w:szCs w:val="21"/>
              </w:rPr>
            </w:pPr>
          </w:p>
        </w:tc>
        <w:tc>
          <w:tcPr>
            <w:tcW w:w="1068" w:type="dxa"/>
            <w:noWrap w:val="0"/>
            <w:vAlign w:val="center"/>
          </w:tcPr>
          <w:p>
            <w:pPr>
              <w:spacing w:line="360" w:lineRule="auto"/>
              <w:jc w:val="center"/>
              <w:rPr>
                <w:rFonts w:hint="eastAsia" w:ascii="宋体" w:hAnsi="宋体" w:cs="宋体"/>
                <w:bCs/>
                <w:sz w:val="21"/>
                <w:szCs w:val="21"/>
              </w:rPr>
            </w:pPr>
            <w:r>
              <w:rPr>
                <w:rFonts w:hint="eastAsia" w:ascii="宋体" w:hAnsi="宋体" w:cs="宋体"/>
                <w:sz w:val="21"/>
                <w:szCs w:val="21"/>
              </w:rPr>
              <w:t>客服热线</w:t>
            </w:r>
          </w:p>
        </w:tc>
        <w:tc>
          <w:tcPr>
            <w:tcW w:w="3083" w:type="dxa"/>
            <w:noWrap w:val="0"/>
            <w:vAlign w:val="center"/>
          </w:tcPr>
          <w:p>
            <w:pPr>
              <w:spacing w:line="360" w:lineRule="auto"/>
              <w:jc w:val="center"/>
              <w:rPr>
                <w:rFonts w:hint="eastAsia" w:ascii="宋体" w:hAnsi="宋体" w:cs="宋体"/>
                <w:bCs/>
                <w:sz w:val="21"/>
                <w:szCs w:val="21"/>
              </w:rPr>
            </w:pPr>
            <w:r>
              <w:rPr>
                <w:rFonts w:hint="eastAsia" w:ascii="宋体" w:hAnsi="宋体" w:cs="宋体"/>
                <w:sz w:val="21"/>
                <w:szCs w:val="21"/>
              </w:rPr>
              <w:t>400-8950-999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2" w:type="dxa"/>
            <w:noWrap w:val="0"/>
            <w:vAlign w:val="center"/>
          </w:tcPr>
          <w:p>
            <w:pPr>
              <w:spacing w:line="360" w:lineRule="auto"/>
              <w:jc w:val="center"/>
              <w:rPr>
                <w:rFonts w:ascii="宋体" w:hAnsi="宋体" w:cs="宋体"/>
                <w:bCs/>
                <w:sz w:val="21"/>
                <w:szCs w:val="21"/>
              </w:rPr>
            </w:pPr>
            <w:r>
              <w:rPr>
                <w:rFonts w:hint="eastAsia" w:ascii="宋体" w:hAnsi="宋体" w:cs="宋体"/>
                <w:bCs/>
                <w:sz w:val="21"/>
                <w:szCs w:val="21"/>
              </w:rPr>
              <w:t>销售机构职责</w:t>
            </w:r>
          </w:p>
        </w:tc>
        <w:tc>
          <w:tcPr>
            <w:tcW w:w="6840" w:type="dxa"/>
            <w:gridSpan w:val="3"/>
            <w:noWrap w:val="0"/>
            <w:vAlign w:val="top"/>
          </w:tcPr>
          <w:p>
            <w:pPr>
              <w:spacing w:line="360" w:lineRule="auto"/>
              <w:jc w:val="left"/>
              <w:rPr>
                <w:rFonts w:hint="eastAsia" w:ascii="宋体" w:hAnsi="宋体" w:cs="宋体"/>
                <w:bCs/>
                <w:sz w:val="21"/>
                <w:szCs w:val="21"/>
              </w:rPr>
            </w:pPr>
            <w:r>
              <w:rPr>
                <w:rFonts w:hint="eastAsia" w:ascii="宋体" w:hAnsi="宋体" w:cs="宋体"/>
                <w:bCs/>
                <w:sz w:val="21"/>
                <w:szCs w:val="21"/>
              </w:rPr>
              <w:t>主要负责理财计划推广、投资者风险承受能力评估、投资者适当性管理、理财计划份额认购、申购及赎回办理。</w:t>
            </w:r>
          </w:p>
          <w:p>
            <w:pPr>
              <w:spacing w:line="360" w:lineRule="auto"/>
              <w:jc w:val="left"/>
              <w:rPr>
                <w:rFonts w:ascii="宋体" w:hAnsi="宋体" w:cs="宋体"/>
                <w:bCs/>
                <w:sz w:val="21"/>
                <w:szCs w:val="21"/>
              </w:rPr>
            </w:pPr>
            <w:r>
              <w:rPr>
                <w:rFonts w:hint="eastAsia" w:ascii="宋体" w:hAnsi="宋体" w:cs="宋体"/>
                <w:bCs/>
                <w:sz w:val="21"/>
                <w:szCs w:val="21"/>
              </w:rPr>
              <w:t>协助管理人负责与投资者签订理财计划合同、与投资者沟通及进行信息披露、接受投资者咨询和维护等销售服务。</w:t>
            </w:r>
          </w:p>
        </w:tc>
      </w:tr>
    </w:tbl>
    <w:p>
      <w:pPr>
        <w:spacing w:line="360" w:lineRule="auto"/>
        <w:ind w:firstLine="480" w:firstLineChars="200"/>
        <w:rPr>
          <w:rFonts w:hint="eastAsia" w:ascii="宋体" w:hAnsi="宋体" w:cs="宋体"/>
          <w:b/>
        </w:rPr>
      </w:pPr>
      <w:r>
        <w:rPr>
          <w:rFonts w:hint="eastAsia" w:ascii="宋体" w:hAnsi="宋体" w:cs="宋体"/>
          <w:bCs/>
          <w:color w:val="000000"/>
        </w:rPr>
        <w:t>在本理财计划发行后新增准入的销售机构将以管理人对外公告为准。</w:t>
      </w:r>
    </w:p>
    <w:p>
      <w:pPr>
        <w:spacing w:line="360" w:lineRule="auto"/>
        <w:jc w:val="left"/>
        <w:rPr>
          <w:rFonts w:ascii="宋体" w:hAnsi="宋体" w:cs="宋体"/>
          <w:bCs/>
        </w:rPr>
      </w:pPr>
    </w:p>
    <w:p>
      <w:pPr>
        <w:numPr>
          <w:ilvl w:val="0"/>
          <w:numId w:val="28"/>
        </w:numPr>
        <w:spacing w:line="360" w:lineRule="auto"/>
        <w:ind w:firstLine="482" w:firstLineChars="200"/>
        <w:jc w:val="left"/>
        <w:outlineLvl w:val="1"/>
        <w:rPr>
          <w:rFonts w:hint="eastAsia" w:ascii="宋体" w:hAnsi="宋体" w:cs="宋体"/>
          <w:b/>
        </w:rPr>
      </w:pPr>
      <w:r>
        <w:rPr>
          <w:rFonts w:hint="eastAsia" w:ascii="宋体" w:hAnsi="宋体" w:cs="宋体"/>
          <w:b/>
        </w:rPr>
        <w:t>估值</w:t>
      </w:r>
    </w:p>
    <w:p>
      <w:pPr>
        <w:numPr>
          <w:ilvl w:val="0"/>
          <w:numId w:val="31"/>
        </w:numPr>
        <w:spacing w:line="360" w:lineRule="auto"/>
        <w:ind w:firstLine="482" w:firstLineChars="200"/>
        <w:jc w:val="left"/>
        <w:outlineLvl w:val="2"/>
        <w:rPr>
          <w:rFonts w:hint="eastAsia" w:ascii="宋体" w:hAnsi="宋体" w:cs="宋体"/>
          <w:b/>
        </w:rPr>
      </w:pPr>
      <w:r>
        <w:rPr>
          <w:rFonts w:hint="eastAsia" w:ascii="宋体" w:hAnsi="宋体" w:cs="宋体"/>
          <w:b/>
        </w:rPr>
        <w:t>估值日</w:t>
      </w:r>
    </w:p>
    <w:p>
      <w:pPr>
        <w:spacing w:line="360" w:lineRule="auto"/>
        <w:ind w:firstLine="480" w:firstLineChars="200"/>
        <w:rPr>
          <w:rFonts w:hint="eastAsia" w:ascii="宋体" w:hAnsi="宋体" w:cs="宋体"/>
          <w:bCs/>
          <w:color w:val="000000"/>
        </w:rPr>
      </w:pPr>
      <w:r>
        <w:rPr>
          <w:rFonts w:hint="eastAsia" w:ascii="宋体" w:hAnsi="宋体" w:cs="宋体"/>
          <w:bCs/>
          <w:color w:val="000000"/>
        </w:rPr>
        <w:t>本理财计划估值日为每个工作日，由理财计划管理人和理财计划托管人核对估值结果并向投资者披露，具体日期以管理人公告为准。</w:t>
      </w:r>
    </w:p>
    <w:p>
      <w:pPr>
        <w:numPr>
          <w:ilvl w:val="0"/>
          <w:numId w:val="31"/>
        </w:numPr>
        <w:spacing w:line="360" w:lineRule="auto"/>
        <w:ind w:firstLine="482" w:firstLineChars="200"/>
        <w:jc w:val="left"/>
        <w:outlineLvl w:val="2"/>
        <w:rPr>
          <w:rFonts w:hint="eastAsia" w:ascii="宋体" w:hAnsi="宋体" w:cs="宋体"/>
          <w:b/>
        </w:rPr>
      </w:pPr>
      <w:r>
        <w:rPr>
          <w:rFonts w:hint="eastAsia" w:ascii="宋体" w:hAnsi="宋体" w:cs="宋体"/>
          <w:b/>
        </w:rPr>
        <w:t>估值对象</w:t>
      </w:r>
    </w:p>
    <w:p>
      <w:pPr>
        <w:spacing w:line="360" w:lineRule="auto"/>
        <w:ind w:firstLine="480" w:firstLineChars="200"/>
        <w:rPr>
          <w:rFonts w:hint="eastAsia" w:ascii="宋体" w:hAnsi="宋体" w:cs="宋体"/>
          <w:bCs/>
          <w:color w:val="000000"/>
        </w:rPr>
      </w:pPr>
      <w:r>
        <w:rPr>
          <w:rFonts w:hint="eastAsia" w:ascii="宋体" w:hAnsi="宋体" w:cs="宋体"/>
          <w:bCs/>
          <w:color w:val="000000"/>
        </w:rPr>
        <w:t>本理财计划所投资的所有资产及负债。</w:t>
      </w:r>
    </w:p>
    <w:p>
      <w:pPr>
        <w:numPr>
          <w:ilvl w:val="0"/>
          <w:numId w:val="31"/>
        </w:numPr>
        <w:spacing w:line="360" w:lineRule="auto"/>
        <w:ind w:firstLine="482" w:firstLineChars="200"/>
        <w:jc w:val="left"/>
        <w:outlineLvl w:val="2"/>
        <w:rPr>
          <w:rFonts w:hint="eastAsia" w:ascii="宋体" w:hAnsi="宋体" w:cs="宋体"/>
          <w:b/>
        </w:rPr>
      </w:pPr>
      <w:r>
        <w:rPr>
          <w:rFonts w:hint="eastAsia" w:ascii="宋体" w:hAnsi="宋体" w:cs="宋体"/>
          <w:b/>
        </w:rPr>
        <w:t>估值目的</w:t>
      </w:r>
    </w:p>
    <w:p>
      <w:pPr>
        <w:spacing w:line="360" w:lineRule="auto"/>
        <w:ind w:firstLine="480" w:firstLineChars="200"/>
        <w:rPr>
          <w:rFonts w:hint="eastAsia" w:ascii="宋体" w:hAnsi="宋体" w:cs="宋体"/>
          <w:bCs/>
          <w:color w:val="000000"/>
        </w:rPr>
      </w:pPr>
      <w:r>
        <w:rPr>
          <w:rFonts w:hint="eastAsia" w:ascii="宋体" w:hAnsi="宋体" w:cs="宋体"/>
          <w:bCs/>
          <w:color w:val="000000"/>
        </w:rPr>
        <w:t>客观、准确反映理财计划的价值。</w:t>
      </w:r>
    </w:p>
    <w:p>
      <w:pPr>
        <w:numPr>
          <w:ilvl w:val="0"/>
          <w:numId w:val="31"/>
        </w:numPr>
        <w:spacing w:line="360" w:lineRule="auto"/>
        <w:ind w:firstLine="482" w:firstLineChars="200"/>
        <w:jc w:val="left"/>
        <w:outlineLvl w:val="2"/>
        <w:rPr>
          <w:rFonts w:hint="eastAsia" w:ascii="宋体" w:hAnsi="宋体" w:cs="宋体"/>
          <w:b/>
        </w:rPr>
      </w:pPr>
      <w:r>
        <w:rPr>
          <w:rFonts w:hint="eastAsia" w:ascii="宋体" w:hAnsi="宋体" w:cs="宋体"/>
          <w:b/>
        </w:rPr>
        <w:t>估值方法</w:t>
      </w:r>
    </w:p>
    <w:p>
      <w:pPr>
        <w:spacing w:line="360" w:lineRule="auto"/>
        <w:ind w:firstLine="480" w:firstLineChars="200"/>
        <w:rPr>
          <w:rFonts w:hint="eastAsia" w:ascii="宋体" w:hAnsi="宋体" w:cs="宋体"/>
          <w:bCs/>
          <w:color w:val="000000"/>
        </w:rPr>
      </w:pPr>
      <w:r>
        <w:rPr>
          <w:rFonts w:hint="eastAsia" w:ascii="宋体" w:hAnsi="宋体" w:cs="宋体"/>
          <w:bCs/>
          <w:color w:val="000000"/>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rPr>
      </w:pPr>
      <w:r>
        <w:rPr>
          <w:rFonts w:hint="eastAsia"/>
        </w:rPr>
        <w:t>理财计划所投资各类资产按照会计准则和监管要求进行会计分类，并按如下规则进行计量：</w:t>
      </w:r>
    </w:p>
    <w:p>
      <w:pPr>
        <w:numPr>
          <w:ilvl w:val="0"/>
          <w:numId w:val="32"/>
        </w:numPr>
        <w:spacing w:line="360" w:lineRule="auto"/>
        <w:ind w:firstLine="480" w:firstLineChars="200"/>
        <w:rPr>
          <w:rFonts w:hint="eastAsia" w:ascii="宋体" w:hAnsi="宋体" w:cs="宋体"/>
          <w:bCs/>
          <w:color w:val="000000"/>
        </w:rPr>
      </w:pPr>
      <w:r>
        <w:rPr>
          <w:rFonts w:hint="eastAsia" w:ascii="宋体" w:hAnsi="宋体" w:cs="宋体"/>
          <w:bCs/>
          <w:color w:val="000000"/>
        </w:rPr>
        <w:t>货币市场工具类资产</w:t>
      </w:r>
    </w:p>
    <w:p>
      <w:pPr>
        <w:pStyle w:val="17"/>
        <w:adjustRightInd/>
        <w:spacing w:line="360" w:lineRule="auto"/>
        <w:ind w:firstLine="480" w:firstLineChars="200"/>
        <w:rPr>
          <w:rFonts w:hint="eastAsia" w:ascii="宋体" w:hAnsi="宋体" w:cs="宋体"/>
          <w:bCs/>
          <w:kern w:val="2"/>
        </w:rPr>
      </w:pPr>
      <w:r>
        <w:rPr>
          <w:rFonts w:hint="eastAsia" w:ascii="宋体" w:hAnsi="宋体" w:cs="宋体"/>
          <w:bCs/>
          <w:kern w:val="2"/>
        </w:rPr>
        <w:t>银行存款及回购，以本金列示，按商定利率在实际持有期间内逐日计提利息。</w:t>
      </w:r>
    </w:p>
    <w:p>
      <w:pPr>
        <w:numPr>
          <w:ilvl w:val="0"/>
          <w:numId w:val="32"/>
        </w:numPr>
        <w:spacing w:line="360" w:lineRule="auto"/>
        <w:ind w:firstLine="480" w:firstLineChars="200"/>
        <w:rPr>
          <w:rFonts w:hint="eastAsia" w:ascii="宋体" w:hAnsi="宋体" w:cs="宋体"/>
          <w:bCs/>
          <w:color w:val="000000"/>
        </w:rPr>
      </w:pPr>
      <w:r>
        <w:rPr>
          <w:rFonts w:hint="eastAsia" w:ascii="宋体" w:hAnsi="宋体" w:cs="宋体"/>
          <w:bCs/>
          <w:color w:val="000000"/>
        </w:rPr>
        <w:t>债券及同业存单类资产</w:t>
      </w:r>
    </w:p>
    <w:p>
      <w:pPr>
        <w:spacing w:line="360" w:lineRule="auto"/>
        <w:ind w:firstLine="480" w:firstLineChars="200"/>
        <w:rPr>
          <w:rFonts w:ascii="宋体" w:hAnsi="宋体" w:cs="宋体"/>
          <w:bCs/>
          <w:color w:val="000000"/>
        </w:rPr>
      </w:pPr>
      <w:r>
        <w:rPr>
          <w:rFonts w:hint="eastAsia" w:ascii="宋体" w:hAnsi="宋体" w:cs="宋体"/>
          <w:bCs/>
          <w:color w:val="000000"/>
        </w:rPr>
        <w:t>债券及同业存单类资产，按摊余成本法进行计量。</w:t>
      </w:r>
    </w:p>
    <w:p>
      <w:pPr>
        <w:numPr>
          <w:ilvl w:val="0"/>
          <w:numId w:val="32"/>
        </w:numPr>
        <w:spacing w:line="360" w:lineRule="auto"/>
        <w:ind w:firstLine="480" w:firstLineChars="200"/>
        <w:rPr>
          <w:rFonts w:hint="eastAsia" w:ascii="宋体" w:hAnsi="宋体" w:cs="宋体"/>
          <w:bCs/>
          <w:color w:val="000000"/>
        </w:rPr>
      </w:pPr>
      <w:r>
        <w:rPr>
          <w:rFonts w:hint="eastAsia" w:ascii="宋体" w:hAnsi="宋体" w:cs="宋体"/>
          <w:bCs/>
          <w:color w:val="000000"/>
        </w:rPr>
        <w:t>债权类资产</w:t>
      </w:r>
    </w:p>
    <w:p>
      <w:pPr>
        <w:spacing w:line="360" w:lineRule="auto"/>
        <w:ind w:firstLine="480" w:firstLineChars="200"/>
        <w:rPr>
          <w:rFonts w:hint="eastAsia" w:ascii="宋体" w:hAnsi="宋体" w:cs="宋体"/>
          <w:bCs/>
          <w:color w:val="000000"/>
        </w:rPr>
      </w:pPr>
      <w:r>
        <w:rPr>
          <w:rFonts w:hint="eastAsia" w:ascii="宋体" w:hAnsi="宋体" w:cs="宋体"/>
          <w:bCs/>
          <w:color w:val="000000"/>
        </w:rPr>
        <w:t>对于符合监管要求的债权类资产，按照摊余成本法进行计量。其余债权类资产，按市价法估值。市价法不能确定其公允价值的，采用估值技术进行估值。</w:t>
      </w:r>
    </w:p>
    <w:p>
      <w:pPr>
        <w:numPr>
          <w:ilvl w:val="0"/>
          <w:numId w:val="32"/>
        </w:numPr>
        <w:spacing w:line="360" w:lineRule="auto"/>
        <w:ind w:firstLine="480" w:firstLineChars="200"/>
        <w:rPr>
          <w:rFonts w:hint="eastAsia" w:ascii="宋体" w:hAnsi="宋体" w:cs="宋体"/>
          <w:bCs/>
          <w:color w:val="000000"/>
        </w:rPr>
      </w:pPr>
      <w:r>
        <w:rPr>
          <w:rFonts w:hint="eastAsia" w:ascii="宋体" w:hAnsi="宋体" w:cs="宋体"/>
          <w:bCs/>
          <w:color w:val="000000"/>
        </w:rPr>
        <w:t>基金、信托计划、资产管理计划类资产</w:t>
      </w:r>
    </w:p>
    <w:p>
      <w:pPr>
        <w:spacing w:line="360" w:lineRule="auto"/>
        <w:ind w:firstLine="480" w:firstLineChars="200"/>
        <w:rPr>
          <w:rFonts w:hint="eastAsia" w:ascii="宋体" w:hAnsi="宋体"/>
        </w:rPr>
      </w:pPr>
      <w:r>
        <w:rPr>
          <w:rFonts w:hint="eastAsia" w:ascii="宋体" w:hAnsi="宋体" w:cs="宋体"/>
          <w:bCs/>
          <w:color w:val="000000"/>
        </w:rPr>
        <w:t>若合同约定估值方案，以基金、信托计划、资产管理计划的管理人提供的最新报价估值。报价包括资产的单位净值、每万份收益以及其他形式的投资收益。</w:t>
      </w:r>
    </w:p>
    <w:p>
      <w:pPr>
        <w:spacing w:line="360" w:lineRule="auto"/>
        <w:ind w:firstLine="480" w:firstLineChars="200"/>
        <w:rPr>
          <w:rFonts w:ascii="宋体" w:hAnsi="宋体" w:cs="宋体"/>
          <w:bCs/>
          <w:color w:val="000000"/>
        </w:rPr>
      </w:pPr>
      <w:r>
        <w:rPr>
          <w:rFonts w:hint="eastAsia" w:ascii="宋体" w:hAnsi="宋体" w:cs="宋体"/>
          <w:bCs/>
          <w:color w:val="000000"/>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2"/>
        </w:numPr>
        <w:spacing w:line="360" w:lineRule="auto"/>
        <w:ind w:firstLine="480" w:firstLineChars="200"/>
        <w:rPr>
          <w:rFonts w:hint="eastAsia" w:ascii="宋体" w:hAnsi="宋体" w:cs="宋体"/>
          <w:bCs/>
          <w:color w:val="000000"/>
        </w:rPr>
      </w:pPr>
      <w:r>
        <w:rPr>
          <w:rFonts w:hint="eastAsia" w:ascii="宋体" w:hAnsi="宋体" w:cs="宋体"/>
          <w:bCs/>
          <w:color w:val="000000"/>
        </w:rPr>
        <w:t>其他资产的估值方法</w:t>
      </w:r>
    </w:p>
    <w:p>
      <w:pPr>
        <w:pStyle w:val="17"/>
        <w:spacing w:line="360" w:lineRule="auto"/>
        <w:ind w:firstLine="480" w:firstLineChars="200"/>
        <w:rPr>
          <w:rFonts w:hint="eastAsia" w:ascii="宋体" w:hAnsi="宋体" w:cs="宋体"/>
          <w:bCs/>
          <w:kern w:val="2"/>
        </w:rPr>
      </w:pPr>
      <w:r>
        <w:rPr>
          <w:rFonts w:hint="eastAsia" w:ascii="宋体" w:hAnsi="宋体" w:cs="宋体"/>
          <w:bCs/>
          <w:kern w:val="2"/>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rPr>
      </w:pPr>
    </w:p>
    <w:p>
      <w:pPr>
        <w:pStyle w:val="17"/>
        <w:tabs>
          <w:tab w:val="left" w:pos="0"/>
        </w:tabs>
        <w:spacing w:line="360" w:lineRule="auto"/>
        <w:ind w:firstLine="480" w:firstLineChars="200"/>
        <w:rPr>
          <w:rFonts w:hint="eastAsia" w:ascii="宋体" w:hAnsi="宋体" w:cs="宋体"/>
          <w:bCs/>
          <w:kern w:val="2"/>
        </w:rPr>
      </w:pPr>
      <w:r>
        <w:rPr>
          <w:rFonts w:hint="eastAsia" w:ascii="宋体" w:hAnsi="宋体" w:cs="宋体"/>
          <w:bCs/>
          <w:kern w:val="2"/>
        </w:rPr>
        <w:t>当理财计划管理人或托管人认为按上述方法对理财计划进行估值不能客观反映其公允价值的，可以在满足监管要求的前提下协商一致后，按最能反映公允价值的价格估值，并自协商一致日后执行。</w:t>
      </w:r>
    </w:p>
    <w:p>
      <w:pPr>
        <w:pStyle w:val="17"/>
        <w:tabs>
          <w:tab w:val="left" w:pos="0"/>
        </w:tabs>
        <w:spacing w:line="360" w:lineRule="auto"/>
        <w:ind w:firstLine="480" w:firstLineChars="200"/>
        <w:rPr>
          <w:rFonts w:hint="eastAsia" w:ascii="宋体" w:hAnsi="宋体" w:cs="宋体"/>
          <w:bCs/>
          <w:kern w:val="2"/>
        </w:rPr>
      </w:pPr>
      <w:r>
        <w:rPr>
          <w:rFonts w:hint="eastAsia" w:ascii="宋体" w:hAnsi="宋体" w:cs="宋体"/>
          <w:bCs/>
          <w:kern w:val="2"/>
        </w:rPr>
        <w:t>如在本理财计划发行、募集、管理期间，有权管理机关对财务报告准则、估值核算方法标准进行调整，管理人有权根据相关机关要求对本理财计划的估值方法进行相应修改。</w:t>
      </w:r>
    </w:p>
    <w:p>
      <w:pPr>
        <w:numPr>
          <w:ilvl w:val="0"/>
          <w:numId w:val="31"/>
        </w:numPr>
        <w:spacing w:line="360" w:lineRule="auto"/>
        <w:ind w:firstLine="482" w:firstLineChars="200"/>
        <w:jc w:val="left"/>
        <w:outlineLvl w:val="2"/>
        <w:rPr>
          <w:rFonts w:hint="eastAsia" w:ascii="宋体" w:hAnsi="宋体" w:cs="宋体"/>
          <w:b/>
        </w:rPr>
      </w:pPr>
      <w:r>
        <w:rPr>
          <w:rFonts w:hint="eastAsia" w:ascii="宋体" w:hAnsi="宋体" w:cs="宋体"/>
          <w:b/>
        </w:rPr>
        <w:t>偏离度管理</w:t>
      </w:r>
    </w:p>
    <w:p>
      <w:pPr>
        <w:pStyle w:val="17"/>
        <w:tabs>
          <w:tab w:val="left" w:pos="0"/>
        </w:tabs>
        <w:spacing w:line="360" w:lineRule="auto"/>
        <w:ind w:firstLine="480" w:firstLineChars="200"/>
        <w:rPr>
          <w:rFonts w:ascii="宋体" w:hAnsi="宋体" w:cs="宋体"/>
          <w:bCs/>
          <w:kern w:val="2"/>
        </w:rPr>
      </w:pPr>
      <w:r>
        <w:rPr>
          <w:rFonts w:hint="eastAsia" w:ascii="宋体" w:hAnsi="宋体" w:cs="宋体"/>
          <w:bCs/>
          <w:kern w:val="2"/>
        </w:rPr>
        <w:t>本理财计划为现金管理类产品，在确保理财计划资产净值能够公允地反映投资组合价值的前提下，可采用摊余成本法对持有的投资组合进行会计核算。由于按摊余成本法估值可能会出现估值对象的公允价值和摊余成本价偏离，为消除或减少产品因资产净值背离导致产品持有人权益稀释或其他不公平的结果，在实际操作中，产品管理人可以对理财计划资产净值按公允价值法定期进行重新评估，即“影子定价”。当影子定价确定的理财计划资产净值与摊余成本法计算的资产净值的偏离度导致理财计划持有人权益稀释或者不公平的结果，管理人可根据风险控制的需要做相应调整。</w:t>
      </w:r>
    </w:p>
    <w:p>
      <w:pPr>
        <w:tabs>
          <w:tab w:val="left" w:pos="0"/>
        </w:tabs>
        <w:autoSpaceDE w:val="0"/>
        <w:autoSpaceDN w:val="0"/>
        <w:adjustRightInd w:val="0"/>
        <w:spacing w:line="360" w:lineRule="auto"/>
        <w:ind w:firstLine="480" w:firstLineChars="200"/>
        <w:jc w:val="left"/>
        <w:rPr>
          <w:rFonts w:ascii="宋体" w:hAnsi="宋体" w:cs="宋体"/>
          <w:bCs/>
          <w:color w:val="000000"/>
        </w:rPr>
      </w:pPr>
      <w:r>
        <w:rPr>
          <w:rFonts w:hint="eastAsia" w:ascii="宋体" w:hAnsi="宋体" w:cs="宋体"/>
          <w:bCs/>
          <w:color w:val="000000"/>
        </w:rPr>
        <w:t>其中，当影子定价确定的本产品资产净值与摊余成本法计算的资产净值正偏离度绝对值达到0.5%时，管理人应当暂停接受申购并在</w:t>
      </w:r>
      <w:r>
        <w:rPr>
          <w:rFonts w:ascii="宋体" w:hAnsi="宋体" w:cs="宋体"/>
          <w:bCs/>
          <w:color w:val="000000"/>
        </w:rPr>
        <w:t>5</w:t>
      </w:r>
      <w:r>
        <w:rPr>
          <w:rFonts w:hint="eastAsia" w:ascii="宋体" w:hAnsi="宋体" w:cs="宋体"/>
          <w:bCs/>
          <w:color w:val="000000"/>
        </w:rPr>
        <w:t>个交易日内将正偏离度绝对值调整到0.5%以内。当负偏离度绝对值达到0.25%时，管理人应当在</w:t>
      </w:r>
      <w:r>
        <w:rPr>
          <w:rFonts w:ascii="宋体" w:hAnsi="宋体" w:cs="宋体"/>
          <w:bCs/>
          <w:color w:val="000000"/>
        </w:rPr>
        <w:t>5</w:t>
      </w:r>
      <w:r>
        <w:rPr>
          <w:rFonts w:hint="eastAsia" w:ascii="宋体" w:hAnsi="宋体" w:cs="宋体"/>
          <w:bCs/>
          <w:color w:val="000000"/>
        </w:rPr>
        <w:t>个交易日内将负偏离度绝对值调整到0.25%以内。当负偏离度绝对值达到0.5%时，管理人应当采取相应措施，将负偏离度绝对值控制在0.5%以内。当负偏离度绝对值连续两个交易日超过0.5%时，管理人应当采用公允价值估值方法对持有投资组合的账面价值进行调整，或者采取暂停接受所有赎回申请并终止理财计划合同进行财产清算等措施。当出现上述情形时，管理人将依据法律法规规定履行信息披露程序。</w:t>
      </w:r>
    </w:p>
    <w:p>
      <w:pPr>
        <w:pStyle w:val="17"/>
        <w:tabs>
          <w:tab w:val="left" w:pos="0"/>
        </w:tabs>
        <w:spacing w:line="360" w:lineRule="auto"/>
        <w:ind w:firstLine="480" w:firstLineChars="200"/>
        <w:rPr>
          <w:rFonts w:hint="eastAsia" w:ascii="宋体" w:hAnsi="宋体" w:cs="宋体"/>
          <w:b/>
        </w:rPr>
      </w:pPr>
      <w:r>
        <w:rPr>
          <w:rFonts w:hint="eastAsia" w:ascii="宋体" w:hAnsi="宋体" w:cs="宋体"/>
          <w:bCs/>
        </w:rPr>
        <w:t>影子定价与摊余成本法确定的现金管理类产品资产净值的偏离度＝</w:t>
      </w:r>
      <w:r>
        <w:rPr>
          <w:rFonts w:hint="eastAsia" w:ascii="宋体" w:hAnsi="宋体" w:cs="宋体"/>
          <w:bCs/>
          <w:position w:val="-30"/>
        </w:rPr>
        <w:object>
          <v:shape id="_x0000_i1025" o:spt="75" type="#_x0000_t75" style="height:34pt;width:73pt;" o:ole="t" filled="f" o:preferrelative="t" stroked="f" coordsize="21600,21600">
            <v:path/>
            <v:fill on="f" focussize="0,0"/>
            <v:stroke on="f"/>
            <v:imagedata r:id="rId7" o:title=""/>
            <o:lock v:ext="edit" aspectratio="t"/>
            <w10:wrap type="none"/>
            <w10:anchorlock/>
          </v:shape>
          <o:OLEObject Type="Embed" ProgID="Equation.KSEE3" ShapeID="_x0000_i1025" DrawAspect="Content" ObjectID="_1468075725" r:id="rId6">
            <o:LockedField>false</o:LockedField>
          </o:OLEObject>
        </w:object>
      </w:r>
      <w:r>
        <w:rPr>
          <w:rFonts w:hint="eastAsia" w:ascii="宋体" w:hAnsi="宋体" w:cs="宋体"/>
          <w:bCs/>
        </w:rPr>
        <w:t xml:space="preserve"> ，其中，</w:t>
      </w:r>
      <w:r>
        <w:rPr>
          <w:rFonts w:hint="eastAsia" w:ascii="宋体" w:hAnsi="宋体" w:cs="宋体"/>
          <w:bCs/>
          <w:position w:val="-12"/>
        </w:rPr>
        <w:object>
          <v:shape id="_x0000_i1026" o:spt="75" type="#_x0000_t75" style="height:18pt;width:31pt;" o:ole="t" filled="f" o:preferrelative="t" stroked="f" coordsize="21600,21600">
            <v:path/>
            <v:fill on="f" focussize="0,0"/>
            <v:stroke on="f"/>
            <v:imagedata r:id="rId9" o:title=""/>
            <o:lock v:ext="edit" aspectratio="t"/>
            <w10:wrap type="none"/>
            <w10:anchorlock/>
          </v:shape>
          <o:OLEObject Type="Embed" ProgID="Equation.KSEE3" ShapeID="_x0000_i1026" DrawAspect="Content" ObjectID="_1468075726" r:id="rId8">
            <o:LockedField>false</o:LockedField>
          </o:OLEObject>
        </w:object>
      </w:r>
      <w:r>
        <w:rPr>
          <w:rFonts w:hint="eastAsia" w:ascii="宋体" w:hAnsi="宋体" w:cs="宋体"/>
          <w:bCs/>
        </w:rPr>
        <w:t xml:space="preserve"> 为影子定价确定的现金管理类产品资产净值，</w:t>
      </w:r>
      <w:r>
        <w:rPr>
          <w:rFonts w:hint="eastAsia" w:ascii="宋体" w:hAnsi="宋体" w:cs="宋体"/>
          <w:bCs/>
          <w:position w:val="-12"/>
        </w:rPr>
        <w:object>
          <v:shape id="_x0000_i1027" o:spt="75" type="#_x0000_t75" style="height:18pt;width:31pt;" o:ole="t" filled="f" o:preferrelative="t" stroked="f" coordsize="21600,21600">
            <v:path/>
            <v:fill on="f" focussize="0,0"/>
            <v:stroke on="f"/>
            <v:imagedata r:id="rId11" o:title=""/>
            <o:lock v:ext="edit" aspectratio="t"/>
            <w10:wrap type="none"/>
            <w10:anchorlock/>
          </v:shape>
          <o:OLEObject Type="Embed" ProgID="Equation.KSEE3" ShapeID="_x0000_i1027" DrawAspect="Content" ObjectID="_1468075727" r:id="rId10">
            <o:LockedField>false</o:LockedField>
          </o:OLEObject>
        </w:object>
      </w:r>
      <w:r>
        <w:rPr>
          <w:rFonts w:hint="eastAsia" w:ascii="宋体" w:hAnsi="宋体" w:cs="宋体"/>
          <w:bCs/>
        </w:rPr>
        <w:t xml:space="preserve"> 为摊余成本法确定的现金管理类产品资产净值。</w:t>
      </w:r>
    </w:p>
    <w:p>
      <w:pPr>
        <w:numPr>
          <w:ilvl w:val="0"/>
          <w:numId w:val="31"/>
        </w:numPr>
        <w:spacing w:line="360" w:lineRule="auto"/>
        <w:ind w:firstLine="482" w:firstLineChars="200"/>
        <w:jc w:val="left"/>
        <w:outlineLvl w:val="2"/>
        <w:rPr>
          <w:rFonts w:hint="eastAsia" w:ascii="宋体" w:hAnsi="宋体" w:cs="宋体"/>
          <w:b/>
        </w:rPr>
      </w:pPr>
      <w:r>
        <w:rPr>
          <w:rFonts w:hint="eastAsia" w:ascii="宋体" w:hAnsi="宋体" w:cs="宋体"/>
          <w:b/>
        </w:rPr>
        <w:t>估值差错处理</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1"/>
        </w:numPr>
        <w:spacing w:line="360" w:lineRule="auto"/>
        <w:ind w:firstLine="482" w:firstLineChars="200"/>
        <w:jc w:val="left"/>
        <w:outlineLvl w:val="2"/>
        <w:rPr>
          <w:rFonts w:hint="eastAsia" w:ascii="宋体" w:hAnsi="宋体" w:cs="宋体"/>
          <w:b/>
        </w:rPr>
      </w:pPr>
      <w:r>
        <w:rPr>
          <w:rFonts w:hint="eastAsia" w:ascii="宋体" w:hAnsi="宋体" w:cs="宋体"/>
          <w:b/>
        </w:rPr>
        <w:t>暂停估值情形</w:t>
      </w:r>
    </w:p>
    <w:p>
      <w:pPr>
        <w:numPr>
          <w:ilvl w:val="0"/>
          <w:numId w:val="33"/>
        </w:numPr>
        <w:spacing w:line="360" w:lineRule="auto"/>
        <w:ind w:firstLine="480" w:firstLineChars="200"/>
        <w:jc w:val="left"/>
        <w:rPr>
          <w:rFonts w:hint="eastAsia" w:ascii="宋体" w:hAnsi="宋体" w:cs="宋体"/>
          <w:bCs/>
          <w:color w:val="000000"/>
        </w:rPr>
      </w:pPr>
      <w:r>
        <w:rPr>
          <w:rFonts w:hint="eastAsia" w:ascii="宋体" w:hAnsi="宋体" w:cs="宋体"/>
          <w:bCs/>
          <w:color w:val="000000"/>
        </w:rPr>
        <w:t>理财计划投资所涉及的交易市场遇法定节假日或因其他原因暂停营业时暂停估值，该种情况理财计划估值日期提前到上一交易日。</w:t>
      </w:r>
    </w:p>
    <w:p>
      <w:pPr>
        <w:numPr>
          <w:ilvl w:val="0"/>
          <w:numId w:val="33"/>
        </w:numPr>
        <w:spacing w:line="360" w:lineRule="auto"/>
        <w:ind w:firstLine="480" w:firstLineChars="200"/>
        <w:jc w:val="left"/>
        <w:rPr>
          <w:rFonts w:hint="eastAsia" w:ascii="宋体" w:hAnsi="宋体" w:cs="宋体"/>
          <w:bCs/>
          <w:color w:val="000000"/>
        </w:rPr>
      </w:pPr>
      <w:r>
        <w:rPr>
          <w:rFonts w:hint="eastAsia" w:ascii="宋体" w:hAnsi="宋体" w:cs="宋体"/>
          <w:bCs/>
          <w:color w:val="000000"/>
        </w:rPr>
        <w:t>因不可抗力或其他情形致使理财计划管理人、理财计划托管人无法准确评估资产价值时。</w:t>
      </w:r>
    </w:p>
    <w:p>
      <w:pPr>
        <w:numPr>
          <w:ilvl w:val="0"/>
          <w:numId w:val="33"/>
        </w:numPr>
        <w:spacing w:line="360" w:lineRule="auto"/>
        <w:ind w:firstLine="480" w:firstLineChars="200"/>
        <w:jc w:val="left"/>
        <w:rPr>
          <w:rFonts w:hint="eastAsia" w:ascii="宋体" w:hAnsi="宋体" w:cs="宋体"/>
          <w:bCs/>
          <w:color w:val="000000"/>
        </w:rPr>
      </w:pPr>
      <w:r>
        <w:rPr>
          <w:rFonts w:hint="eastAsia" w:ascii="宋体" w:hAnsi="宋体" w:cs="宋体"/>
          <w:bCs/>
          <w:color w:val="000000"/>
        </w:rPr>
        <w:t>当前一估值日理财计划资产净值50%以上的资产不具备活跃交易市场或者在活跃市场中无报价，且不能采用估值技术可靠计量公允价值时，管理人应当暂停该理财计划估值，并按照监管规定采取延缓支付赎回款项或暂停接受理财计划认购、赎回申请等措施。</w:t>
      </w:r>
    </w:p>
    <w:p>
      <w:pPr>
        <w:numPr>
          <w:ilvl w:val="0"/>
          <w:numId w:val="33"/>
        </w:numPr>
        <w:spacing w:line="360" w:lineRule="auto"/>
        <w:ind w:firstLine="480" w:firstLineChars="200"/>
        <w:jc w:val="left"/>
        <w:rPr>
          <w:rFonts w:hint="eastAsia" w:ascii="宋体" w:hAnsi="宋体" w:cs="宋体"/>
          <w:bCs/>
          <w:color w:val="000000"/>
        </w:rPr>
      </w:pPr>
      <w:r>
        <w:rPr>
          <w:rFonts w:hint="eastAsia" w:ascii="宋体" w:hAnsi="宋体" w:cs="宋体"/>
          <w:bCs/>
          <w:color w:val="000000"/>
        </w:rPr>
        <w:t>理财计划管理人、托管人有合理理由认为将影响本理财计划估值的其他情形发生。</w:t>
      </w:r>
    </w:p>
    <w:p>
      <w:pPr>
        <w:numPr>
          <w:ilvl w:val="0"/>
          <w:numId w:val="31"/>
        </w:numPr>
        <w:spacing w:line="360" w:lineRule="auto"/>
        <w:ind w:firstLine="482" w:firstLineChars="200"/>
        <w:jc w:val="left"/>
        <w:outlineLvl w:val="2"/>
        <w:rPr>
          <w:rFonts w:hint="eastAsia" w:ascii="宋体" w:hAnsi="宋体" w:cs="宋体"/>
          <w:b/>
        </w:rPr>
      </w:pPr>
      <w:r>
        <w:rPr>
          <w:rFonts w:hint="eastAsia" w:ascii="宋体" w:hAnsi="宋体" w:cs="宋体"/>
          <w:b/>
        </w:rPr>
        <w:t>资产账册的建立</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rPr>
      </w:pPr>
    </w:p>
    <w:p>
      <w:pPr>
        <w:numPr>
          <w:ilvl w:val="0"/>
          <w:numId w:val="28"/>
        </w:numPr>
        <w:spacing w:line="360" w:lineRule="auto"/>
        <w:ind w:firstLine="482" w:firstLineChars="200"/>
        <w:jc w:val="left"/>
        <w:outlineLvl w:val="1"/>
        <w:rPr>
          <w:rFonts w:hint="eastAsia" w:ascii="宋体" w:hAnsi="宋体" w:cs="宋体"/>
          <w:b/>
        </w:rPr>
      </w:pPr>
      <w:r>
        <w:rPr>
          <w:rFonts w:hint="eastAsia" w:ascii="宋体" w:hAnsi="宋体" w:cs="宋体"/>
          <w:b/>
        </w:rPr>
        <w:t>费用及税收</w:t>
      </w:r>
    </w:p>
    <w:p>
      <w:pPr>
        <w:numPr>
          <w:ilvl w:val="0"/>
          <w:numId w:val="34"/>
        </w:numPr>
        <w:spacing w:line="360" w:lineRule="auto"/>
        <w:ind w:firstLine="482" w:firstLineChars="200"/>
        <w:jc w:val="left"/>
        <w:outlineLvl w:val="2"/>
        <w:rPr>
          <w:rFonts w:hint="eastAsia" w:ascii="宋体" w:hAnsi="宋体" w:cs="宋体"/>
          <w:b/>
        </w:rPr>
      </w:pPr>
      <w:r>
        <w:rPr>
          <w:rFonts w:hint="eastAsia" w:ascii="宋体" w:hAnsi="宋体" w:cs="宋体"/>
          <w:b/>
        </w:rPr>
        <w:t>费用种类</w:t>
      </w:r>
    </w:p>
    <w:p>
      <w:pPr>
        <w:spacing w:line="360" w:lineRule="auto"/>
        <w:ind w:firstLine="480" w:firstLineChars="200"/>
        <w:jc w:val="left"/>
        <w:rPr>
          <w:rFonts w:ascii="宋体" w:hAnsi="宋体" w:cs="宋体"/>
          <w:b/>
        </w:rPr>
      </w:pPr>
      <w:r>
        <w:rPr>
          <w:rFonts w:hint="eastAsia" w:ascii="宋体" w:hAnsi="宋体" w:cs="宋体"/>
          <w:bCs/>
          <w:color w:val="000000"/>
        </w:rPr>
        <w:t>本理财计划涉及费用包括销售服务费、托管费、固定管理费、认购费、申购费、赎回费、浮动管理费以及理财计划运作和清算中产生的其他费用等。</w:t>
      </w:r>
    </w:p>
    <w:p>
      <w:pPr>
        <w:numPr>
          <w:ilvl w:val="0"/>
          <w:numId w:val="34"/>
        </w:numPr>
        <w:spacing w:line="360" w:lineRule="auto"/>
        <w:ind w:firstLine="482" w:firstLineChars="200"/>
        <w:jc w:val="left"/>
        <w:outlineLvl w:val="2"/>
        <w:rPr>
          <w:rFonts w:hint="eastAsia" w:ascii="宋体" w:hAnsi="宋体" w:cs="宋体"/>
          <w:b/>
        </w:rPr>
      </w:pPr>
      <w:r>
        <w:rPr>
          <w:rFonts w:hint="eastAsia" w:ascii="宋体" w:hAnsi="宋体" w:cs="宋体"/>
          <w:b/>
        </w:rPr>
        <w:t>费用计提方法、标准及支付方式</w:t>
      </w:r>
    </w:p>
    <w:p>
      <w:pPr>
        <w:numPr>
          <w:ilvl w:val="0"/>
          <w:numId w:val="35"/>
        </w:numPr>
        <w:spacing w:line="360" w:lineRule="auto"/>
        <w:ind w:firstLine="482" w:firstLineChars="200"/>
        <w:jc w:val="left"/>
        <w:rPr>
          <w:rFonts w:hint="eastAsia" w:ascii="宋体" w:hAnsi="宋体" w:cs="宋体"/>
          <w:b/>
        </w:rPr>
      </w:pPr>
      <w:r>
        <w:rPr>
          <w:rFonts w:hint="eastAsia" w:ascii="宋体" w:hAnsi="宋体" w:cs="宋体"/>
          <w:b/>
        </w:rPr>
        <w:t>销售服务费</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〖A份额〗理财计划财产的年化销售服务费率为</w:t>
      </w:r>
      <w:r>
        <w:rPr>
          <w:rFonts w:hint="eastAsia" w:ascii="宋体" w:hAnsi="宋体" w:cs="宋体"/>
          <w:szCs w:val="21"/>
        </w:rPr>
        <w:t>〖</w:t>
      </w:r>
      <w:r>
        <w:rPr>
          <w:rFonts w:hint="eastAsia" w:ascii="宋体" w:hAnsi="宋体" w:cs="宋体"/>
          <w:szCs w:val="21"/>
          <w:lang w:val="en-US" w:eastAsia="zh-CN"/>
        </w:rPr>
        <w:t>0.20</w:t>
      </w:r>
      <w:r>
        <w:rPr>
          <w:rFonts w:hint="eastAsia" w:ascii="宋体" w:hAnsi="宋体" w:cs="宋体"/>
          <w:szCs w:val="21"/>
        </w:rPr>
        <w:t>%〗</w:t>
      </w:r>
      <w:r>
        <w:rPr>
          <w:rFonts w:hint="eastAsia" w:ascii="宋体" w:hAnsi="宋体" w:cs="宋体"/>
          <w:bCs/>
          <w:color w:val="000000"/>
        </w:rPr>
        <w:t>，计算方法如下：</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H＝E×</w:t>
      </w:r>
      <w:r>
        <w:rPr>
          <w:rFonts w:hint="eastAsia" w:ascii="宋体" w:hAnsi="宋体" w:cs="宋体"/>
          <w:szCs w:val="21"/>
        </w:rPr>
        <w:t>〖</w:t>
      </w:r>
      <w:r>
        <w:rPr>
          <w:rFonts w:hint="eastAsia" w:ascii="宋体" w:hAnsi="宋体" w:cs="宋体"/>
          <w:szCs w:val="21"/>
          <w:lang w:val="en-US" w:eastAsia="zh-CN"/>
        </w:rPr>
        <w:t>0.2</w:t>
      </w:r>
      <w:r>
        <w:rPr>
          <w:rFonts w:hint="eastAsia" w:ascii="宋体" w:hAnsi="宋体" w:cs="宋体"/>
          <w:szCs w:val="21"/>
        </w:rPr>
        <w:t>0%〗</w:t>
      </w:r>
      <w:r>
        <w:rPr>
          <w:rFonts w:hint="eastAsia" w:ascii="宋体" w:hAnsi="宋体" w:cs="宋体"/>
          <w:bCs/>
          <w:color w:val="000000"/>
        </w:rPr>
        <w:t>/365</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H为每日应计提的销售服务费</w:t>
      </w:r>
    </w:p>
    <w:p>
      <w:pPr>
        <w:spacing w:line="360" w:lineRule="auto"/>
        <w:ind w:firstLine="480" w:firstLineChars="200"/>
        <w:jc w:val="left"/>
        <w:rPr>
          <w:rFonts w:hint="eastAsia" w:ascii="宋体" w:hAnsi="宋体" w:cs="宋体"/>
          <w:bCs/>
          <w:color w:val="FF0000"/>
        </w:rPr>
      </w:pPr>
      <w:r>
        <w:rPr>
          <w:rFonts w:hint="eastAsia" w:ascii="宋体" w:hAnsi="宋体" w:cs="宋体"/>
          <w:bCs/>
          <w:color w:val="000000"/>
        </w:rPr>
        <w:t>E为本理财计划当日资产净值</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销售服务费原则上按日计提。</w:t>
      </w:r>
    </w:p>
    <w:p>
      <w:pPr>
        <w:numPr>
          <w:ilvl w:val="0"/>
          <w:numId w:val="35"/>
        </w:numPr>
        <w:spacing w:line="360" w:lineRule="auto"/>
        <w:ind w:firstLine="482" w:firstLineChars="200"/>
        <w:jc w:val="left"/>
        <w:rPr>
          <w:rFonts w:hint="eastAsia" w:ascii="宋体" w:hAnsi="宋体" w:cs="宋体"/>
          <w:b/>
        </w:rPr>
      </w:pPr>
      <w:r>
        <w:rPr>
          <w:rFonts w:hint="eastAsia" w:ascii="宋体" w:hAnsi="宋体" w:cs="宋体"/>
          <w:b/>
        </w:rPr>
        <w:t>托管费</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〖A份额〗理财计划财产的年化托管费为</w:t>
      </w:r>
      <w:r>
        <w:rPr>
          <w:rFonts w:hint="eastAsia" w:ascii="宋体" w:hAnsi="宋体" w:cs="宋体"/>
          <w:szCs w:val="21"/>
        </w:rPr>
        <w:t>〖0.025</w:t>
      </w:r>
      <w:r>
        <w:rPr>
          <w:rFonts w:hint="eastAsia" w:ascii="宋体" w:hAnsi="宋体" w:cs="宋体"/>
          <w:bCs/>
          <w:color w:val="000000"/>
        </w:rPr>
        <w:t>%</w:t>
      </w:r>
      <w:r>
        <w:rPr>
          <w:rFonts w:hint="eastAsia" w:ascii="宋体" w:hAnsi="宋体" w:cs="宋体"/>
          <w:szCs w:val="21"/>
        </w:rPr>
        <w:t>〗</w:t>
      </w:r>
      <w:r>
        <w:rPr>
          <w:rFonts w:hint="eastAsia" w:ascii="宋体" w:hAnsi="宋体" w:cs="宋体"/>
          <w:bCs/>
          <w:color w:val="000000"/>
        </w:rPr>
        <w:t>，计算方法如下：</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H＝E×</w:t>
      </w:r>
      <w:r>
        <w:rPr>
          <w:rFonts w:hint="eastAsia" w:ascii="宋体" w:hAnsi="宋体" w:cs="宋体"/>
          <w:szCs w:val="21"/>
        </w:rPr>
        <w:t>〖0.025</w:t>
      </w:r>
      <w:r>
        <w:rPr>
          <w:rFonts w:hint="eastAsia" w:ascii="宋体" w:hAnsi="宋体" w:cs="宋体"/>
          <w:bCs/>
          <w:color w:val="000000"/>
        </w:rPr>
        <w:t>%</w:t>
      </w:r>
      <w:r>
        <w:rPr>
          <w:rFonts w:hint="eastAsia" w:ascii="宋体" w:hAnsi="宋体" w:cs="宋体"/>
          <w:szCs w:val="21"/>
        </w:rPr>
        <w:t>〗</w:t>
      </w:r>
      <w:r>
        <w:rPr>
          <w:rFonts w:hint="eastAsia" w:ascii="宋体" w:hAnsi="宋体" w:cs="宋体"/>
          <w:bCs/>
          <w:color w:val="000000"/>
        </w:rPr>
        <w:t>/365</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H为每日应计提的托管费</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E为本理财计划当日资产净值</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托管费原则上按日计提。</w:t>
      </w:r>
    </w:p>
    <w:p>
      <w:pPr>
        <w:numPr>
          <w:ilvl w:val="0"/>
          <w:numId w:val="35"/>
        </w:numPr>
        <w:spacing w:line="360" w:lineRule="auto"/>
        <w:ind w:firstLine="482" w:firstLineChars="200"/>
        <w:jc w:val="left"/>
        <w:rPr>
          <w:rFonts w:hint="eastAsia" w:ascii="宋体" w:hAnsi="宋体" w:cs="宋体"/>
          <w:b/>
        </w:rPr>
      </w:pPr>
      <w:r>
        <w:rPr>
          <w:rFonts w:hint="eastAsia" w:ascii="宋体" w:hAnsi="宋体" w:cs="宋体"/>
          <w:b/>
        </w:rPr>
        <w:t>固定管理费</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〖A份额〗理财计划财产的年化固定管理费率为</w:t>
      </w:r>
      <w:r>
        <w:rPr>
          <w:rFonts w:hint="eastAsia" w:ascii="宋体" w:hAnsi="宋体" w:cs="宋体"/>
          <w:szCs w:val="21"/>
        </w:rPr>
        <w:t>〖</w:t>
      </w:r>
      <w:r>
        <w:rPr>
          <w:rFonts w:hint="eastAsia" w:ascii="宋体" w:hAnsi="宋体" w:cs="宋体"/>
          <w:szCs w:val="21"/>
          <w:lang w:val="en-US" w:eastAsia="zh-CN"/>
        </w:rPr>
        <w:t>0.3</w:t>
      </w:r>
      <w:r>
        <w:rPr>
          <w:rFonts w:hint="eastAsia" w:ascii="宋体" w:hAnsi="宋体" w:cs="宋体"/>
          <w:szCs w:val="21"/>
        </w:rPr>
        <w:t>0%〗</w:t>
      </w:r>
      <w:r>
        <w:rPr>
          <w:rFonts w:hint="eastAsia" w:ascii="宋体" w:hAnsi="宋体" w:cs="宋体"/>
          <w:bCs/>
          <w:color w:val="000000"/>
        </w:rPr>
        <w:t>，计算方法如下：</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H＝E×</w:t>
      </w:r>
      <w:r>
        <w:rPr>
          <w:rFonts w:hint="eastAsia" w:ascii="宋体" w:hAnsi="宋体" w:cs="宋体"/>
          <w:szCs w:val="21"/>
        </w:rPr>
        <w:t>〖</w:t>
      </w:r>
      <w:r>
        <w:rPr>
          <w:rFonts w:hint="eastAsia" w:ascii="宋体" w:hAnsi="宋体" w:cs="宋体"/>
          <w:szCs w:val="21"/>
          <w:lang w:val="en-US" w:eastAsia="zh-CN"/>
        </w:rPr>
        <w:t>0.3</w:t>
      </w:r>
      <w:r>
        <w:rPr>
          <w:rFonts w:hint="eastAsia" w:ascii="宋体" w:hAnsi="宋体" w:cs="宋体"/>
          <w:szCs w:val="21"/>
        </w:rPr>
        <w:t>0%〗</w:t>
      </w:r>
      <w:r>
        <w:rPr>
          <w:rFonts w:hint="eastAsia" w:ascii="宋体" w:hAnsi="宋体" w:cs="宋体"/>
          <w:bCs/>
          <w:color w:val="000000"/>
        </w:rPr>
        <w:t>/365</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H为每日应计提的管理费</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E为本理财计划当日资产净值</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固定管理费原则上按日计提，管理人有权减免固定管理费。</w:t>
      </w:r>
    </w:p>
    <w:p>
      <w:pPr>
        <w:numPr>
          <w:ilvl w:val="0"/>
          <w:numId w:val="35"/>
        </w:numPr>
        <w:spacing w:line="360" w:lineRule="auto"/>
        <w:ind w:firstLine="482" w:firstLineChars="200"/>
        <w:jc w:val="left"/>
        <w:rPr>
          <w:rFonts w:hint="eastAsia" w:ascii="宋体" w:hAnsi="宋体" w:cs="宋体"/>
          <w:b/>
        </w:rPr>
      </w:pPr>
      <w:r>
        <w:rPr>
          <w:rFonts w:hint="eastAsia" w:ascii="宋体" w:hAnsi="宋体" w:cs="宋体"/>
          <w:b/>
        </w:rPr>
        <w:t>认购费</w:t>
      </w:r>
    </w:p>
    <w:p>
      <w:pPr>
        <w:spacing w:line="360" w:lineRule="auto"/>
        <w:ind w:firstLine="480" w:firstLineChars="200"/>
        <w:jc w:val="left"/>
        <w:rPr>
          <w:rFonts w:hint="eastAsia" w:ascii="宋体" w:hAnsi="宋体" w:cs="宋体"/>
          <w:bCs/>
          <w:color w:val="FF0000"/>
        </w:rPr>
      </w:pPr>
      <w:r>
        <w:rPr>
          <w:rFonts w:hint="eastAsia" w:ascii="宋体" w:hAnsi="宋体" w:cs="宋体"/>
          <w:bCs/>
          <w:color w:val="000000"/>
        </w:rPr>
        <w:t>本理财计划免除认购费。</w:t>
      </w:r>
    </w:p>
    <w:p>
      <w:pPr>
        <w:numPr>
          <w:ilvl w:val="0"/>
          <w:numId w:val="36"/>
        </w:numPr>
        <w:spacing w:line="360" w:lineRule="auto"/>
        <w:ind w:firstLine="482" w:firstLineChars="200"/>
        <w:jc w:val="left"/>
        <w:rPr>
          <w:rFonts w:ascii="宋体" w:hAnsi="宋体" w:cs="宋体"/>
          <w:b/>
        </w:rPr>
      </w:pPr>
      <w:r>
        <w:rPr>
          <w:rFonts w:hint="eastAsia" w:ascii="宋体" w:hAnsi="宋体" w:cs="宋体"/>
          <w:b/>
        </w:rPr>
        <w:t>申购费</w:t>
      </w:r>
    </w:p>
    <w:p>
      <w:pPr>
        <w:spacing w:line="360" w:lineRule="auto"/>
        <w:ind w:firstLine="480" w:firstLineChars="200"/>
        <w:jc w:val="left"/>
        <w:rPr>
          <w:rFonts w:ascii="宋体" w:hAnsi="宋体" w:cs="宋体"/>
          <w:b/>
        </w:rPr>
      </w:pPr>
      <w:r>
        <w:rPr>
          <w:rFonts w:hint="eastAsia" w:ascii="宋体" w:hAnsi="宋体" w:cs="宋体"/>
          <w:bCs/>
          <w:color w:val="000000"/>
        </w:rPr>
        <w:t>本理财计划免除申购费。</w:t>
      </w:r>
    </w:p>
    <w:p>
      <w:pPr>
        <w:numPr>
          <w:ilvl w:val="0"/>
          <w:numId w:val="36"/>
        </w:numPr>
        <w:spacing w:line="360" w:lineRule="auto"/>
        <w:ind w:firstLine="482" w:firstLineChars="200"/>
        <w:jc w:val="left"/>
        <w:rPr>
          <w:rFonts w:ascii="宋体" w:hAnsi="宋体" w:cs="宋体"/>
          <w:b/>
        </w:rPr>
      </w:pPr>
      <w:r>
        <w:rPr>
          <w:rFonts w:hint="eastAsia" w:ascii="宋体" w:hAnsi="宋体" w:cs="宋体"/>
          <w:b/>
        </w:rPr>
        <w:t>赎回费</w:t>
      </w:r>
    </w:p>
    <w:p>
      <w:pPr>
        <w:spacing w:line="360" w:lineRule="auto"/>
        <w:ind w:firstLine="480" w:firstLineChars="200"/>
        <w:jc w:val="left"/>
        <w:rPr>
          <w:rFonts w:ascii="宋体" w:hAnsi="宋体" w:cs="宋体"/>
          <w:b/>
        </w:rPr>
      </w:pPr>
      <w:r>
        <w:rPr>
          <w:rFonts w:hint="eastAsia" w:ascii="宋体" w:hAnsi="宋体" w:cs="宋体"/>
          <w:bCs/>
          <w:color w:val="000000"/>
        </w:rPr>
        <w:t>本理财计划免除赎回费。</w:t>
      </w:r>
    </w:p>
    <w:p>
      <w:pPr>
        <w:numPr>
          <w:ilvl w:val="0"/>
          <w:numId w:val="37"/>
        </w:numPr>
        <w:spacing w:line="360" w:lineRule="auto"/>
        <w:ind w:firstLine="482" w:firstLineChars="200"/>
        <w:jc w:val="left"/>
        <w:rPr>
          <w:rFonts w:hint="eastAsia" w:ascii="宋体" w:hAnsi="宋体" w:cs="宋体"/>
          <w:b/>
        </w:rPr>
      </w:pPr>
      <w:r>
        <w:rPr>
          <w:rFonts w:hint="eastAsia" w:ascii="宋体" w:hAnsi="宋体" w:cs="宋体"/>
          <w:b/>
        </w:rPr>
        <w:t>浮动管理费</w:t>
      </w:r>
    </w:p>
    <w:p>
      <w:pPr>
        <w:spacing w:line="360" w:lineRule="auto"/>
        <w:ind w:firstLine="480" w:firstLineChars="200"/>
        <w:jc w:val="left"/>
        <w:rPr>
          <w:rFonts w:ascii="宋体" w:hAnsi="宋体" w:cs="宋体"/>
          <w:bCs/>
          <w:color w:val="000000"/>
        </w:rPr>
      </w:pPr>
      <w:r>
        <w:rPr>
          <w:rFonts w:hint="eastAsia" w:ascii="宋体" w:hAnsi="宋体" w:cs="宋体"/>
          <w:bCs/>
          <w:color w:val="000000"/>
        </w:rPr>
        <w:t>本理财计划免除浮动管理费。</w:t>
      </w:r>
    </w:p>
    <w:p>
      <w:pPr>
        <w:numPr>
          <w:ilvl w:val="0"/>
          <w:numId w:val="37"/>
        </w:numPr>
        <w:spacing w:line="360" w:lineRule="auto"/>
        <w:ind w:firstLine="482" w:firstLineChars="200"/>
        <w:jc w:val="left"/>
        <w:rPr>
          <w:rFonts w:ascii="宋体" w:hAnsi="宋体" w:cs="宋体"/>
          <w:b/>
        </w:rPr>
      </w:pPr>
      <w:r>
        <w:rPr>
          <w:rFonts w:hint="eastAsia" w:ascii="宋体" w:hAnsi="宋体" w:cs="宋体"/>
          <w:b/>
        </w:rPr>
        <w:t>强制赎回费</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1）产品持有的现金、国债、中央银行票据、政策性金融债券以及5个交易日内到期的其他金融工具占产品资产净值的比例合计低于5%且偏离度为负时，产品管理人可对当日单个投资者申请赎回份额超过产品总份额1%以上的赎回申请征收1%的强制赎回费用，并将上述赎回费用全部计入产品资产。</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2）产品前10名投资者的持有份额合计超过该产品总份额50%的，当投资组合中现金、国债、中央银行票据、政策性金融债券以及5个交易日内到期的其他金融工具占该产品资产净值的比例合计低于10%且偏离度为负时，产品管理人可对投资者超过产品总份额1%以上的赎回申请征收1%的强制赎回费用。</w:t>
      </w:r>
    </w:p>
    <w:p>
      <w:pPr>
        <w:numPr>
          <w:ilvl w:val="0"/>
          <w:numId w:val="37"/>
        </w:numPr>
        <w:spacing w:line="360" w:lineRule="auto"/>
        <w:ind w:firstLine="482" w:firstLineChars="200"/>
        <w:jc w:val="left"/>
        <w:rPr>
          <w:rFonts w:hint="eastAsia" w:ascii="宋体" w:hAnsi="宋体" w:cs="宋体"/>
          <w:b/>
        </w:rPr>
      </w:pPr>
      <w:r>
        <w:rPr>
          <w:rFonts w:hint="eastAsia" w:ascii="宋体" w:hAnsi="宋体" w:cs="宋体"/>
          <w:b/>
        </w:rPr>
        <w:t>其他费用</w:t>
      </w:r>
    </w:p>
    <w:p>
      <w:pPr>
        <w:spacing w:line="360" w:lineRule="auto"/>
        <w:ind w:firstLine="480" w:firstLineChars="200"/>
        <w:jc w:val="left"/>
        <w:rPr>
          <w:rFonts w:ascii="宋体" w:hAnsi="宋体" w:cs="宋体"/>
          <w:bCs/>
          <w:color w:val="000000"/>
        </w:rPr>
      </w:pPr>
      <w:r>
        <w:rPr>
          <w:rFonts w:hint="eastAsia" w:ascii="宋体" w:hAnsi="宋体" w:cs="宋体"/>
          <w:bCs/>
          <w:color w:val="000000"/>
        </w:rPr>
        <w:t>除上述费用外，由受托管理资产承担的费用包括但不限于：</w:t>
      </w:r>
    </w:p>
    <w:p>
      <w:pPr>
        <w:numPr>
          <w:ilvl w:val="0"/>
          <w:numId w:val="38"/>
        </w:numPr>
        <w:spacing w:line="360" w:lineRule="auto"/>
        <w:ind w:firstLine="480" w:firstLineChars="200"/>
        <w:jc w:val="left"/>
        <w:rPr>
          <w:rFonts w:ascii="宋体" w:hAnsi="宋体" w:cs="宋体"/>
          <w:bCs/>
        </w:rPr>
      </w:pPr>
      <w:r>
        <w:rPr>
          <w:rFonts w:hint="eastAsia" w:ascii="宋体" w:hAnsi="宋体" w:cs="宋体"/>
          <w:bCs/>
        </w:rPr>
        <w:t>财产管理、运用或处分过程中发生的税费。</w:t>
      </w:r>
    </w:p>
    <w:p>
      <w:pPr>
        <w:numPr>
          <w:ilvl w:val="0"/>
          <w:numId w:val="38"/>
        </w:numPr>
        <w:spacing w:line="360" w:lineRule="auto"/>
        <w:ind w:firstLine="480" w:firstLineChars="200"/>
        <w:jc w:val="left"/>
        <w:rPr>
          <w:rFonts w:ascii="宋体" w:hAnsi="宋体" w:cs="宋体"/>
          <w:bCs/>
        </w:rPr>
      </w:pPr>
      <w:r>
        <w:rPr>
          <w:rFonts w:hint="eastAsia" w:ascii="宋体" w:hAnsi="宋体" w:cs="宋体"/>
          <w:bCs/>
        </w:rPr>
        <w:t>代理机构手续费、管理费、财务顾问费、保管费。</w:t>
      </w:r>
    </w:p>
    <w:p>
      <w:pPr>
        <w:numPr>
          <w:ilvl w:val="0"/>
          <w:numId w:val="38"/>
        </w:numPr>
        <w:spacing w:line="360" w:lineRule="auto"/>
        <w:ind w:firstLine="480" w:firstLineChars="200"/>
        <w:jc w:val="left"/>
        <w:rPr>
          <w:rFonts w:ascii="宋体" w:hAnsi="宋体" w:cs="宋体"/>
          <w:bCs/>
        </w:rPr>
      </w:pPr>
      <w:r>
        <w:rPr>
          <w:rFonts w:hint="eastAsia" w:ascii="宋体" w:hAnsi="宋体" w:cs="宋体"/>
          <w:bCs/>
        </w:rPr>
        <w:t>审计费、律师费、公证费等费用。</w:t>
      </w:r>
    </w:p>
    <w:p>
      <w:pPr>
        <w:numPr>
          <w:ilvl w:val="0"/>
          <w:numId w:val="38"/>
        </w:numPr>
        <w:spacing w:line="360" w:lineRule="auto"/>
        <w:ind w:firstLine="480" w:firstLineChars="200"/>
        <w:jc w:val="left"/>
        <w:rPr>
          <w:rFonts w:ascii="宋体" w:hAnsi="宋体" w:cs="宋体"/>
          <w:bCs/>
        </w:rPr>
      </w:pPr>
      <w:r>
        <w:rPr>
          <w:rFonts w:hint="eastAsia" w:ascii="宋体" w:hAnsi="宋体" w:cs="宋体"/>
          <w:bCs/>
        </w:rPr>
        <w:t>管理人自行或委托第三方向本理财计划所投资产所涉及相关主体进行追偿所发生的费用（包括但不限于诉讼费、仲裁费、律师费、保全费等全部费用）。</w:t>
      </w:r>
    </w:p>
    <w:p>
      <w:pPr>
        <w:numPr>
          <w:ilvl w:val="0"/>
          <w:numId w:val="38"/>
        </w:numPr>
        <w:spacing w:line="360" w:lineRule="auto"/>
        <w:ind w:firstLine="480" w:firstLineChars="200"/>
        <w:jc w:val="left"/>
        <w:rPr>
          <w:rFonts w:ascii="宋体" w:hAnsi="宋体" w:cs="宋体"/>
          <w:bCs/>
        </w:rPr>
      </w:pPr>
      <w:r>
        <w:rPr>
          <w:rFonts w:hint="eastAsia" w:ascii="宋体" w:hAnsi="宋体" w:cs="宋体"/>
          <w:bCs/>
        </w:rPr>
        <w:t>理财计划的交易费用（包括但不限于交易佣金、相关账户费用等）及投资其他资管产品的费用。</w:t>
      </w:r>
    </w:p>
    <w:p>
      <w:pPr>
        <w:numPr>
          <w:ilvl w:val="0"/>
          <w:numId w:val="38"/>
        </w:numPr>
        <w:spacing w:line="360" w:lineRule="auto"/>
        <w:ind w:firstLine="480" w:firstLineChars="200"/>
        <w:jc w:val="left"/>
        <w:rPr>
          <w:rFonts w:ascii="宋体" w:hAnsi="宋体" w:cs="宋体"/>
          <w:bCs/>
        </w:rPr>
      </w:pPr>
      <w:r>
        <w:rPr>
          <w:rFonts w:hint="eastAsia" w:ascii="宋体" w:hAnsi="宋体" w:cs="宋体"/>
          <w:bCs/>
        </w:rPr>
        <w:t>监管规定的其他费用。</w:t>
      </w:r>
    </w:p>
    <w:p>
      <w:pPr>
        <w:spacing w:line="360" w:lineRule="auto"/>
        <w:ind w:firstLine="482" w:firstLineChars="200"/>
        <w:jc w:val="left"/>
        <w:rPr>
          <w:rFonts w:ascii="宋体" w:hAnsi="宋体" w:cs="宋体"/>
          <w:bCs/>
        </w:rPr>
      </w:pPr>
      <w:r>
        <w:rPr>
          <w:rFonts w:hint="eastAsia" w:ascii="宋体" w:hAnsi="宋体" w:cs="宋体"/>
          <w:b/>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9"/>
        </w:numPr>
        <w:spacing w:line="360" w:lineRule="auto"/>
        <w:ind w:firstLine="482" w:firstLineChars="200"/>
        <w:jc w:val="left"/>
        <w:outlineLvl w:val="2"/>
        <w:rPr>
          <w:rFonts w:hint="eastAsia" w:ascii="宋体" w:hAnsi="宋体" w:cs="宋体"/>
          <w:b/>
        </w:rPr>
      </w:pPr>
      <w:r>
        <w:rPr>
          <w:rFonts w:hint="eastAsia" w:ascii="宋体" w:hAnsi="宋体" w:cs="宋体"/>
          <w:b/>
        </w:rPr>
        <w:t>税收说明</w:t>
      </w:r>
    </w:p>
    <w:p>
      <w:pPr>
        <w:numPr>
          <w:ilvl w:val="0"/>
          <w:numId w:val="40"/>
        </w:numPr>
        <w:spacing w:line="360" w:lineRule="auto"/>
        <w:ind w:firstLine="480" w:firstLineChars="200"/>
        <w:jc w:val="left"/>
      </w:pPr>
      <w:r>
        <w:rPr>
          <w:rFonts w:hint="eastAsia" w:ascii="宋体" w:hAnsi="宋体" w:cs="宋体"/>
          <w:bCs/>
          <w:color w:val="000000"/>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40"/>
        </w:numPr>
        <w:spacing w:line="360" w:lineRule="auto"/>
        <w:ind w:firstLine="480" w:firstLineChars="200"/>
        <w:jc w:val="left"/>
        <w:rPr>
          <w:rFonts w:hint="eastAsia" w:ascii="宋体" w:hAnsi="宋体" w:cs="宋体"/>
          <w:bCs/>
          <w:color w:val="000000"/>
        </w:rPr>
      </w:pPr>
      <w:r>
        <w:rPr>
          <w:rFonts w:hint="eastAsia" w:ascii="宋体" w:hAnsi="宋体" w:cs="宋体"/>
          <w:bCs/>
          <w:color w:val="000000"/>
        </w:rPr>
        <w:t>除法律法规特别要求外，投资者应缴纳的税收由投资者自行缴纳，理财计划管理人不承担代扣代缴或纳税的义务。</w:t>
      </w:r>
    </w:p>
    <w:p>
      <w:pPr>
        <w:numPr>
          <w:ilvl w:val="0"/>
          <w:numId w:val="40"/>
        </w:numPr>
        <w:spacing w:line="360" w:lineRule="auto"/>
        <w:ind w:firstLine="480" w:firstLineChars="200"/>
        <w:jc w:val="left"/>
        <w:rPr>
          <w:rFonts w:hint="eastAsia" w:ascii="宋体" w:hAnsi="宋体" w:cs="宋体"/>
          <w:b/>
        </w:rPr>
      </w:pPr>
      <w:r>
        <w:rPr>
          <w:rFonts w:hint="eastAsia" w:ascii="宋体" w:hAnsi="宋体" w:cs="宋体"/>
          <w:bCs/>
          <w:color w:val="000000"/>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rPr>
      </w:pPr>
    </w:p>
    <w:p>
      <w:pPr>
        <w:numPr>
          <w:ilvl w:val="0"/>
          <w:numId w:val="28"/>
        </w:numPr>
        <w:spacing w:line="360" w:lineRule="auto"/>
        <w:ind w:firstLine="482" w:firstLineChars="200"/>
        <w:jc w:val="left"/>
        <w:outlineLvl w:val="1"/>
        <w:rPr>
          <w:rFonts w:hint="eastAsia" w:ascii="宋体" w:hAnsi="宋体" w:cs="宋体"/>
          <w:b/>
        </w:rPr>
      </w:pPr>
      <w:r>
        <w:rPr>
          <w:rFonts w:hint="eastAsia" w:ascii="宋体" w:hAnsi="宋体" w:cs="宋体"/>
          <w:b/>
        </w:rPr>
        <w:t>收益计算及支付</w:t>
      </w:r>
    </w:p>
    <w:p>
      <w:pPr>
        <w:numPr>
          <w:ilvl w:val="0"/>
          <w:numId w:val="41"/>
        </w:numPr>
        <w:spacing w:line="360" w:lineRule="auto"/>
        <w:ind w:firstLine="482" w:firstLineChars="200"/>
        <w:jc w:val="left"/>
        <w:outlineLvl w:val="2"/>
        <w:rPr>
          <w:rFonts w:hint="eastAsia" w:ascii="宋体" w:hAnsi="宋体" w:cs="宋体"/>
          <w:b/>
        </w:rPr>
      </w:pPr>
      <w:r>
        <w:rPr>
          <w:rFonts w:hint="eastAsia" w:ascii="宋体" w:hAnsi="宋体" w:cs="宋体"/>
          <w:b/>
        </w:rPr>
        <w:t>理财收益说明</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本理财计划每份产品份额享有同等分配权。投资者自认购/申购份额确认当日开始享有相应份额的收益分配权益；自赎回确认当日开始不再享有相应份额的收益分配权益。</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理财计划存续期间，以当日每万份理财产品收益为基准，每日为投资者计算当日理财收益并进行分配，结转为理财计划份额。如投资者的当日收益为正，则为投资者增加相应的产品份额；如投资者的当日收益为零，则投资者份额不变；如投资者的当日收益为负，则为投资者核减相应的产品份额。投资者当日收益分配的计算保留到小数点后2位，小数点后第3位按去尾法处理，因去尾形成的余额进行再次分配，直到分完为止。</w:t>
      </w:r>
    </w:p>
    <w:p>
      <w:pPr>
        <w:numPr>
          <w:ilvl w:val="0"/>
          <w:numId w:val="41"/>
        </w:numPr>
        <w:spacing w:line="360" w:lineRule="auto"/>
        <w:ind w:firstLine="482" w:firstLineChars="200"/>
        <w:jc w:val="left"/>
        <w:outlineLvl w:val="2"/>
        <w:rPr>
          <w:rFonts w:hint="eastAsia" w:ascii="宋体" w:hAnsi="宋体" w:cs="宋体"/>
          <w:b/>
        </w:rPr>
      </w:pPr>
      <w:r>
        <w:rPr>
          <w:rFonts w:hint="eastAsia" w:ascii="宋体" w:hAnsi="宋体" w:cs="宋体"/>
          <w:b/>
        </w:rPr>
        <w:t>计算公式</w:t>
      </w:r>
    </w:p>
    <w:p>
      <w:pPr>
        <w:spacing w:line="360" w:lineRule="auto"/>
        <w:ind w:firstLine="480" w:firstLineChars="200"/>
        <w:jc w:val="left"/>
        <w:rPr>
          <w:rFonts w:ascii="宋体" w:hAnsi="宋体" w:cs="宋体"/>
          <w:bCs/>
          <w:color w:val="000000"/>
        </w:rPr>
      </w:pPr>
      <w:r>
        <w:rPr>
          <w:rFonts w:hint="eastAsia" w:ascii="宋体" w:hAnsi="宋体" w:cs="宋体"/>
          <w:bCs/>
          <w:color w:val="000000"/>
        </w:rPr>
        <w:t>投资者当日理财收益＝投资者当日持有份额×每万份理财产品收益/10000</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投资者当日持有份额=投资者上一日持有份额+上一日结转份额＋投资者当日申购确认份额－投资者当日赎回确认份额</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当日每万份理财产品收益=(当日资产组合投资收益-当日理财计划托管费-当日理财计划固定管理费-当日理财计划销售服务费-其他税费)/当日理财计划份额×10000</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当日理财计划份额=上一日理财计划份额＋上一日理财计划结转份额＋当日申购确认理财计划份额－当日赎回确认理财计划份额</w:t>
      </w:r>
    </w:p>
    <w:p>
      <w:pPr>
        <w:spacing w:line="360" w:lineRule="auto"/>
        <w:ind w:firstLine="480" w:firstLineChars="200"/>
        <w:jc w:val="left"/>
        <w:rPr>
          <w:rFonts w:hint="eastAsia" w:ascii="宋体" w:hAnsi="宋体" w:cs="宋体"/>
          <w:position w:val="-46"/>
          <w:szCs w:val="21"/>
          <w:lang w:bidi="ar"/>
        </w:rPr>
      </w:pPr>
      <w:r>
        <w:rPr>
          <w:rFonts w:hint="eastAsia" w:ascii="宋体" w:hAnsi="宋体" w:cs="宋体"/>
          <w:szCs w:val="21"/>
          <w:lang w:bidi="ar"/>
        </w:rPr>
        <w:t>按日结转份额的七日年化收益率=</w:t>
      </w:r>
      <w:r>
        <w:rPr>
          <w:rFonts w:hint="eastAsia" w:ascii="宋体" w:hAnsi="宋体" w:cs="宋体"/>
          <w:position w:val="-46"/>
          <w:szCs w:val="21"/>
          <w:lang w:bidi="ar"/>
        </w:rPr>
        <w:object>
          <v:shape id="_x0000_i1028" o:spt="75" type="#_x0000_t75" style="height:52.15pt;width:162pt;" o:ole="t" filled="f" o:preferrelative="t" stroked="f" coordsize="21600,21600">
            <v:path/>
            <v:fill on="f" focussize="0,0"/>
            <v:stroke on="f"/>
            <v:imagedata r:id="rId13" o:title=""/>
            <o:lock v:ext="edit" aspectratio="t"/>
            <w10:wrap type="none"/>
            <w10:anchorlock/>
          </v:shape>
          <o:OLEObject Type="Embed" ProgID="Equation.KSEE3" ShapeID="_x0000_i1028" DrawAspect="Content" ObjectID="_1468075728" r:id="rId12">
            <o:LockedField>false</o:LockedField>
          </o:OLEObject>
        </w:objec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Ri为最近第i个自然日的当日每万份理财产品收益。七日年化收益率采取四舍五入后精确到小数点后4位。</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投资者总收益＝自理财计划申购确认日（或产品成立日）当日（含当日）起至赎回确认日或理财产品到期日（提前终止日）（不含当日）止期间相应投资者理财收益总和</w:t>
      </w:r>
    </w:p>
    <w:p>
      <w:pPr>
        <w:spacing w:line="360" w:lineRule="auto"/>
        <w:ind w:firstLine="480" w:firstLineChars="200"/>
        <w:jc w:val="left"/>
        <w:rPr>
          <w:rFonts w:ascii="宋体" w:hAnsi="宋体" w:cs="宋体"/>
          <w:bCs/>
          <w:color w:val="000000"/>
        </w:rPr>
      </w:pPr>
      <w:r>
        <w:rPr>
          <w:rFonts w:hint="eastAsia" w:ascii="宋体" w:hAnsi="宋体" w:cs="宋体"/>
          <w:bCs/>
          <w:color w:val="000000"/>
        </w:rPr>
        <w:t>其中，投资者当日持有份额以管理人理财系统完成当日清算后记录的份额为准；投资者当日理财收益计算结果按去尾法保留两位小数。</w:t>
      </w:r>
    </w:p>
    <w:p>
      <w:pPr>
        <w:numPr>
          <w:ilvl w:val="0"/>
          <w:numId w:val="41"/>
        </w:numPr>
        <w:spacing w:line="360" w:lineRule="auto"/>
        <w:jc w:val="left"/>
        <w:outlineLvl w:val="2"/>
        <w:rPr>
          <w:rFonts w:hint="eastAsia" w:ascii="宋体" w:hAnsi="宋体" w:cs="宋体"/>
          <w:b/>
          <w:color w:val="000000"/>
        </w:rPr>
      </w:pPr>
      <w:r>
        <w:rPr>
          <w:rFonts w:hint="eastAsia" w:ascii="宋体" w:hAnsi="宋体" w:cs="宋体"/>
          <w:b/>
        </w:rPr>
        <w:t>示例说明</w:t>
      </w:r>
    </w:p>
    <w:p>
      <w:pPr>
        <w:numPr>
          <w:ilvl w:val="0"/>
          <w:numId w:val="42"/>
        </w:numPr>
        <w:spacing w:line="360" w:lineRule="auto"/>
        <w:ind w:firstLine="482" w:firstLineChars="200"/>
        <w:jc w:val="left"/>
        <w:rPr>
          <w:rFonts w:hint="eastAsia" w:ascii="宋体" w:hAnsi="宋体" w:cs="宋体"/>
          <w:b/>
        </w:rPr>
      </w:pPr>
      <w:r>
        <w:rPr>
          <w:rFonts w:hint="eastAsia" w:ascii="宋体" w:hAnsi="宋体" w:cs="宋体"/>
          <w:b/>
        </w:rPr>
        <w:t>示例一</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以某投资者当日持有10万份为例，若当日每万份理财产品收益为0.9590，则该投资者的当日理财收益为：</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100,000×0.9590/10000=9.59元</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投资者当日结转份额为：</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9.59/1=9.59份</w:t>
      </w:r>
    </w:p>
    <w:p>
      <w:pPr>
        <w:numPr>
          <w:ilvl w:val="0"/>
          <w:numId w:val="41"/>
        </w:numPr>
        <w:spacing w:line="360" w:lineRule="auto"/>
        <w:ind w:firstLine="482" w:firstLineChars="200"/>
        <w:jc w:val="left"/>
        <w:outlineLvl w:val="2"/>
        <w:rPr>
          <w:rFonts w:hint="eastAsia" w:ascii="宋体" w:hAnsi="宋体" w:cs="宋体"/>
          <w:b/>
        </w:rPr>
      </w:pPr>
      <w:r>
        <w:rPr>
          <w:rFonts w:hint="eastAsia" w:ascii="宋体" w:hAnsi="宋体" w:cs="宋体"/>
          <w:b/>
        </w:rPr>
        <w:t>本金及理财收益支付</w:t>
      </w:r>
    </w:p>
    <w:p>
      <w:pPr>
        <w:numPr>
          <w:ilvl w:val="0"/>
          <w:numId w:val="43"/>
        </w:numPr>
        <w:spacing w:line="360" w:lineRule="auto"/>
        <w:ind w:firstLine="482" w:firstLineChars="200"/>
        <w:jc w:val="left"/>
        <w:rPr>
          <w:rFonts w:hint="eastAsia" w:ascii="宋体" w:hAnsi="宋体" w:cs="宋体"/>
          <w:b/>
        </w:rPr>
      </w:pPr>
      <w:r>
        <w:rPr>
          <w:rFonts w:hint="eastAsia" w:ascii="宋体" w:hAnsi="宋体" w:cs="宋体"/>
          <w:b/>
        </w:rPr>
        <w:t xml:space="preserve">理财计划收益结转，提前终止的本金及收益支付 </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（1）若投资者未赎回理财计划，管理人每日为投资者计算当日收益，并将该收益结转为理财计划份额。</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（2）若理财计划提前终止，管理人将投资者在提前终止日所持有的理财计划份额对应的本金与理财收益于提前终止日后的3个工作日内划转至投资者指定理财账户。</w:t>
      </w:r>
    </w:p>
    <w:p>
      <w:pPr>
        <w:numPr>
          <w:ilvl w:val="0"/>
          <w:numId w:val="43"/>
        </w:numPr>
        <w:spacing w:line="360" w:lineRule="auto"/>
        <w:ind w:firstLine="482" w:firstLineChars="200"/>
        <w:jc w:val="left"/>
        <w:rPr>
          <w:rFonts w:hint="eastAsia" w:ascii="宋体" w:hAnsi="宋体" w:cs="宋体"/>
          <w:b/>
        </w:rPr>
      </w:pPr>
      <w:r>
        <w:rPr>
          <w:rFonts w:hint="eastAsia" w:ascii="宋体" w:hAnsi="宋体" w:cs="宋体"/>
          <w:b/>
        </w:rPr>
        <w:t xml:space="preserve">理财计划赎回时的本金及收益支付： </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1）全部赎回时的本金及收益支付：投资者申请全部赎回理财计划时，产品份额对应的理财收益于赎回日当晚清算后正常结转为份额，管理人在赎回确认日当日将投资者持有的理财计划份额对应的资金划转至投资者指定理财账户。投资者赎回的理财份额于赎回确认当日不再享有对应的理财收益。</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 xml:space="preserve">（2）部分赎回时的本金及收益支付：投资者申请部分赎回理财计划时，部分赎回的产品份额对应的理财收益于赎回日当晚清算后正常结转为份额，管理人在赎回确认日当日将投资者申请赎回的产品份额对应的资金划转至投资者指定理财账户。部分赎回后投资者持有本理财产品的实时余额不得低于0.01份。 </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示例：a.假设投资者持有理财计划20万份，若投资者在产品某一开放日申请赎回10万份，则赎回确认日当日，管理人将10万元资金划转至投资者指定账户。该部分收益（申请赎回的10万份产品份额在赎回日产生的理财收益）在赎回日当晚清算后正常结转为份额继续留存。</w:t>
      </w:r>
    </w:p>
    <w:p>
      <w:pPr>
        <w:spacing w:line="360" w:lineRule="auto"/>
        <w:ind w:firstLine="480" w:firstLineChars="200"/>
        <w:jc w:val="left"/>
        <w:rPr>
          <w:rFonts w:ascii="宋体" w:hAnsi="宋体" w:cs="宋体"/>
          <w:bCs/>
          <w:color w:val="000000"/>
        </w:rPr>
      </w:pPr>
      <w:r>
        <w:rPr>
          <w:rFonts w:hint="eastAsia" w:ascii="宋体" w:hAnsi="宋体" w:cs="宋体"/>
          <w:bCs/>
          <w:color w:val="000000"/>
        </w:rPr>
        <w:t>b.假设投资者持有理财计划10万份，若投资者选择全额赎回，管理人在赎回确认日当日将投资者持有的全部10万份份额对应的资金划转至投资者指定理财账户，赎回日当晚清算后收益正常结转的份额，根据销售机构的要求进行相应的份额处理。</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（3）理财账户销户时的收益支付：投资者的理财账户销户时间为每个交易日的9：00-15：45，管理人将该理财账户本理财计划当前全部产品份额进行赎回确认，然后对理财账户销户处理。</w:t>
      </w:r>
    </w:p>
    <w:p>
      <w:pPr>
        <w:numPr>
          <w:ilvl w:val="0"/>
          <w:numId w:val="43"/>
        </w:numPr>
        <w:spacing w:line="360" w:lineRule="auto"/>
        <w:ind w:firstLine="482" w:firstLineChars="200"/>
        <w:jc w:val="left"/>
        <w:rPr>
          <w:rFonts w:hint="eastAsia" w:ascii="宋体" w:hAnsi="宋体" w:cs="宋体"/>
          <w:b/>
        </w:rPr>
      </w:pPr>
      <w:r>
        <w:rPr>
          <w:rFonts w:hint="eastAsia" w:ascii="宋体" w:hAnsi="宋体" w:cs="宋体"/>
          <w:b/>
        </w:rPr>
        <w:t>理财计划终止或提前终止时，管理人将尽快变现非现金类资产，并将变现后的非现金类资产扣除应承担的费用后向本理财计划投资者支付。相应的分配方案将通过管理人或销售机构官网公告。</w:t>
      </w:r>
    </w:p>
    <w:p>
      <w:pPr>
        <w:numPr>
          <w:ilvl w:val="0"/>
          <w:numId w:val="41"/>
        </w:numPr>
        <w:spacing w:line="360" w:lineRule="auto"/>
        <w:ind w:firstLine="482" w:firstLineChars="200"/>
        <w:jc w:val="left"/>
        <w:outlineLvl w:val="2"/>
        <w:rPr>
          <w:rFonts w:hint="eastAsia" w:ascii="宋体" w:hAnsi="宋体" w:cs="宋体"/>
          <w:b/>
        </w:rPr>
      </w:pPr>
      <w:r>
        <w:rPr>
          <w:rFonts w:hint="eastAsia" w:ascii="宋体" w:hAnsi="宋体" w:cs="宋体"/>
          <w:b/>
        </w:rPr>
        <w:t>最不利情况分析</w:t>
      </w:r>
    </w:p>
    <w:p>
      <w:pPr>
        <w:spacing w:line="360" w:lineRule="auto"/>
        <w:ind w:firstLine="480" w:firstLineChars="200"/>
        <w:jc w:val="left"/>
        <w:rPr>
          <w:rFonts w:hint="eastAsia" w:ascii="宋体" w:hAnsi="宋体" w:cs="宋体"/>
          <w:bCs/>
          <w:color w:val="000000"/>
        </w:rPr>
      </w:pPr>
      <w:r>
        <w:rPr>
          <w:rFonts w:hint="eastAsia" w:ascii="宋体" w:hAnsi="宋体" w:cs="宋体"/>
          <w:bCs/>
          <w:color w:val="000000"/>
        </w:rPr>
        <w:t>由于市场波动导致投资资产贬值或者投资资产发生信用风险导致相应损失，使理财计划收益率为零甚至为负，投资者赎回或者理财计划到期时有可能损失理财本金（在最不利的情况下有可能损失全部本金），届时（理财计划到期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rPr>
      </w:pPr>
    </w:p>
    <w:p>
      <w:pPr>
        <w:numPr>
          <w:ilvl w:val="0"/>
          <w:numId w:val="28"/>
        </w:numPr>
        <w:spacing w:line="360" w:lineRule="auto"/>
        <w:ind w:firstLine="482" w:firstLineChars="200"/>
        <w:jc w:val="left"/>
        <w:outlineLvl w:val="1"/>
        <w:rPr>
          <w:rFonts w:hint="eastAsia" w:ascii="宋体" w:hAnsi="宋体" w:cs="宋体"/>
          <w:b/>
        </w:rPr>
      </w:pPr>
      <w:r>
        <w:rPr>
          <w:rFonts w:hint="eastAsia" w:ascii="宋体" w:hAnsi="宋体" w:cs="宋体"/>
          <w:b/>
        </w:rPr>
        <w:t>交易规则</w:t>
      </w:r>
    </w:p>
    <w:p>
      <w:pPr>
        <w:numPr>
          <w:ilvl w:val="0"/>
          <w:numId w:val="44"/>
        </w:numPr>
        <w:spacing w:line="360" w:lineRule="auto"/>
        <w:ind w:firstLine="482" w:firstLineChars="200"/>
        <w:jc w:val="left"/>
        <w:outlineLvl w:val="2"/>
        <w:rPr>
          <w:rFonts w:hint="eastAsia" w:ascii="宋体" w:hAnsi="宋体" w:cs="宋体"/>
          <w:b/>
        </w:rPr>
      </w:pPr>
      <w:r>
        <w:rPr>
          <w:rFonts w:hint="eastAsia" w:ascii="宋体" w:hAnsi="宋体" w:cs="宋体"/>
          <w:b/>
        </w:rPr>
        <w:t>认购</w:t>
      </w:r>
    </w:p>
    <w:p>
      <w:pPr>
        <w:numPr>
          <w:ilvl w:val="0"/>
          <w:numId w:val="45"/>
        </w:numPr>
        <w:spacing w:line="360" w:lineRule="auto"/>
        <w:ind w:firstLine="480" w:firstLineChars="200"/>
        <w:jc w:val="left"/>
        <w:rPr>
          <w:rFonts w:hint="eastAsia" w:ascii="宋体" w:hAnsi="宋体" w:cs="宋体"/>
          <w:bCs/>
          <w:color w:val="000000"/>
        </w:rPr>
      </w:pPr>
      <w:r>
        <w:rPr>
          <w:rFonts w:hint="eastAsia" w:ascii="宋体" w:hAnsi="宋体" w:cs="宋体"/>
          <w:bCs/>
          <w:color w:val="000000"/>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p>
    <w:p>
      <w:pPr>
        <w:numPr>
          <w:ilvl w:val="0"/>
          <w:numId w:val="45"/>
        </w:numPr>
        <w:spacing w:line="360" w:lineRule="auto"/>
        <w:ind w:firstLine="480" w:firstLineChars="200"/>
        <w:jc w:val="left"/>
        <w:rPr>
          <w:rFonts w:hint="eastAsia" w:ascii="宋体" w:hAnsi="宋体" w:cs="宋体"/>
          <w:bCs/>
          <w:color w:val="000000"/>
        </w:rPr>
      </w:pPr>
      <w:r>
        <w:rPr>
          <w:rFonts w:hint="eastAsia" w:ascii="宋体" w:hAnsi="宋体" w:cs="宋体"/>
          <w:bCs/>
          <w:color w:val="000000"/>
        </w:rPr>
        <w:t>理财计划认购期内，投资者可以对本理财计划进行认购、追加、撤单，相应投资资金将在投资者指定账户中冻结。</w:t>
      </w:r>
    </w:p>
    <w:p>
      <w:pPr>
        <w:numPr>
          <w:ilvl w:val="0"/>
          <w:numId w:val="45"/>
        </w:numPr>
        <w:spacing w:line="360" w:lineRule="auto"/>
        <w:ind w:firstLine="480" w:firstLineChars="200"/>
        <w:jc w:val="left"/>
        <w:rPr>
          <w:rFonts w:hint="eastAsia" w:ascii="宋体" w:hAnsi="宋体" w:cs="宋体"/>
          <w:bCs/>
          <w:color w:val="000000"/>
        </w:rPr>
      </w:pPr>
      <w:r>
        <w:rPr>
          <w:rFonts w:hint="eastAsia" w:ascii="宋体" w:hAnsi="宋体" w:cs="宋体"/>
          <w:bCs/>
          <w:color w:val="000000"/>
        </w:rPr>
        <w:t>如新增认购使得单一投资者持有份额比例超过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4"/>
        </w:numPr>
        <w:spacing w:line="360" w:lineRule="auto"/>
        <w:ind w:firstLine="482" w:firstLineChars="200"/>
        <w:jc w:val="left"/>
        <w:outlineLvl w:val="2"/>
        <w:rPr>
          <w:rFonts w:hint="eastAsia" w:ascii="宋体" w:hAnsi="宋体" w:cs="宋体"/>
          <w:b/>
        </w:rPr>
      </w:pPr>
      <w:r>
        <w:rPr>
          <w:rFonts w:hint="eastAsia" w:ascii="宋体" w:hAnsi="宋体" w:cs="宋体"/>
          <w:b/>
        </w:rPr>
        <w:t>成立</w:t>
      </w:r>
    </w:p>
    <w:p>
      <w:pPr>
        <w:numPr>
          <w:ilvl w:val="0"/>
          <w:numId w:val="46"/>
        </w:numPr>
        <w:spacing w:line="360" w:lineRule="auto"/>
        <w:ind w:firstLine="480" w:firstLineChars="200"/>
        <w:jc w:val="left"/>
        <w:rPr>
          <w:rFonts w:hint="eastAsia" w:ascii="宋体" w:hAnsi="宋体" w:cs="宋体"/>
          <w:bCs/>
          <w:color w:val="000000"/>
        </w:rPr>
      </w:pPr>
      <w:r>
        <w:rPr>
          <w:rFonts w:hint="eastAsia" w:ascii="宋体" w:hAnsi="宋体" w:cs="宋体"/>
          <w:bCs/>
          <w:color w:val="000000"/>
        </w:rPr>
        <w:t>销售机构有权以投资者的投资金额为限从投资者理财账户中进行资金扣划，无需投资者另行授权。</w:t>
      </w:r>
    </w:p>
    <w:p>
      <w:pPr>
        <w:numPr>
          <w:ilvl w:val="0"/>
          <w:numId w:val="46"/>
        </w:numPr>
        <w:spacing w:line="360" w:lineRule="auto"/>
        <w:ind w:firstLine="480" w:firstLineChars="200"/>
        <w:jc w:val="left"/>
        <w:rPr>
          <w:rFonts w:hint="eastAsia" w:ascii="宋体" w:hAnsi="宋体" w:cs="宋体"/>
          <w:b/>
        </w:rPr>
      </w:pPr>
      <w:r>
        <w:rPr>
          <w:rFonts w:hint="eastAsia" w:ascii="宋体" w:hAnsi="宋体" w:cs="宋体"/>
          <w:bCs/>
          <w:color w:val="000000"/>
        </w:rPr>
        <w:t>管理人将在理财计划成立日对认购期的认购及追加申请进行确认和划款。</w:t>
      </w:r>
    </w:p>
    <w:p>
      <w:pPr>
        <w:numPr>
          <w:ilvl w:val="0"/>
          <w:numId w:val="44"/>
        </w:numPr>
        <w:spacing w:line="360" w:lineRule="auto"/>
        <w:ind w:firstLine="482" w:firstLineChars="200"/>
        <w:jc w:val="left"/>
        <w:outlineLvl w:val="2"/>
        <w:rPr>
          <w:rFonts w:hint="eastAsia" w:ascii="宋体" w:hAnsi="宋体" w:cs="宋体"/>
          <w:b/>
        </w:rPr>
      </w:pPr>
      <w:r>
        <w:rPr>
          <w:rFonts w:hint="eastAsia" w:ascii="宋体" w:hAnsi="宋体" w:cs="宋体"/>
          <w:b/>
        </w:rPr>
        <w:t>申购及赎回</w:t>
      </w:r>
    </w:p>
    <w:p>
      <w:pPr>
        <w:numPr>
          <w:ilvl w:val="0"/>
          <w:numId w:val="47"/>
        </w:numPr>
        <w:spacing w:line="360" w:lineRule="auto"/>
        <w:ind w:firstLine="480" w:firstLineChars="200"/>
        <w:jc w:val="left"/>
        <w:rPr>
          <w:rFonts w:ascii="宋体" w:hAnsi="宋体" w:cs="宋体"/>
          <w:bCs/>
        </w:rPr>
      </w:pPr>
      <w:r>
        <w:rPr>
          <w:rFonts w:hint="eastAsia" w:ascii="宋体" w:hAnsi="宋体" w:cs="宋体"/>
          <w:bCs/>
        </w:rPr>
        <w:t>交易确认及时间</w:t>
      </w:r>
    </w:p>
    <w:p>
      <w:pPr>
        <w:numPr>
          <w:ilvl w:val="0"/>
          <w:numId w:val="48"/>
        </w:numPr>
        <w:spacing w:line="360" w:lineRule="auto"/>
        <w:ind w:firstLine="480" w:firstLineChars="200"/>
        <w:jc w:val="left"/>
        <w:rPr>
          <w:rFonts w:hint="eastAsia" w:ascii="宋体" w:hAnsi="宋体" w:cs="宋体"/>
          <w:bCs/>
        </w:rPr>
      </w:pPr>
      <w:r>
        <w:rPr>
          <w:rFonts w:hint="eastAsia" w:ascii="宋体" w:hAnsi="宋体" w:cs="宋体"/>
          <w:bCs/>
        </w:rPr>
        <w:t>本理财计划在每个开放日工作时间可进行申购，申购申请将在申购确认日进行确认，即开放日后的第〖1〗个工作日进行确认。</w:t>
      </w:r>
    </w:p>
    <w:p>
      <w:pPr>
        <w:numPr>
          <w:ilvl w:val="0"/>
          <w:numId w:val="48"/>
        </w:numPr>
        <w:spacing w:line="360" w:lineRule="auto"/>
        <w:ind w:firstLine="480" w:firstLineChars="200"/>
        <w:jc w:val="left"/>
        <w:rPr>
          <w:rFonts w:ascii="宋体" w:hAnsi="宋体" w:cs="宋体"/>
          <w:bCs/>
        </w:rPr>
      </w:pPr>
      <w:r>
        <w:rPr>
          <w:rFonts w:hint="eastAsia" w:ascii="宋体" w:hAnsi="宋体" w:cs="宋体"/>
          <w:bCs/>
        </w:rPr>
        <w:t>本理财计划在每个开放日工作时间可进行赎回，赎回申请将在赎回确认日进行确认，即开放日后的第〖1〗个工作日进行确认。</w:t>
      </w:r>
    </w:p>
    <w:p>
      <w:pPr>
        <w:numPr>
          <w:ilvl w:val="0"/>
          <w:numId w:val="48"/>
        </w:numPr>
        <w:spacing w:line="360" w:lineRule="auto"/>
        <w:ind w:firstLine="480" w:firstLineChars="200"/>
        <w:jc w:val="left"/>
        <w:rPr>
          <w:rFonts w:ascii="宋体" w:hAnsi="宋体" w:cs="宋体"/>
          <w:bCs/>
        </w:rPr>
      </w:pPr>
      <w:r>
        <w:rPr>
          <w:rFonts w:hint="eastAsia" w:ascii="宋体" w:hAnsi="宋体" w:cs="宋体"/>
          <w:bCs/>
        </w:rPr>
        <w:t>工作时间为每个工作日〖</w:t>
      </w:r>
      <w:r>
        <w:rPr>
          <w:rFonts w:hint="eastAsia" w:ascii="宋体" w:hAnsi="宋体" w:cs="宋体"/>
          <w:bCs/>
          <w:lang w:val="en-US" w:eastAsia="zh-CN"/>
        </w:rPr>
        <w:t>0</w:t>
      </w:r>
      <w:r>
        <w:rPr>
          <w:rFonts w:hint="eastAsia" w:ascii="宋体" w:hAnsi="宋体" w:cs="宋体"/>
          <w:bCs/>
        </w:rPr>
        <w:t>:00〗至〖</w:t>
      </w:r>
      <w:r>
        <w:rPr>
          <w:rFonts w:hint="eastAsia" w:ascii="宋体" w:hAnsi="宋体" w:cs="宋体"/>
          <w:bCs/>
          <w:lang w:val="en-US" w:eastAsia="zh-CN"/>
        </w:rPr>
        <w:t>2</w:t>
      </w:r>
      <w:r>
        <w:rPr>
          <w:rFonts w:hint="eastAsia" w:ascii="宋体" w:hAnsi="宋体" w:cs="宋体"/>
          <w:bCs/>
          <w:lang w:val="en-US" w:eastAsia="zh-CN"/>
        </w:rPr>
        <w:t>4</w:t>
      </w:r>
      <w:r>
        <w:rPr>
          <w:rFonts w:hint="eastAsia" w:ascii="宋体" w:hAnsi="宋体" w:cs="宋体"/>
          <w:bCs/>
          <w:lang w:eastAsia="zh-CN"/>
        </w:rPr>
        <w:t>:00</w:t>
      </w:r>
      <w:r>
        <w:rPr>
          <w:rFonts w:hint="eastAsia" w:ascii="宋体" w:hAnsi="宋体" w:cs="宋体"/>
          <w:bCs/>
        </w:rPr>
        <w:t>〗</w:t>
      </w:r>
      <w:r>
        <w:rPr>
          <w:rFonts w:hint="eastAsia" w:ascii="宋体" w:hAnsi="宋体" w:cs="宋体"/>
          <w:bCs/>
          <w:lang w:eastAsia="zh-CN"/>
        </w:rPr>
        <w:t>（</w:t>
      </w:r>
      <w:r>
        <w:rPr>
          <w:rFonts w:hint="eastAsia" w:ascii="宋体" w:hAnsi="宋体" w:cs="宋体"/>
          <w:bCs/>
          <w:lang w:val="en-US" w:eastAsia="zh-CN"/>
        </w:rPr>
        <w:t>不含</w:t>
      </w:r>
      <w:r>
        <w:rPr>
          <w:rFonts w:hint="eastAsia" w:ascii="宋体" w:hAnsi="宋体" w:cs="宋体"/>
          <w:bCs/>
          <w:lang w:eastAsia="zh-CN"/>
        </w:rPr>
        <w:t>）</w:t>
      </w:r>
      <w:r>
        <w:rPr>
          <w:rFonts w:hint="eastAsia" w:ascii="宋体" w:hAnsi="宋体" w:cs="宋体"/>
          <w:bCs/>
        </w:rPr>
        <w:t>。</w:t>
      </w:r>
      <w:r>
        <w:rPr>
          <w:rFonts w:hint="eastAsia" w:ascii="宋体" w:hAnsi="宋体" w:cs="宋体"/>
          <w:color w:val="000000"/>
          <w:kern w:val="0"/>
        </w:rPr>
        <w:t>（具体以销售机构规定为准）</w:t>
      </w:r>
    </w:p>
    <w:p>
      <w:pPr>
        <w:numPr>
          <w:ilvl w:val="0"/>
          <w:numId w:val="48"/>
        </w:numPr>
        <w:spacing w:line="360" w:lineRule="auto"/>
        <w:ind w:firstLine="480" w:firstLineChars="200"/>
        <w:jc w:val="left"/>
        <w:rPr>
          <w:rFonts w:ascii="宋体" w:hAnsi="宋体" w:cs="宋体"/>
          <w:bCs/>
        </w:rPr>
      </w:pPr>
      <w:r>
        <w:rPr>
          <w:rFonts w:hint="eastAsia" w:ascii="宋体" w:hAnsi="宋体" w:cs="宋体"/>
          <w:bCs/>
        </w:rPr>
        <w:t>投资者在非工作时间（包括在非开放日）内提出申购或赎回本理财计划的申请，申购或赎回申请将在第二个工作日工作时间内予以确认。未确认的申购或赎回申请可以在确认日期前一工作日</w:t>
      </w:r>
      <w:r>
        <w:rPr>
          <w:rFonts w:hint="eastAsia" w:ascii="宋体" w:hAnsi="宋体" w:cs="宋体"/>
          <w:bCs/>
          <w:lang w:val="en-US" w:eastAsia="zh-CN"/>
        </w:rPr>
        <w:t>2</w:t>
      </w:r>
      <w:r>
        <w:rPr>
          <w:rFonts w:hint="eastAsia" w:ascii="宋体" w:hAnsi="宋体" w:cs="宋体"/>
          <w:bCs/>
          <w:lang w:val="en-US" w:eastAsia="zh-CN"/>
        </w:rPr>
        <w:t>4</w:t>
      </w:r>
      <w:r>
        <w:rPr>
          <w:rFonts w:hint="eastAsia" w:ascii="宋体" w:hAnsi="宋体" w:cs="宋体"/>
          <w:bCs/>
          <w:lang w:eastAsia="zh-CN"/>
        </w:rPr>
        <w:t>:00</w:t>
      </w:r>
      <w:r>
        <w:rPr>
          <w:rFonts w:hint="eastAsia" w:ascii="宋体" w:hAnsi="宋体" w:cs="宋体"/>
          <w:bCs/>
        </w:rPr>
        <w:t>前撤销。</w:t>
      </w:r>
    </w:p>
    <w:tbl>
      <w:tblPr>
        <w:tblStyle w:val="11"/>
        <w:tblW w:w="824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00"/>
        <w:gridCol w:w="3676"/>
        <w:gridCol w:w="24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申请操作</w:t>
            </w:r>
          </w:p>
        </w:tc>
        <w:tc>
          <w:tcPr>
            <w:tcW w:w="3676" w:type="dxa"/>
            <w:tcBorders>
              <w:top w:val="single" w:color="auto" w:sz="4" w:space="0"/>
              <w:left w:val="nil"/>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申请时间</w:t>
            </w:r>
          </w:p>
        </w:tc>
        <w:tc>
          <w:tcPr>
            <w:tcW w:w="2464" w:type="dxa"/>
            <w:tcBorders>
              <w:top w:val="single" w:color="auto" w:sz="4" w:space="0"/>
              <w:left w:val="nil"/>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确认日期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jc w:val="center"/>
        </w:trPr>
        <w:tc>
          <w:tcPr>
            <w:tcW w:w="210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申购</w:t>
            </w:r>
          </w:p>
        </w:tc>
        <w:tc>
          <w:tcPr>
            <w:tcW w:w="3676" w:type="dxa"/>
            <w:tcBorders>
              <w:top w:val="nil"/>
              <w:left w:val="nil"/>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line="48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T日0:00-24:00（不含）（T为开放日）</w:t>
            </w:r>
          </w:p>
        </w:tc>
        <w:tc>
          <w:tcPr>
            <w:tcW w:w="2464" w:type="dxa"/>
            <w:tcBorders>
              <w:top w:val="nil"/>
              <w:left w:val="nil"/>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申购申请日后第一个工作日确认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jc w:val="center"/>
        </w:trPr>
        <w:tc>
          <w:tcPr>
            <w:tcW w:w="2100" w:type="dxa"/>
            <w:vMerge w:val="continue"/>
            <w:tcBorders>
              <w:top w:val="nil"/>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rPr>
            </w:pPr>
          </w:p>
        </w:tc>
        <w:tc>
          <w:tcPr>
            <w:tcW w:w="3676" w:type="dxa"/>
            <w:tcBorders>
              <w:top w:val="nil"/>
              <w:left w:val="nil"/>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line="48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非开放日全时段</w:t>
            </w:r>
          </w:p>
        </w:tc>
        <w:tc>
          <w:tcPr>
            <w:tcW w:w="2464" w:type="dxa"/>
            <w:tcBorders>
              <w:top w:val="nil"/>
              <w:left w:val="nil"/>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申购申请日后第二个工作日确认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jc w:val="center"/>
        </w:trPr>
        <w:tc>
          <w:tcPr>
            <w:tcW w:w="210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赎回</w:t>
            </w:r>
          </w:p>
        </w:tc>
        <w:tc>
          <w:tcPr>
            <w:tcW w:w="3676" w:type="dxa"/>
            <w:tcBorders>
              <w:top w:val="nil"/>
              <w:left w:val="nil"/>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line="48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T日0:00-24:00（不含）（T为开放日）</w:t>
            </w:r>
          </w:p>
        </w:tc>
        <w:tc>
          <w:tcPr>
            <w:tcW w:w="2464" w:type="dxa"/>
            <w:tcBorders>
              <w:top w:val="nil"/>
              <w:left w:val="nil"/>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赎回申请日后第一个工作日确认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jc w:val="center"/>
        </w:trPr>
        <w:tc>
          <w:tcPr>
            <w:tcW w:w="2100" w:type="dxa"/>
            <w:vMerge w:val="continue"/>
            <w:tcBorders>
              <w:top w:val="nil"/>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rPr>
            </w:pPr>
          </w:p>
        </w:tc>
        <w:tc>
          <w:tcPr>
            <w:tcW w:w="3676" w:type="dxa"/>
            <w:tcBorders>
              <w:top w:val="nil"/>
              <w:left w:val="nil"/>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line="48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非开放日全时段</w:t>
            </w:r>
          </w:p>
        </w:tc>
        <w:tc>
          <w:tcPr>
            <w:tcW w:w="2464" w:type="dxa"/>
            <w:tcBorders>
              <w:top w:val="nil"/>
              <w:left w:val="nil"/>
              <w:bottom w:val="single" w:color="auto" w:sz="4" w:space="0"/>
              <w:right w:val="single" w:color="auto" w:sz="4" w:space="0"/>
            </w:tcBorders>
            <w:noWrap w:val="0"/>
            <w:vAlign w:val="bottom"/>
          </w:tcPr>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bidi="ar"/>
              </w:rPr>
              <w:t>赎回申请日后第二个工作日确认</w:t>
            </w:r>
          </w:p>
        </w:tc>
      </w:tr>
    </w:tbl>
    <w:p>
      <w:pPr>
        <w:numPr>
          <w:ilvl w:val="0"/>
          <w:numId w:val="48"/>
        </w:numPr>
        <w:spacing w:line="360" w:lineRule="auto"/>
        <w:ind w:firstLine="480" w:firstLineChars="200"/>
        <w:jc w:val="left"/>
        <w:rPr>
          <w:rFonts w:hint="eastAsia" w:ascii="宋体" w:hAnsi="宋体" w:cs="宋体"/>
          <w:bCs/>
        </w:rPr>
      </w:pPr>
      <w:r>
        <w:rPr>
          <w:rFonts w:hint="eastAsia" w:ascii="宋体" w:hAnsi="宋体" w:cs="宋体"/>
          <w:bCs/>
        </w:rPr>
        <w:t>如新增申购使得单一投资者持有份额比例超过50％，管理人将不再接受超出部分的申购申请。非因投资管理人主观因素导致突破前款规定比例限制的，在单一投资者持有比例降至50％以下之前，管理人将不再接受该投资者对该理财计划的申购申请。投资者持有份额的计算以管理人登记为准。</w:t>
      </w:r>
    </w:p>
    <w:p>
      <w:pPr>
        <w:numPr>
          <w:ilvl w:val="0"/>
          <w:numId w:val="47"/>
        </w:numPr>
        <w:spacing w:line="360" w:lineRule="auto"/>
        <w:ind w:firstLine="480" w:firstLineChars="200"/>
        <w:jc w:val="left"/>
        <w:rPr>
          <w:rFonts w:ascii="宋体" w:hAnsi="宋体" w:cs="宋体"/>
          <w:bCs/>
        </w:rPr>
      </w:pPr>
      <w:r>
        <w:rPr>
          <w:rFonts w:hint="eastAsia" w:ascii="宋体" w:hAnsi="宋体" w:cs="宋体"/>
          <w:bCs/>
        </w:rPr>
        <w:t>到账时间</w:t>
      </w:r>
    </w:p>
    <w:p>
      <w:pPr>
        <w:spacing w:line="360" w:lineRule="auto"/>
        <w:ind w:firstLine="480" w:firstLineChars="200"/>
        <w:jc w:val="left"/>
        <w:rPr>
          <w:rFonts w:ascii="宋体" w:hAnsi="宋体" w:cs="宋体"/>
          <w:bCs/>
        </w:rPr>
      </w:pPr>
      <w:r>
        <w:rPr>
          <w:rFonts w:hint="eastAsia" w:ascii="宋体" w:hAnsi="宋体" w:cs="宋体"/>
          <w:bCs/>
        </w:rPr>
        <w:t>赎回资金确认后，〖1〗个工作日内（遇节假日顺延）将一次性支付，该资金对应的收益支付方式见本说明书第九条收益计算与支付相应条款。如遇资金在途或法定工作日调整，实际资金到账日以公告为准。</w:t>
      </w:r>
      <w:r>
        <w:rPr>
          <w:rFonts w:hint="eastAsia" w:ascii="宋体" w:hAnsi="宋体" w:cs="宋体"/>
          <w:color w:val="000000"/>
          <w:kern w:val="0"/>
        </w:rPr>
        <w:t>（具体以销售机构规定为准）</w:t>
      </w:r>
    </w:p>
    <w:p>
      <w:pPr>
        <w:numPr>
          <w:ilvl w:val="0"/>
          <w:numId w:val="47"/>
        </w:numPr>
        <w:spacing w:line="360" w:lineRule="auto"/>
        <w:ind w:firstLine="480" w:firstLineChars="200"/>
        <w:jc w:val="left"/>
        <w:rPr>
          <w:rFonts w:ascii="宋体" w:hAnsi="宋体" w:cs="宋体"/>
          <w:bCs/>
        </w:rPr>
      </w:pPr>
      <w:r>
        <w:rPr>
          <w:rFonts w:hint="eastAsia" w:ascii="宋体" w:hAnsi="宋体" w:cs="宋体"/>
          <w:bCs/>
        </w:rPr>
        <w:t>巨额赎回处理</w:t>
      </w:r>
    </w:p>
    <w:p>
      <w:pPr>
        <w:numPr>
          <w:ilvl w:val="0"/>
          <w:numId w:val="49"/>
        </w:numPr>
        <w:spacing w:line="360" w:lineRule="auto"/>
        <w:ind w:firstLine="480" w:firstLineChars="200"/>
        <w:jc w:val="left"/>
        <w:rPr>
          <w:rFonts w:hint="eastAsia" w:ascii="宋体" w:hAnsi="宋体" w:cs="宋体"/>
          <w:bCs/>
        </w:rPr>
      </w:pPr>
      <w:r>
        <w:rPr>
          <w:rFonts w:hint="eastAsia" w:ascii="宋体" w:hAnsi="宋体" w:cs="宋体"/>
          <w:bCs/>
        </w:rPr>
        <w:t>巨额赎回认定</w:t>
      </w:r>
    </w:p>
    <w:p>
      <w:pPr>
        <w:spacing w:line="360" w:lineRule="auto"/>
        <w:ind w:firstLine="480" w:firstLineChars="200"/>
        <w:jc w:val="left"/>
        <w:rPr>
          <w:rFonts w:ascii="宋体" w:hAnsi="宋体" w:cs="宋体"/>
          <w:bCs/>
        </w:rPr>
      </w:pPr>
      <w:r>
        <w:rPr>
          <w:rFonts w:hint="eastAsia" w:ascii="宋体" w:hAnsi="宋体" w:cs="宋体"/>
          <w:bCs/>
        </w:rPr>
        <w:t>理财计划存续期内，若理财计划开放日净赎回申请份额超过上一日日终理财计划总份额〖10%〗时，即构成巨额赎回。</w:t>
      </w:r>
    </w:p>
    <w:p>
      <w:pPr>
        <w:numPr>
          <w:ilvl w:val="0"/>
          <w:numId w:val="49"/>
        </w:numPr>
        <w:spacing w:line="360" w:lineRule="auto"/>
        <w:ind w:firstLine="480" w:firstLineChars="200"/>
        <w:jc w:val="left"/>
        <w:rPr>
          <w:rFonts w:ascii="宋体" w:hAnsi="宋体" w:cs="宋体"/>
          <w:bCs/>
        </w:rPr>
      </w:pPr>
      <w:r>
        <w:rPr>
          <w:rFonts w:hint="eastAsia" w:ascii="宋体" w:hAnsi="宋体" w:cs="宋体"/>
          <w:bCs/>
        </w:rPr>
        <w:t>巨额赎回处理</w:t>
      </w:r>
    </w:p>
    <w:p>
      <w:pPr>
        <w:spacing w:line="360" w:lineRule="auto"/>
        <w:ind w:firstLine="480" w:firstLineChars="200"/>
        <w:jc w:val="left"/>
        <w:rPr>
          <w:rFonts w:ascii="宋体" w:hAnsi="宋体" w:cs="宋体"/>
          <w:bCs/>
        </w:rPr>
      </w:pPr>
      <w:r>
        <w:rPr>
          <w:rFonts w:hint="eastAsia" w:ascii="宋体" w:hAnsi="宋体" w:cs="宋体"/>
          <w:bCs/>
        </w:rPr>
        <w:t>当出现巨额赎回时，管理人可以根据资产组合状况决定采取全额赎回或拒绝超出部分的赎回申请。如连续2日（含）以上开放日发生巨额赎回，对于已经接受的赎回申请，管理人可以延缓支付赎回款项，但延缓期限不得超过20个工作日。</w:t>
      </w:r>
    </w:p>
    <w:p>
      <w:pPr>
        <w:numPr>
          <w:ilvl w:val="0"/>
          <w:numId w:val="49"/>
        </w:numPr>
        <w:spacing w:line="360" w:lineRule="auto"/>
        <w:ind w:firstLine="480" w:firstLineChars="200"/>
        <w:jc w:val="left"/>
        <w:rPr>
          <w:rFonts w:ascii="宋体" w:hAnsi="宋体" w:cs="宋体"/>
          <w:bCs/>
        </w:rPr>
      </w:pPr>
      <w:r>
        <w:rPr>
          <w:rFonts w:hint="eastAsia" w:ascii="宋体" w:hAnsi="宋体" w:cs="宋体"/>
          <w:bCs/>
        </w:rPr>
        <w:t>全部赎回</w:t>
      </w:r>
    </w:p>
    <w:p>
      <w:pPr>
        <w:spacing w:line="360" w:lineRule="auto"/>
        <w:ind w:firstLine="480" w:firstLineChars="200"/>
        <w:jc w:val="left"/>
        <w:rPr>
          <w:rFonts w:ascii="宋体" w:hAnsi="宋体" w:cs="宋体"/>
          <w:bCs/>
        </w:rPr>
      </w:pPr>
      <w:r>
        <w:rPr>
          <w:rFonts w:hint="eastAsia" w:ascii="宋体" w:hAnsi="宋体" w:cs="宋体"/>
          <w:bCs/>
        </w:rPr>
        <w:t>当管理人认为全额兑付投资者的赎回申请将不会对本理财计划净值造成较大波动或给本理财计划造成重大损失时，按正常赎回程序执行。</w:t>
      </w:r>
    </w:p>
    <w:p>
      <w:pPr>
        <w:numPr>
          <w:ilvl w:val="0"/>
          <w:numId w:val="49"/>
        </w:numPr>
        <w:spacing w:line="360" w:lineRule="auto"/>
        <w:ind w:firstLine="480" w:firstLineChars="200"/>
        <w:jc w:val="left"/>
        <w:rPr>
          <w:rFonts w:ascii="宋体" w:hAnsi="宋体" w:cs="宋体"/>
          <w:bCs/>
        </w:rPr>
      </w:pPr>
      <w:r>
        <w:rPr>
          <w:rFonts w:hint="eastAsia" w:ascii="宋体" w:hAnsi="宋体" w:cs="宋体"/>
          <w:bCs/>
        </w:rPr>
        <w:t>拒绝超出部分的赎回申请</w:t>
      </w:r>
    </w:p>
    <w:p>
      <w:pPr>
        <w:spacing w:line="360" w:lineRule="auto"/>
        <w:ind w:firstLine="480" w:firstLineChars="200"/>
        <w:jc w:val="left"/>
        <w:rPr>
          <w:rFonts w:hint="eastAsia" w:ascii="宋体" w:hAnsi="宋体" w:cs="宋体"/>
          <w:bCs/>
        </w:rPr>
      </w:pPr>
      <w:r>
        <w:rPr>
          <w:rFonts w:hint="eastAsia" w:ascii="宋体" w:hAnsi="宋体" w:cs="宋体"/>
          <w:bCs/>
        </w:rPr>
        <w:t>当管理人认为全部满足投资者的赎回申请可能会对本理财计划造成重大损失或可能会对理财计划净值造成较大波动时，在当日接受赎回比例不低于理财计划上一确认日日终总份额的〖10%〗的前提下，对其余赎回申请予以拒绝，但投资者可于下一赎回开放期重新进行赎回申请。</w:t>
      </w:r>
    </w:p>
    <w:p>
      <w:pPr>
        <w:numPr>
          <w:ilvl w:val="0"/>
          <w:numId w:val="49"/>
        </w:numPr>
        <w:spacing w:line="360" w:lineRule="auto"/>
        <w:ind w:firstLine="480" w:firstLineChars="200"/>
        <w:jc w:val="left"/>
        <w:rPr>
          <w:rFonts w:ascii="宋体" w:hAnsi="宋体" w:cs="宋体"/>
          <w:bCs/>
        </w:rPr>
      </w:pPr>
      <w:r>
        <w:rPr>
          <w:rFonts w:hint="eastAsia" w:ascii="宋体" w:hAnsi="宋体" w:cs="宋体"/>
          <w:bCs/>
        </w:rPr>
        <w:t>在理财计划存续期内，管理人有权根据市场情况调整巨额赎回金额比例，并及时进行对外公告。</w:t>
      </w:r>
    </w:p>
    <w:p>
      <w:pPr>
        <w:numPr>
          <w:ilvl w:val="0"/>
          <w:numId w:val="47"/>
        </w:numPr>
        <w:spacing w:line="360" w:lineRule="auto"/>
        <w:ind w:firstLine="480" w:firstLineChars="200"/>
        <w:jc w:val="left"/>
        <w:rPr>
          <w:rFonts w:ascii="宋体" w:hAnsi="宋体" w:cs="宋体"/>
          <w:bCs/>
        </w:rPr>
      </w:pPr>
      <w:r>
        <w:rPr>
          <w:rFonts w:hint="eastAsia" w:ascii="宋体" w:hAnsi="宋体" w:cs="宋体"/>
          <w:bCs/>
        </w:rPr>
        <w:t>暂停申购、赎回及延期支付赎回的情形</w:t>
      </w:r>
    </w:p>
    <w:p>
      <w:pPr>
        <w:spacing w:line="360" w:lineRule="auto"/>
        <w:ind w:firstLine="480" w:firstLineChars="200"/>
        <w:jc w:val="left"/>
        <w:rPr>
          <w:rFonts w:hint="eastAsia" w:ascii="宋体" w:hAnsi="宋体" w:cs="宋体"/>
          <w:bCs/>
        </w:rPr>
      </w:pPr>
      <w:r>
        <w:rPr>
          <w:rFonts w:hint="eastAsia" w:ascii="宋体" w:hAnsi="宋体" w:cs="宋体"/>
          <w:bCs/>
        </w:rPr>
        <w:t>发生以下情形，管理人可暂停接受全部或部分投资者的申购申请：</w:t>
      </w:r>
    </w:p>
    <w:p>
      <w:pPr>
        <w:numPr>
          <w:ilvl w:val="0"/>
          <w:numId w:val="50"/>
        </w:numPr>
        <w:spacing w:line="360" w:lineRule="auto"/>
        <w:ind w:firstLine="480" w:firstLineChars="200"/>
        <w:jc w:val="left"/>
        <w:rPr>
          <w:rFonts w:ascii="宋体" w:hAnsi="宋体" w:cs="宋体"/>
          <w:bCs/>
        </w:rPr>
      </w:pPr>
      <w:r>
        <w:rPr>
          <w:rFonts w:hint="eastAsia" w:ascii="宋体" w:hAnsi="宋体" w:cs="宋体"/>
          <w:bCs/>
        </w:rPr>
        <w:t>理财计划资产规模过大，继续接受申购可能对理财计划业绩产生负面影响，从而损害现有份额持有人利益的情形时。</w:t>
      </w:r>
    </w:p>
    <w:p>
      <w:pPr>
        <w:numPr>
          <w:ilvl w:val="0"/>
          <w:numId w:val="50"/>
        </w:numPr>
        <w:spacing w:line="360" w:lineRule="auto"/>
        <w:ind w:firstLine="480" w:firstLineChars="200"/>
        <w:jc w:val="left"/>
        <w:rPr>
          <w:rFonts w:ascii="宋体" w:hAnsi="宋体" w:cs="宋体"/>
          <w:bCs/>
        </w:rPr>
      </w:pPr>
      <w:r>
        <w:rPr>
          <w:rFonts w:hint="eastAsia" w:ascii="宋体" w:hAnsi="宋体" w:cs="宋体"/>
          <w:bCs/>
        </w:rPr>
        <w:t>当管理人认为某笔申购申请会有损于其他份额持有人利益的情形时。</w:t>
      </w:r>
    </w:p>
    <w:p>
      <w:pPr>
        <w:numPr>
          <w:ilvl w:val="0"/>
          <w:numId w:val="50"/>
        </w:numPr>
        <w:spacing w:line="360" w:lineRule="auto"/>
        <w:ind w:firstLine="480" w:firstLineChars="200"/>
        <w:jc w:val="left"/>
        <w:rPr>
          <w:rFonts w:ascii="宋体" w:hAnsi="宋体" w:cs="宋体"/>
          <w:bCs/>
        </w:rPr>
      </w:pPr>
      <w:r>
        <w:rPr>
          <w:rFonts w:hint="eastAsia" w:ascii="宋体" w:hAnsi="宋体" w:cs="宋体"/>
          <w:bCs/>
        </w:rPr>
        <w:t>发生产品说明书约定的暂停估值的情形时。</w:t>
      </w:r>
    </w:p>
    <w:p>
      <w:pPr>
        <w:numPr>
          <w:ilvl w:val="0"/>
          <w:numId w:val="50"/>
        </w:numPr>
        <w:spacing w:line="360" w:lineRule="auto"/>
        <w:ind w:firstLine="480" w:firstLineChars="200"/>
        <w:jc w:val="left"/>
        <w:rPr>
          <w:rFonts w:ascii="宋体" w:hAnsi="宋体" w:cs="宋体"/>
          <w:bCs/>
        </w:rPr>
      </w:pPr>
      <w:r>
        <w:rPr>
          <w:rFonts w:hint="eastAsia" w:ascii="宋体" w:hAnsi="宋体" w:cs="宋体"/>
          <w:bCs/>
        </w:rPr>
        <w:t>法律法规规定或监管机构认定的其他情形。</w:t>
      </w:r>
    </w:p>
    <w:p>
      <w:pPr>
        <w:spacing w:line="360" w:lineRule="auto"/>
        <w:ind w:firstLine="480" w:firstLineChars="200"/>
        <w:jc w:val="left"/>
        <w:rPr>
          <w:rFonts w:hint="eastAsia" w:ascii="宋体" w:hAnsi="宋体" w:cs="宋体"/>
          <w:bCs/>
        </w:rPr>
      </w:pPr>
      <w:r>
        <w:rPr>
          <w:rFonts w:hint="eastAsia" w:ascii="宋体" w:hAnsi="宋体" w:cs="宋体"/>
          <w:bCs/>
        </w:rPr>
        <w:t>发生以下情形，对超出前一日终理财计划总份额10%的赎回申请，管理人可暂停接受全部或部分、延期办理投资者的赎回申请：</w:t>
      </w:r>
    </w:p>
    <w:p>
      <w:pPr>
        <w:numPr>
          <w:ilvl w:val="0"/>
          <w:numId w:val="51"/>
        </w:numPr>
        <w:spacing w:line="360" w:lineRule="auto"/>
        <w:ind w:firstLine="480" w:firstLineChars="200"/>
        <w:jc w:val="left"/>
        <w:rPr>
          <w:rFonts w:ascii="宋体" w:hAnsi="宋体" w:cs="宋体"/>
          <w:bCs/>
        </w:rPr>
      </w:pPr>
      <w:r>
        <w:rPr>
          <w:rFonts w:hint="eastAsia" w:ascii="宋体" w:hAnsi="宋体" w:cs="宋体"/>
          <w:bCs/>
        </w:rPr>
        <w:t>理财计划发生巨额赎回情形时。</w:t>
      </w:r>
    </w:p>
    <w:p>
      <w:pPr>
        <w:numPr>
          <w:ilvl w:val="0"/>
          <w:numId w:val="51"/>
        </w:numPr>
        <w:spacing w:line="360" w:lineRule="auto"/>
        <w:ind w:firstLine="480" w:firstLineChars="200"/>
        <w:jc w:val="left"/>
        <w:rPr>
          <w:rFonts w:ascii="宋体" w:hAnsi="宋体" w:cs="宋体"/>
          <w:bCs/>
        </w:rPr>
      </w:pPr>
      <w:r>
        <w:rPr>
          <w:rFonts w:hint="eastAsia" w:ascii="宋体" w:hAnsi="宋体" w:cs="宋体"/>
          <w:bCs/>
        </w:rPr>
        <w:t>当继续</w:t>
      </w:r>
      <w:r>
        <w:rPr>
          <w:rFonts w:ascii="宋体" w:hAnsi="宋体" w:cs="宋体"/>
          <w:bCs/>
        </w:rPr>
        <w:t>接受赎回申请将损害存量投资者利益的情形</w:t>
      </w:r>
      <w:r>
        <w:rPr>
          <w:rFonts w:hint="eastAsia" w:ascii="宋体" w:hAnsi="宋体" w:cs="宋体"/>
          <w:bCs/>
        </w:rPr>
        <w:t>时。</w:t>
      </w:r>
    </w:p>
    <w:p>
      <w:pPr>
        <w:numPr>
          <w:ilvl w:val="0"/>
          <w:numId w:val="51"/>
        </w:numPr>
        <w:spacing w:line="360" w:lineRule="auto"/>
        <w:ind w:firstLine="480" w:firstLineChars="200"/>
        <w:jc w:val="left"/>
        <w:rPr>
          <w:rFonts w:ascii="宋体" w:hAnsi="宋体" w:cs="宋体"/>
          <w:bCs/>
        </w:rPr>
      </w:pPr>
      <w:r>
        <w:rPr>
          <w:rFonts w:hint="eastAsia" w:ascii="宋体" w:hAnsi="宋体" w:cs="宋体"/>
          <w:bCs/>
        </w:rPr>
        <w:t>当</w:t>
      </w:r>
      <w:r>
        <w:rPr>
          <w:rFonts w:ascii="宋体" w:hAnsi="宋体" w:cs="宋体"/>
          <w:bCs/>
        </w:rPr>
        <w:t>前一估值日</w:t>
      </w:r>
      <w:r>
        <w:rPr>
          <w:rFonts w:hint="eastAsia" w:ascii="宋体" w:hAnsi="宋体" w:cs="宋体"/>
          <w:bCs/>
        </w:rPr>
        <w:t>理财计划</w:t>
      </w:r>
      <w:r>
        <w:rPr>
          <w:rFonts w:ascii="宋体" w:hAnsi="宋体" w:cs="宋体"/>
          <w:bCs/>
        </w:rPr>
        <w:t>资产净值50%以上的资产不具备活跃交易市场或者在活跃市场中无报价，且不能采用估值技术可靠计量公允价值</w:t>
      </w:r>
      <w:r>
        <w:rPr>
          <w:rFonts w:hint="eastAsia" w:ascii="宋体" w:hAnsi="宋体" w:cs="宋体"/>
          <w:bCs/>
        </w:rPr>
        <w:t>的情形</w:t>
      </w:r>
      <w:r>
        <w:rPr>
          <w:rFonts w:ascii="宋体" w:hAnsi="宋体" w:cs="宋体"/>
          <w:bCs/>
        </w:rPr>
        <w:t>时</w:t>
      </w:r>
      <w:r>
        <w:rPr>
          <w:rFonts w:hint="eastAsia" w:ascii="宋体" w:hAnsi="宋体" w:cs="宋体"/>
          <w:bCs/>
        </w:rPr>
        <w:t>。</w:t>
      </w:r>
    </w:p>
    <w:p>
      <w:pPr>
        <w:numPr>
          <w:ilvl w:val="0"/>
          <w:numId w:val="51"/>
        </w:numPr>
        <w:spacing w:line="360" w:lineRule="auto"/>
        <w:ind w:firstLine="480" w:firstLineChars="200"/>
        <w:jc w:val="left"/>
        <w:rPr>
          <w:rFonts w:ascii="宋体" w:hAnsi="宋体" w:cs="宋体"/>
          <w:bCs/>
        </w:rPr>
      </w:pPr>
      <w:r>
        <w:rPr>
          <w:rFonts w:hint="eastAsia" w:ascii="宋体" w:hAnsi="宋体" w:cs="宋体"/>
          <w:bCs/>
        </w:rPr>
        <w:t>发生产品说明书约定的暂停估值的情形时。</w:t>
      </w:r>
    </w:p>
    <w:p>
      <w:pPr>
        <w:numPr>
          <w:ilvl w:val="0"/>
          <w:numId w:val="51"/>
        </w:numPr>
        <w:spacing w:line="360" w:lineRule="auto"/>
        <w:ind w:firstLine="480" w:firstLineChars="200"/>
        <w:jc w:val="left"/>
        <w:rPr>
          <w:rFonts w:ascii="宋体" w:hAnsi="宋体" w:cs="宋体"/>
          <w:bCs/>
        </w:rPr>
      </w:pPr>
      <w:r>
        <w:rPr>
          <w:rFonts w:hint="eastAsia" w:ascii="宋体" w:hAnsi="宋体" w:cs="宋体"/>
          <w:bCs/>
        </w:rPr>
        <w:t>法律法规规定或监管机构认定的其他情形。</w:t>
      </w:r>
    </w:p>
    <w:p>
      <w:pPr>
        <w:spacing w:line="360" w:lineRule="auto"/>
        <w:ind w:firstLine="480" w:firstLineChars="200"/>
        <w:jc w:val="left"/>
        <w:rPr>
          <w:rFonts w:hint="eastAsia" w:ascii="宋体" w:hAnsi="宋体" w:cs="宋体"/>
          <w:bCs/>
        </w:rPr>
      </w:pPr>
      <w:r>
        <w:rPr>
          <w:rFonts w:hint="eastAsia" w:ascii="宋体" w:hAnsi="宋体" w:cs="宋体"/>
          <w:bCs/>
        </w:rPr>
        <w:t>发生以下情形，管理人对已接受的赎回申请，可延期支付赎回款项：</w:t>
      </w:r>
    </w:p>
    <w:p>
      <w:pPr>
        <w:numPr>
          <w:ilvl w:val="0"/>
          <w:numId w:val="52"/>
        </w:numPr>
        <w:spacing w:line="360" w:lineRule="auto"/>
        <w:ind w:firstLine="480" w:firstLineChars="200"/>
        <w:jc w:val="left"/>
        <w:rPr>
          <w:rFonts w:ascii="宋体" w:hAnsi="宋体" w:cs="宋体"/>
          <w:bCs/>
        </w:rPr>
      </w:pPr>
      <w:r>
        <w:rPr>
          <w:rFonts w:hint="eastAsia" w:ascii="宋体" w:hAnsi="宋体" w:cs="宋体"/>
          <w:bCs/>
        </w:rPr>
        <w:t>因不可抗力等原因，导致管理人接受赎回申请后无法及时兑付的情形时。</w:t>
      </w:r>
    </w:p>
    <w:p>
      <w:pPr>
        <w:numPr>
          <w:ilvl w:val="0"/>
          <w:numId w:val="52"/>
        </w:numPr>
        <w:spacing w:line="360" w:lineRule="auto"/>
        <w:ind w:firstLine="480" w:firstLineChars="200"/>
        <w:jc w:val="left"/>
        <w:rPr>
          <w:rFonts w:ascii="宋体" w:hAnsi="宋体" w:cs="宋体"/>
          <w:bCs/>
        </w:rPr>
      </w:pPr>
      <w:r>
        <w:rPr>
          <w:rFonts w:hint="eastAsia" w:ascii="宋体" w:hAnsi="宋体" w:cs="宋体"/>
          <w:bCs/>
        </w:rPr>
        <w:t>连续</w:t>
      </w:r>
      <w:r>
        <w:rPr>
          <w:rFonts w:ascii="宋体" w:hAnsi="宋体" w:cs="宋体"/>
          <w:bCs/>
        </w:rPr>
        <w:t>2</w:t>
      </w:r>
      <w:r>
        <w:rPr>
          <w:rFonts w:hint="eastAsia" w:ascii="宋体" w:hAnsi="宋体" w:cs="宋体"/>
          <w:bCs/>
        </w:rPr>
        <w:t>日</w:t>
      </w:r>
      <w:r>
        <w:rPr>
          <w:rFonts w:ascii="宋体" w:hAnsi="宋体" w:cs="宋体"/>
          <w:bCs/>
        </w:rPr>
        <w:t>（含）以上开放日发生巨额赎回的</w:t>
      </w:r>
      <w:r>
        <w:rPr>
          <w:rFonts w:hint="eastAsia" w:ascii="宋体" w:hAnsi="宋体" w:cs="宋体"/>
          <w:bCs/>
        </w:rPr>
        <w:t>情形时。</w:t>
      </w:r>
    </w:p>
    <w:p>
      <w:pPr>
        <w:numPr>
          <w:ilvl w:val="0"/>
          <w:numId w:val="52"/>
        </w:numPr>
        <w:spacing w:line="360" w:lineRule="auto"/>
        <w:ind w:firstLine="480" w:firstLineChars="200"/>
        <w:jc w:val="left"/>
        <w:rPr>
          <w:rFonts w:ascii="宋体" w:hAnsi="宋体" w:cs="宋体"/>
          <w:bCs/>
        </w:rPr>
      </w:pPr>
      <w:r>
        <w:rPr>
          <w:rFonts w:hint="eastAsia" w:ascii="宋体" w:hAnsi="宋体" w:cs="宋体"/>
          <w:bCs/>
        </w:rPr>
        <w:t>当前</w:t>
      </w:r>
      <w:r>
        <w:rPr>
          <w:rFonts w:ascii="宋体" w:hAnsi="宋体" w:cs="宋体"/>
          <w:bCs/>
        </w:rPr>
        <w:t>一估值日</w:t>
      </w:r>
      <w:r>
        <w:rPr>
          <w:rFonts w:hint="eastAsia" w:ascii="宋体" w:hAnsi="宋体" w:cs="宋体"/>
          <w:bCs/>
        </w:rPr>
        <w:t>理财计划</w:t>
      </w:r>
      <w:r>
        <w:rPr>
          <w:rFonts w:ascii="宋体" w:hAnsi="宋体" w:cs="宋体"/>
          <w:bCs/>
        </w:rPr>
        <w:t>资产净值50%以上的资产不具备活跃交易市场或者在活跃市场中无报价，且不能采用估值技术可靠计量公允价值</w:t>
      </w:r>
      <w:r>
        <w:rPr>
          <w:rFonts w:hint="eastAsia" w:ascii="宋体" w:hAnsi="宋体" w:cs="宋体"/>
          <w:bCs/>
        </w:rPr>
        <w:t>的情形</w:t>
      </w:r>
      <w:r>
        <w:rPr>
          <w:rFonts w:ascii="宋体" w:hAnsi="宋体" w:cs="宋体"/>
          <w:bCs/>
        </w:rPr>
        <w:t>时</w:t>
      </w:r>
      <w:r>
        <w:rPr>
          <w:rFonts w:hint="eastAsia" w:ascii="宋体" w:hAnsi="宋体" w:cs="宋体"/>
          <w:bCs/>
        </w:rPr>
        <w:t>。</w:t>
      </w:r>
    </w:p>
    <w:p>
      <w:pPr>
        <w:numPr>
          <w:ilvl w:val="0"/>
          <w:numId w:val="52"/>
        </w:numPr>
        <w:spacing w:line="360" w:lineRule="auto"/>
        <w:ind w:firstLine="480" w:firstLineChars="200"/>
        <w:jc w:val="left"/>
        <w:rPr>
          <w:rFonts w:ascii="宋体" w:hAnsi="宋体" w:cs="宋体"/>
          <w:bCs/>
        </w:rPr>
      </w:pPr>
      <w:r>
        <w:rPr>
          <w:rFonts w:hint="eastAsia" w:ascii="宋体" w:hAnsi="宋体" w:cs="宋体"/>
          <w:bCs/>
        </w:rPr>
        <w:t>法律法规规定或监管机构认定的其他情形。</w:t>
      </w:r>
    </w:p>
    <w:p>
      <w:pPr>
        <w:numPr>
          <w:ilvl w:val="0"/>
          <w:numId w:val="44"/>
        </w:numPr>
        <w:spacing w:line="360" w:lineRule="auto"/>
        <w:ind w:firstLine="482" w:firstLineChars="200"/>
        <w:jc w:val="left"/>
        <w:outlineLvl w:val="2"/>
        <w:rPr>
          <w:rFonts w:hint="eastAsia" w:ascii="宋体" w:hAnsi="宋体" w:cs="宋体"/>
          <w:b/>
        </w:rPr>
      </w:pPr>
      <w:r>
        <w:rPr>
          <w:rFonts w:hint="eastAsia" w:ascii="宋体" w:hAnsi="宋体" w:cs="宋体"/>
          <w:b/>
        </w:rPr>
        <w:t>到期清算</w:t>
      </w:r>
    </w:p>
    <w:p>
      <w:pPr>
        <w:spacing w:line="360" w:lineRule="auto"/>
        <w:ind w:firstLine="480" w:firstLineChars="200"/>
        <w:jc w:val="left"/>
        <w:rPr>
          <w:rFonts w:ascii="宋体" w:hAnsi="宋体" w:cs="宋体"/>
          <w:bCs/>
        </w:rPr>
      </w:pPr>
      <w:r>
        <w:rPr>
          <w:rFonts w:hint="eastAsia" w:ascii="宋体" w:hAnsi="宋体" w:cs="宋体"/>
          <w:bCs/>
        </w:rPr>
        <w:t>正常到期清算：本理财计划终止后，管理人将按照清算后的资产净值按持有份额比例对投资者进行分配，并通过销售机构最快〖1〗个工作日内（遇节假日顺延）将资金按规定的要求划入投资者授权指定的理财账户。</w:t>
      </w:r>
      <w:r>
        <w:rPr>
          <w:rFonts w:hint="eastAsia" w:ascii="宋体" w:hAnsi="宋体" w:cs="宋体"/>
          <w:color w:val="000000"/>
          <w:kern w:val="0"/>
        </w:rPr>
        <w:t>（具体以销售机构规定为准）</w:t>
      </w:r>
    </w:p>
    <w:p>
      <w:pPr>
        <w:numPr>
          <w:ilvl w:val="0"/>
          <w:numId w:val="44"/>
        </w:numPr>
        <w:spacing w:line="360" w:lineRule="auto"/>
        <w:ind w:firstLine="482" w:firstLineChars="200"/>
        <w:jc w:val="left"/>
        <w:outlineLvl w:val="2"/>
        <w:rPr>
          <w:rFonts w:hint="eastAsia" w:ascii="宋体" w:hAnsi="宋体" w:cs="宋体"/>
          <w:b/>
        </w:rPr>
      </w:pPr>
      <w:r>
        <w:rPr>
          <w:rFonts w:hint="eastAsia" w:ascii="宋体" w:hAnsi="宋体" w:cs="宋体"/>
          <w:b/>
        </w:rPr>
        <w:t>提前终止</w:t>
      </w:r>
    </w:p>
    <w:p>
      <w:pPr>
        <w:spacing w:line="360" w:lineRule="auto"/>
        <w:ind w:firstLine="480" w:firstLineChars="200"/>
        <w:jc w:val="left"/>
        <w:rPr>
          <w:rFonts w:hint="eastAsia" w:ascii="宋体" w:hAnsi="宋体" w:cs="宋体"/>
          <w:bCs/>
        </w:rPr>
      </w:pPr>
      <w:r>
        <w:rPr>
          <w:rFonts w:hint="eastAsia" w:ascii="宋体" w:hAnsi="宋体" w:cs="宋体"/>
          <w:bCs/>
        </w:rPr>
        <w:t>在理财计划期限内，管理人根据投资情况有提前终止权，于本理财计划提前终止日前</w:t>
      </w:r>
      <w:r>
        <w:rPr>
          <w:rFonts w:hint="eastAsia" w:ascii="宋体" w:hAnsi="宋体" w:cs="宋体"/>
        </w:rPr>
        <w:t>〖</w:t>
      </w:r>
      <w:r>
        <w:rPr>
          <w:rFonts w:hint="eastAsia" w:ascii="宋体" w:hAnsi="宋体" w:cs="宋体"/>
          <w:bCs/>
        </w:rPr>
        <w:t>2</w:t>
      </w:r>
      <w:r>
        <w:rPr>
          <w:rFonts w:hint="eastAsia" w:ascii="宋体" w:hAnsi="宋体" w:cs="宋体"/>
          <w:bCs/>
          <w:color w:val="000000"/>
        </w:rPr>
        <w:t>〗</w:t>
      </w:r>
      <w:r>
        <w:rPr>
          <w:rFonts w:hint="eastAsia" w:ascii="宋体" w:hAnsi="宋体" w:cs="宋体"/>
          <w:bCs/>
        </w:rPr>
        <w:t>个工作日通过管理人或销售机构发布提前终止公告，并于终止日后</w:t>
      </w:r>
      <w:r>
        <w:rPr>
          <w:rFonts w:hint="eastAsia" w:ascii="宋体" w:hAnsi="宋体" w:cs="宋体"/>
        </w:rPr>
        <w:t>〖</w:t>
      </w:r>
      <w:r>
        <w:rPr>
          <w:rFonts w:hint="eastAsia" w:ascii="宋体" w:hAnsi="宋体" w:cs="宋体"/>
          <w:szCs w:val="21"/>
        </w:rPr>
        <w:t>3</w:t>
      </w:r>
      <w:r>
        <w:rPr>
          <w:rFonts w:hint="eastAsia" w:ascii="宋体" w:hAnsi="宋体" w:cs="宋体"/>
          <w:bCs/>
          <w:color w:val="000000"/>
        </w:rPr>
        <w:t>〗</w:t>
      </w:r>
      <w:r>
        <w:rPr>
          <w:rFonts w:hint="eastAsia" w:ascii="宋体" w:hAnsi="宋体" w:cs="宋体"/>
          <w:bCs/>
        </w:rPr>
        <w:t>个工作日内将可兑付款项按规定的要求划入投资者授权指定的理财账户。终止日至资金实际到账日之间，投资者资金不计息。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rPr>
      </w:pPr>
      <w:r>
        <w:rPr>
          <w:rFonts w:hint="eastAsia" w:ascii="宋体" w:hAnsi="宋体" w:cs="宋体"/>
          <w:b/>
        </w:rPr>
        <w:t>如发生以下事项时，管理人可对本理财计划行使全部或部分提前终止权：</w:t>
      </w:r>
    </w:p>
    <w:p>
      <w:pPr>
        <w:numPr>
          <w:ilvl w:val="0"/>
          <w:numId w:val="53"/>
        </w:numPr>
        <w:spacing w:line="360" w:lineRule="auto"/>
        <w:ind w:firstLine="482" w:firstLineChars="200"/>
        <w:jc w:val="left"/>
        <w:rPr>
          <w:rFonts w:ascii="宋体" w:hAnsi="宋体" w:cs="宋体"/>
          <w:b/>
        </w:rPr>
      </w:pPr>
      <w:r>
        <w:rPr>
          <w:rFonts w:hint="eastAsia" w:ascii="宋体" w:hAnsi="宋体" w:cs="宋体"/>
          <w:b/>
        </w:rPr>
        <w:t>如因本理财计划资产运作模式等与法律法规、规章的规定或者监管部门的要求等存在冲突导致理财计划必须提前终止的。</w:t>
      </w:r>
    </w:p>
    <w:p>
      <w:pPr>
        <w:numPr>
          <w:ilvl w:val="0"/>
          <w:numId w:val="53"/>
        </w:numPr>
        <w:spacing w:line="360" w:lineRule="auto"/>
        <w:ind w:firstLine="482" w:firstLineChars="200"/>
        <w:jc w:val="left"/>
        <w:rPr>
          <w:rFonts w:ascii="宋体" w:hAnsi="宋体" w:cs="宋体"/>
          <w:b/>
        </w:rPr>
      </w:pPr>
      <w:r>
        <w:rPr>
          <w:rFonts w:hint="eastAsia" w:ascii="宋体" w:hAnsi="宋体" w:cs="宋体"/>
          <w:b/>
        </w:rPr>
        <w:t>国家有关法律、法规、规章、政策的改变、紧急措施的出台、理财市场环境发生重大变化等导致理财计划必须提前终止的。</w:t>
      </w:r>
    </w:p>
    <w:p>
      <w:pPr>
        <w:numPr>
          <w:ilvl w:val="0"/>
          <w:numId w:val="53"/>
        </w:numPr>
        <w:spacing w:line="360" w:lineRule="auto"/>
        <w:ind w:firstLine="482" w:firstLineChars="200"/>
        <w:jc w:val="left"/>
        <w:rPr>
          <w:rFonts w:ascii="宋体" w:hAnsi="宋体" w:cs="宋体"/>
          <w:b/>
        </w:rPr>
      </w:pPr>
      <w:r>
        <w:rPr>
          <w:rFonts w:hint="eastAsia" w:ascii="宋体" w:hAnsi="宋体" w:cs="宋体"/>
          <w:b/>
        </w:rPr>
        <w:t>因不可抗力因素导致本理财计划必须提前终止的。</w:t>
      </w:r>
    </w:p>
    <w:p>
      <w:pPr>
        <w:numPr>
          <w:ilvl w:val="0"/>
          <w:numId w:val="53"/>
        </w:numPr>
        <w:spacing w:line="360" w:lineRule="auto"/>
        <w:ind w:firstLine="482" w:firstLineChars="200"/>
        <w:jc w:val="left"/>
        <w:rPr>
          <w:rFonts w:ascii="宋体" w:hAnsi="宋体" w:cs="宋体"/>
          <w:b/>
        </w:rPr>
      </w:pPr>
      <w:r>
        <w:rPr>
          <w:rFonts w:hint="eastAsia" w:ascii="宋体" w:hAnsi="宋体" w:cs="宋体"/>
          <w:b/>
        </w:rPr>
        <w:t>理财计划的投资策略已不适合当前的市场环境的。</w:t>
      </w:r>
    </w:p>
    <w:p>
      <w:pPr>
        <w:numPr>
          <w:ilvl w:val="0"/>
          <w:numId w:val="53"/>
        </w:numPr>
        <w:spacing w:line="360" w:lineRule="auto"/>
        <w:ind w:firstLine="482" w:firstLineChars="200"/>
        <w:jc w:val="left"/>
        <w:rPr>
          <w:rFonts w:ascii="宋体" w:hAnsi="宋体" w:cs="宋体"/>
          <w:b/>
        </w:rPr>
      </w:pPr>
      <w:r>
        <w:rPr>
          <w:rFonts w:hint="eastAsia" w:ascii="宋体" w:hAnsi="宋体" w:cs="宋体"/>
          <w:b/>
        </w:rPr>
        <w:t>市场收益率大幅波动，可能或实质影响理财计划投资收益的。</w:t>
      </w:r>
    </w:p>
    <w:p>
      <w:pPr>
        <w:numPr>
          <w:ilvl w:val="0"/>
          <w:numId w:val="53"/>
        </w:numPr>
        <w:spacing w:line="360" w:lineRule="auto"/>
        <w:ind w:firstLine="482" w:firstLineChars="200"/>
        <w:jc w:val="left"/>
        <w:rPr>
          <w:rFonts w:ascii="宋体" w:hAnsi="宋体" w:cs="宋体"/>
          <w:b/>
        </w:rPr>
      </w:pPr>
      <w:r>
        <w:rPr>
          <w:rFonts w:hint="eastAsia" w:ascii="宋体" w:hAnsi="宋体" w:cs="宋体"/>
          <w:b/>
        </w:rPr>
        <w:t>融资人行使提前到期或还款权利的。</w:t>
      </w:r>
    </w:p>
    <w:p>
      <w:pPr>
        <w:numPr>
          <w:ilvl w:val="0"/>
          <w:numId w:val="53"/>
        </w:numPr>
        <w:spacing w:line="360" w:lineRule="auto"/>
        <w:ind w:firstLine="482" w:firstLineChars="200"/>
        <w:jc w:val="left"/>
        <w:rPr>
          <w:rFonts w:ascii="宋体" w:hAnsi="宋体" w:cs="宋体"/>
          <w:b/>
        </w:rPr>
      </w:pPr>
      <w:r>
        <w:rPr>
          <w:rFonts w:hint="eastAsia" w:ascii="宋体" w:hAnsi="宋体" w:cs="宋体"/>
          <w:b/>
        </w:rPr>
        <w:t>管理人认为应该提前终止的其他情形。</w:t>
      </w:r>
    </w:p>
    <w:p>
      <w:pPr>
        <w:numPr>
          <w:ilvl w:val="0"/>
          <w:numId w:val="44"/>
        </w:numPr>
        <w:spacing w:line="360" w:lineRule="auto"/>
        <w:ind w:firstLine="482" w:firstLineChars="200"/>
        <w:jc w:val="left"/>
        <w:outlineLvl w:val="2"/>
        <w:rPr>
          <w:rFonts w:hint="eastAsia" w:ascii="宋体" w:hAnsi="宋体" w:cs="宋体"/>
          <w:b/>
        </w:rPr>
      </w:pPr>
      <w:r>
        <w:rPr>
          <w:rFonts w:hint="eastAsia" w:ascii="宋体" w:hAnsi="宋体" w:cs="宋体"/>
          <w:b/>
        </w:rPr>
        <w:t>延期</w:t>
      </w:r>
    </w:p>
    <w:p>
      <w:pPr>
        <w:spacing w:line="360" w:lineRule="auto"/>
        <w:ind w:firstLine="480" w:firstLineChars="200"/>
        <w:jc w:val="left"/>
        <w:rPr>
          <w:rFonts w:hint="eastAsia" w:ascii="宋体" w:hAnsi="宋体" w:cs="宋体"/>
          <w:bCs/>
        </w:rPr>
      </w:pPr>
      <w:r>
        <w:rPr>
          <w:rFonts w:hint="eastAsia" w:ascii="宋体" w:hAnsi="宋体" w:cs="宋体"/>
          <w:bCs/>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54"/>
        </w:numPr>
        <w:spacing w:line="360" w:lineRule="auto"/>
        <w:ind w:firstLine="482" w:firstLineChars="200"/>
        <w:jc w:val="left"/>
        <w:rPr>
          <w:rFonts w:ascii="宋体" w:hAnsi="宋体" w:cs="宋体"/>
          <w:b/>
        </w:rPr>
      </w:pPr>
      <w:r>
        <w:rPr>
          <w:rFonts w:hint="eastAsia" w:ascii="宋体" w:hAnsi="宋体" w:cs="宋体"/>
          <w:b/>
        </w:rPr>
        <w:t>预计在理财计划预计到期日，理财计划资产因市场风险、信用风险等原因无法全部变现。</w:t>
      </w:r>
    </w:p>
    <w:p>
      <w:pPr>
        <w:numPr>
          <w:ilvl w:val="0"/>
          <w:numId w:val="54"/>
        </w:numPr>
        <w:spacing w:line="360" w:lineRule="auto"/>
        <w:ind w:firstLine="482" w:firstLineChars="200"/>
        <w:jc w:val="left"/>
        <w:rPr>
          <w:rFonts w:ascii="宋体" w:hAnsi="宋体" w:cs="宋体"/>
          <w:b/>
        </w:rPr>
      </w:pPr>
      <w:r>
        <w:rPr>
          <w:rFonts w:hint="eastAsia" w:ascii="宋体" w:hAnsi="宋体" w:cs="宋体"/>
          <w:b/>
        </w:rPr>
        <w:t>预计理财计划所投资的信托计划、资管计划、私募基金的受托人或管理人不能按时向管理人划付理财计划的本金和收益。</w:t>
      </w:r>
    </w:p>
    <w:p>
      <w:pPr>
        <w:numPr>
          <w:ilvl w:val="0"/>
          <w:numId w:val="54"/>
        </w:numPr>
        <w:spacing w:line="360" w:lineRule="auto"/>
        <w:ind w:firstLine="482" w:firstLineChars="200"/>
        <w:jc w:val="left"/>
        <w:rPr>
          <w:rFonts w:ascii="宋体" w:hAnsi="宋体" w:cs="宋体"/>
          <w:b/>
        </w:rPr>
      </w:pPr>
      <w:r>
        <w:rPr>
          <w:rFonts w:hint="eastAsia" w:ascii="宋体" w:hAnsi="宋体" w:cs="宋体"/>
          <w:b/>
        </w:rPr>
        <w:t>理财计划财产涉及诉讼或仲裁，且预计诉讼或仲裁执行程序于理财计划到期日尚未终结。</w:t>
      </w:r>
    </w:p>
    <w:p>
      <w:pPr>
        <w:numPr>
          <w:ilvl w:val="0"/>
          <w:numId w:val="54"/>
        </w:numPr>
        <w:spacing w:line="360" w:lineRule="auto"/>
        <w:ind w:firstLine="482" w:firstLineChars="200"/>
        <w:jc w:val="left"/>
        <w:rPr>
          <w:rFonts w:ascii="宋体" w:hAnsi="宋体" w:cs="宋体"/>
          <w:b/>
        </w:rPr>
      </w:pPr>
      <w:r>
        <w:rPr>
          <w:rFonts w:hint="eastAsia" w:ascii="宋体" w:hAnsi="宋体" w:cs="宋体"/>
          <w:b/>
        </w:rPr>
        <w:t>管理人与托管人、销售机构协商一致决定延期。</w:t>
      </w:r>
    </w:p>
    <w:p>
      <w:pPr>
        <w:numPr>
          <w:ilvl w:val="0"/>
          <w:numId w:val="54"/>
        </w:numPr>
        <w:spacing w:line="360" w:lineRule="auto"/>
        <w:ind w:firstLine="482" w:firstLineChars="200"/>
        <w:jc w:val="left"/>
        <w:rPr>
          <w:rFonts w:ascii="宋体" w:hAnsi="宋体" w:cs="宋体"/>
          <w:b/>
        </w:rPr>
      </w:pPr>
      <w:r>
        <w:rPr>
          <w:rFonts w:hint="eastAsia" w:ascii="宋体" w:hAnsi="宋体" w:cs="宋体"/>
          <w:b/>
        </w:rPr>
        <w:t>法律法规规定的或管理人认为有必要延期的其他情形。</w:t>
      </w:r>
    </w:p>
    <w:p>
      <w:pPr>
        <w:spacing w:line="360" w:lineRule="auto"/>
        <w:jc w:val="left"/>
        <w:rPr>
          <w:rFonts w:ascii="宋体" w:hAnsi="宋体" w:cs="宋体"/>
          <w:b/>
        </w:rPr>
      </w:pPr>
    </w:p>
    <w:p>
      <w:pPr>
        <w:numPr>
          <w:ilvl w:val="0"/>
          <w:numId w:val="28"/>
        </w:numPr>
        <w:spacing w:line="360" w:lineRule="auto"/>
        <w:ind w:firstLine="482" w:firstLineChars="200"/>
        <w:jc w:val="left"/>
        <w:outlineLvl w:val="1"/>
        <w:rPr>
          <w:rFonts w:hint="eastAsia" w:ascii="宋体" w:hAnsi="宋体" w:cs="宋体"/>
          <w:b/>
        </w:rPr>
      </w:pPr>
      <w:r>
        <w:rPr>
          <w:rFonts w:hint="eastAsia" w:ascii="宋体" w:hAnsi="宋体" w:cs="宋体"/>
          <w:b/>
        </w:rPr>
        <w:t>信息披露</w:t>
      </w:r>
    </w:p>
    <w:p>
      <w:pPr>
        <w:numPr>
          <w:ilvl w:val="0"/>
          <w:numId w:val="55"/>
        </w:numPr>
        <w:spacing w:line="360" w:lineRule="auto"/>
        <w:ind w:firstLine="482" w:firstLineChars="200"/>
        <w:jc w:val="left"/>
        <w:outlineLvl w:val="2"/>
        <w:rPr>
          <w:rFonts w:hint="eastAsia" w:ascii="宋体" w:hAnsi="宋体" w:cs="宋体"/>
          <w:b/>
        </w:rPr>
      </w:pPr>
      <w:r>
        <w:rPr>
          <w:rFonts w:hint="eastAsia" w:ascii="宋体" w:hAnsi="宋体" w:cs="宋体"/>
          <w:b/>
        </w:rPr>
        <w:t>披露内容及时间</w:t>
      </w:r>
    </w:p>
    <w:p>
      <w:pPr>
        <w:numPr>
          <w:ilvl w:val="0"/>
          <w:numId w:val="56"/>
        </w:numPr>
        <w:spacing w:line="360" w:lineRule="auto"/>
        <w:ind w:firstLine="482" w:firstLineChars="200"/>
        <w:jc w:val="left"/>
        <w:rPr>
          <w:rFonts w:hint="eastAsia" w:ascii="宋体" w:hAnsi="宋体" w:cs="宋体"/>
          <w:b/>
        </w:rPr>
      </w:pPr>
      <w:r>
        <w:rPr>
          <w:rFonts w:hint="eastAsia" w:ascii="宋体" w:hAnsi="宋体" w:cs="宋体"/>
          <w:b/>
        </w:rPr>
        <w:t>认购信息披露</w:t>
      </w:r>
    </w:p>
    <w:p>
      <w:pPr>
        <w:numPr>
          <w:ilvl w:val="0"/>
          <w:numId w:val="57"/>
        </w:numPr>
        <w:spacing w:line="360" w:lineRule="auto"/>
        <w:ind w:firstLine="480" w:firstLineChars="200"/>
        <w:rPr>
          <w:rFonts w:hint="eastAsia" w:ascii="宋体" w:hAnsi="宋体" w:cs="宋体"/>
          <w:bCs/>
          <w:color w:val="000000"/>
        </w:rPr>
      </w:pPr>
      <w:r>
        <w:rPr>
          <w:rFonts w:hint="eastAsia" w:ascii="宋体" w:hAnsi="宋体" w:cs="宋体"/>
          <w:bCs/>
          <w:color w:val="000000"/>
        </w:rPr>
        <w:t>理财计划合同：管理人应在正式办理理财计划份额认购前披露，包括但不限于理财计划风险揭示书、理财计划产品说明书、投资者权益须知、理财计划投资协议书以及理财计划销售协议书。</w:t>
      </w:r>
    </w:p>
    <w:p>
      <w:pPr>
        <w:numPr>
          <w:ilvl w:val="0"/>
          <w:numId w:val="57"/>
        </w:numPr>
        <w:spacing w:line="360" w:lineRule="auto"/>
        <w:ind w:firstLine="480" w:firstLineChars="200"/>
        <w:rPr>
          <w:rFonts w:ascii="宋体" w:hAnsi="宋体" w:cs="宋体"/>
          <w:bCs/>
          <w:color w:val="000000"/>
        </w:rPr>
      </w:pPr>
      <w:r>
        <w:rPr>
          <w:rFonts w:hint="eastAsia" w:ascii="宋体" w:hAnsi="宋体" w:cs="宋体"/>
          <w:bCs/>
          <w:color w:val="000000"/>
        </w:rPr>
        <w:t>发行公告：管理人应在理财计划成立日后5个工作日内披露，包括成立日期、募集规模等信息。</w:t>
      </w:r>
    </w:p>
    <w:p>
      <w:pPr>
        <w:numPr>
          <w:ilvl w:val="0"/>
          <w:numId w:val="56"/>
        </w:numPr>
        <w:spacing w:line="360" w:lineRule="auto"/>
        <w:ind w:firstLine="482" w:firstLineChars="200"/>
        <w:jc w:val="left"/>
        <w:rPr>
          <w:rFonts w:hint="eastAsia" w:ascii="宋体" w:hAnsi="宋体" w:cs="宋体"/>
          <w:b/>
        </w:rPr>
      </w:pPr>
      <w:r>
        <w:rPr>
          <w:rFonts w:hint="eastAsia" w:ascii="宋体" w:hAnsi="宋体" w:cs="宋体"/>
          <w:b/>
        </w:rPr>
        <w:t>运作信息披露</w:t>
      </w:r>
    </w:p>
    <w:p>
      <w:pPr>
        <w:numPr>
          <w:ilvl w:val="0"/>
          <w:numId w:val="58"/>
        </w:numPr>
        <w:spacing w:line="360" w:lineRule="auto"/>
        <w:ind w:firstLine="480" w:firstLineChars="200"/>
        <w:rPr>
          <w:rFonts w:hint="eastAsia" w:ascii="宋体" w:hAnsi="宋体" w:cs="宋体"/>
          <w:bCs/>
          <w:color w:val="000000"/>
        </w:rPr>
      </w:pPr>
      <w:r>
        <w:rPr>
          <w:rFonts w:hint="eastAsia" w:ascii="宋体" w:hAnsi="宋体" w:cs="宋体"/>
          <w:bCs/>
          <w:color w:val="000000"/>
        </w:rPr>
        <w:t>当日每万份理财产品收益：管理人将根据产品实际投资运作情况计算产品存续期内每个产品开放日的当日每万份理财产品收益，并于下一产品开放日公布。非产品开放日的每万份理财产品收益将于下一产品开放日公布。</w:t>
      </w:r>
    </w:p>
    <w:p>
      <w:pPr>
        <w:numPr>
          <w:ilvl w:val="0"/>
          <w:numId w:val="58"/>
        </w:numPr>
        <w:spacing w:line="360" w:lineRule="auto"/>
        <w:ind w:firstLine="480"/>
        <w:rPr>
          <w:rFonts w:hint="eastAsia" w:ascii="宋体" w:hAnsi="宋体" w:cs="宋体"/>
          <w:b/>
        </w:rPr>
      </w:pPr>
      <w:r>
        <w:rPr>
          <w:rFonts w:hint="eastAsia" w:ascii="宋体" w:hAnsi="宋体" w:cs="宋体"/>
          <w:bCs/>
          <w:color w:val="000000"/>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如本理财计划成立不足90个工作日或剩余存续期不超过90个工作日的，管理人可不编制当期的季度、半年和年度报告等运行报告。</w:t>
      </w:r>
    </w:p>
    <w:p>
      <w:pPr>
        <w:numPr>
          <w:ilvl w:val="0"/>
          <w:numId w:val="58"/>
        </w:numPr>
        <w:spacing w:line="360" w:lineRule="auto"/>
        <w:ind w:firstLine="480" w:firstLineChars="200"/>
        <w:rPr>
          <w:rFonts w:hint="eastAsia" w:ascii="宋体" w:hAnsi="宋体" w:cs="宋体"/>
          <w:b/>
        </w:rPr>
      </w:pPr>
      <w:r>
        <w:rPr>
          <w:rFonts w:hint="eastAsia" w:ascii="宋体" w:hAnsi="宋体" w:cs="宋体"/>
          <w:bCs/>
          <w:color w:val="000000"/>
        </w:rPr>
        <w:t>到期报告：管理人应在理财计划到期后5个工作日内披露，包括存续期限、到期兑付净值、收益分配情况等信息。</w:t>
      </w:r>
    </w:p>
    <w:p>
      <w:pPr>
        <w:numPr>
          <w:ilvl w:val="0"/>
          <w:numId w:val="56"/>
        </w:numPr>
        <w:spacing w:line="360" w:lineRule="auto"/>
        <w:ind w:firstLine="482" w:firstLineChars="200"/>
        <w:jc w:val="left"/>
        <w:rPr>
          <w:rFonts w:hint="eastAsia" w:ascii="宋体" w:hAnsi="宋体" w:cs="宋体"/>
          <w:b/>
        </w:rPr>
      </w:pPr>
      <w:r>
        <w:rPr>
          <w:rFonts w:hint="eastAsia" w:ascii="宋体" w:hAnsi="宋体" w:cs="宋体"/>
          <w:b/>
        </w:rPr>
        <w:t>临时信息披露</w:t>
      </w:r>
    </w:p>
    <w:p>
      <w:pPr>
        <w:numPr>
          <w:ilvl w:val="0"/>
          <w:numId w:val="59"/>
        </w:numPr>
        <w:spacing w:line="360" w:lineRule="auto"/>
        <w:ind w:firstLine="480" w:firstLineChars="200"/>
        <w:rPr>
          <w:rFonts w:hint="eastAsia" w:ascii="宋体" w:hAnsi="宋体" w:cs="宋体"/>
          <w:bCs/>
          <w:color w:val="000000"/>
        </w:rPr>
      </w:pPr>
      <w:r>
        <w:rPr>
          <w:rFonts w:hint="eastAsia" w:ascii="宋体" w:hAnsi="宋体" w:cs="宋体"/>
          <w:bCs/>
          <w:color w:val="000000"/>
        </w:rPr>
        <w:t>重大事项公告：管理人应在运用收取短期赎回费、摆动定价等措施后，3个交易日内发布相关事项公告；应在运用暂停认购、延期办理巨额赎回申请、暂停接受赎回申请、延缓支付赎回款项、暂停理财产品估值等措施后，3个交易日内发布相关事项公告，说明运用相关措施的原因、拟采取的应对安排等；应在发生可能对理财计划投资者或者理财计划收益产生重大事项的事件后2个工作日内发布重大事项公告。</w:t>
      </w:r>
    </w:p>
    <w:p>
      <w:pPr>
        <w:numPr>
          <w:ilvl w:val="0"/>
          <w:numId w:val="59"/>
        </w:numPr>
        <w:spacing w:line="360" w:lineRule="auto"/>
        <w:ind w:firstLine="480" w:firstLineChars="200"/>
        <w:rPr>
          <w:rFonts w:hint="eastAsia" w:ascii="宋体" w:hAnsi="宋体" w:cs="宋体"/>
          <w:b/>
        </w:rPr>
      </w:pPr>
      <w:r>
        <w:rPr>
          <w:rFonts w:hint="eastAsia" w:ascii="宋体" w:hAnsi="宋体" w:cs="宋体"/>
          <w:bCs/>
          <w:color w:val="000000"/>
        </w:rPr>
        <w:t>临时公告：管理人应当及时披露除重大事项以外的其他信息，包括但不限于理财计划终止、更换理财计划管理人和托管人、涉及理财计划管理业务的重大诉讼、涉及费率相关事项的变动、理财计划延期兑付等。</w:t>
      </w:r>
    </w:p>
    <w:p>
      <w:pPr>
        <w:numPr>
          <w:ilvl w:val="0"/>
          <w:numId w:val="55"/>
        </w:numPr>
        <w:spacing w:line="360" w:lineRule="auto"/>
        <w:ind w:firstLine="482" w:firstLineChars="200"/>
        <w:jc w:val="left"/>
        <w:outlineLvl w:val="2"/>
        <w:rPr>
          <w:rFonts w:hint="eastAsia" w:ascii="宋体" w:hAnsi="宋体" w:cs="宋体"/>
          <w:b/>
        </w:rPr>
      </w:pPr>
      <w:r>
        <w:rPr>
          <w:rFonts w:hint="eastAsia" w:ascii="宋体" w:hAnsi="宋体" w:cs="宋体"/>
          <w:b/>
        </w:rPr>
        <w:t>披露方式</w:t>
      </w:r>
    </w:p>
    <w:p>
      <w:pPr>
        <w:spacing w:line="360" w:lineRule="auto"/>
        <w:ind w:firstLine="480" w:firstLineChars="200"/>
        <w:rPr>
          <w:rFonts w:hint="eastAsia" w:ascii="宋体" w:hAnsi="宋体" w:cs="宋体"/>
          <w:bCs/>
          <w:color w:val="000000"/>
        </w:rPr>
      </w:pPr>
      <w:r>
        <w:rPr>
          <w:rFonts w:hint="eastAsia" w:ascii="宋体" w:hAnsi="宋体" w:cs="宋体"/>
          <w:bCs/>
          <w:color w:val="000000"/>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rPr>
      </w:pPr>
    </w:p>
    <w:p>
      <w:pPr>
        <w:numPr>
          <w:ilvl w:val="0"/>
          <w:numId w:val="28"/>
        </w:numPr>
        <w:spacing w:line="360" w:lineRule="auto"/>
        <w:ind w:firstLine="482" w:firstLineChars="200"/>
        <w:jc w:val="left"/>
        <w:outlineLvl w:val="1"/>
        <w:rPr>
          <w:rFonts w:hint="eastAsia" w:ascii="宋体" w:hAnsi="宋体" w:cs="宋体"/>
          <w:b/>
        </w:rPr>
      </w:pPr>
      <w:r>
        <w:rPr>
          <w:rFonts w:hint="eastAsia" w:ascii="宋体" w:hAnsi="宋体" w:cs="宋体"/>
          <w:b/>
        </w:rPr>
        <w:t>其他</w:t>
      </w:r>
    </w:p>
    <w:p>
      <w:pPr>
        <w:numPr>
          <w:ilvl w:val="0"/>
          <w:numId w:val="60"/>
        </w:numPr>
        <w:spacing w:line="360" w:lineRule="auto"/>
        <w:ind w:firstLine="482" w:firstLineChars="200"/>
        <w:jc w:val="left"/>
        <w:outlineLvl w:val="2"/>
        <w:rPr>
          <w:rFonts w:hint="eastAsia" w:ascii="宋体" w:hAnsi="宋体" w:cs="宋体"/>
          <w:b/>
        </w:rPr>
      </w:pPr>
      <w:r>
        <w:rPr>
          <w:rFonts w:hint="eastAsia" w:ascii="宋体" w:hAnsi="宋体" w:cs="宋体"/>
          <w:b/>
        </w:rPr>
        <w:t>追索条款</w:t>
      </w:r>
    </w:p>
    <w:p>
      <w:pPr>
        <w:spacing w:line="360" w:lineRule="auto"/>
        <w:ind w:firstLine="480" w:firstLineChars="200"/>
        <w:rPr>
          <w:rFonts w:hint="eastAsia" w:ascii="宋体" w:hAnsi="宋体" w:cs="宋体"/>
          <w:b/>
        </w:rPr>
      </w:pPr>
      <w:r>
        <w:rPr>
          <w:rFonts w:hint="eastAsia" w:ascii="宋体" w:hAnsi="宋体" w:cs="宋体"/>
          <w:bCs/>
          <w:color w:val="000000"/>
        </w:rPr>
        <w:t>若本理财计划所投资的金融资产到期不能全部偿付导致资产减值甚至本金大幅损失，则本公司将以管理人名义，代表投资者利益行使诉讼权利或者实施其他法律行为。</w:t>
      </w:r>
    </w:p>
    <w:p>
      <w:pPr>
        <w:numPr>
          <w:ilvl w:val="0"/>
          <w:numId w:val="60"/>
        </w:numPr>
        <w:spacing w:line="360" w:lineRule="auto"/>
        <w:ind w:firstLine="482" w:firstLineChars="200"/>
        <w:jc w:val="left"/>
        <w:outlineLvl w:val="2"/>
        <w:rPr>
          <w:rFonts w:hint="eastAsia" w:ascii="宋体" w:hAnsi="宋体" w:cs="宋体"/>
          <w:b/>
        </w:rPr>
      </w:pPr>
      <w:r>
        <w:rPr>
          <w:rFonts w:hint="eastAsia" w:ascii="宋体" w:hAnsi="宋体" w:cs="宋体"/>
          <w:b/>
        </w:rPr>
        <w:t>信息安全</w:t>
      </w:r>
    </w:p>
    <w:p>
      <w:pPr>
        <w:spacing w:line="360" w:lineRule="auto"/>
        <w:ind w:firstLine="480" w:firstLineChars="200"/>
        <w:rPr>
          <w:rFonts w:hint="eastAsia" w:ascii="宋体" w:hAnsi="宋体" w:cs="宋体"/>
          <w:b/>
        </w:rPr>
      </w:pPr>
      <w:r>
        <w:rPr>
          <w:rFonts w:hint="eastAsia" w:ascii="宋体" w:hAnsi="宋体" w:cs="宋体"/>
          <w:bCs/>
          <w:color w:val="000000"/>
        </w:rPr>
        <w:t>管理人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p>
    <w:p>
      <w:pPr>
        <w:numPr>
          <w:ilvl w:val="0"/>
          <w:numId w:val="60"/>
        </w:numPr>
        <w:spacing w:line="360" w:lineRule="auto"/>
        <w:ind w:firstLine="482" w:firstLineChars="200"/>
        <w:jc w:val="left"/>
        <w:outlineLvl w:val="2"/>
        <w:rPr>
          <w:rFonts w:hint="eastAsia" w:ascii="宋体" w:hAnsi="宋体" w:cs="宋体"/>
          <w:b/>
        </w:rPr>
      </w:pPr>
      <w:r>
        <w:rPr>
          <w:rFonts w:hint="eastAsia" w:ascii="宋体" w:hAnsi="宋体" w:cs="宋体"/>
          <w:b/>
        </w:rPr>
        <w:t>争议解决</w:t>
      </w:r>
    </w:p>
    <w:p>
      <w:pPr>
        <w:spacing w:line="360" w:lineRule="auto"/>
        <w:ind w:firstLine="480" w:firstLineChars="200"/>
        <w:rPr>
          <w:rFonts w:hint="eastAsia" w:ascii="宋体" w:hAnsi="宋体" w:cs="宋体"/>
          <w:bCs/>
          <w:color w:val="000000"/>
        </w:rPr>
      </w:pPr>
      <w:r>
        <w:rPr>
          <w:rFonts w:hint="eastAsia" w:ascii="宋体" w:hAnsi="宋体" w:cs="宋体"/>
          <w:bCs/>
          <w:color w:val="000000"/>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销售机构或管理人所在地有管辖权的人民法院诉讼解决。</w:t>
      </w:r>
    </w:p>
    <w:p>
      <w:pPr>
        <w:numPr>
          <w:ilvl w:val="0"/>
          <w:numId w:val="60"/>
        </w:numPr>
        <w:spacing w:line="360" w:lineRule="auto"/>
        <w:ind w:firstLine="482" w:firstLineChars="200"/>
        <w:jc w:val="left"/>
        <w:outlineLvl w:val="2"/>
        <w:rPr>
          <w:rFonts w:hint="eastAsia" w:ascii="宋体" w:hAnsi="宋体" w:cs="宋体"/>
          <w:b/>
        </w:rPr>
      </w:pPr>
      <w:r>
        <w:rPr>
          <w:rFonts w:hint="eastAsia" w:ascii="宋体" w:hAnsi="宋体" w:cs="宋体"/>
          <w:b/>
        </w:rPr>
        <w:t>特别提示</w:t>
      </w:r>
    </w:p>
    <w:p>
      <w:pPr>
        <w:spacing w:line="360" w:lineRule="auto"/>
        <w:ind w:firstLine="482" w:firstLineChars="200"/>
        <w:rPr>
          <w:rFonts w:hint="eastAsia" w:ascii="宋体" w:hAnsi="宋体" w:cs="宋体"/>
          <w:b/>
          <w:color w:val="000000"/>
        </w:rPr>
      </w:pPr>
      <w:r>
        <w:rPr>
          <w:rFonts w:hint="eastAsia" w:ascii="宋体" w:hAnsi="宋体" w:cs="宋体"/>
          <w:b/>
          <w:color w:val="000000"/>
        </w:rPr>
        <w:t>本理财计划为非保本净值型理财产品，管理人不对本理财计划承诺保本或保证收益。投资者本金可能会因市场变动及上述风险因素而蒙受损失。投资者应充分认识投资风险，谨慎投资。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rPr>
      </w:pPr>
      <w:r>
        <w:rPr>
          <w:rFonts w:hint="eastAsia" w:ascii="宋体" w:hAnsi="宋体" w:cs="宋体"/>
          <w:bCs/>
          <w:color w:val="000000"/>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spacing w:line="360" w:lineRule="auto"/>
        <w:jc w:val="center"/>
        <w:outlineLvl w:val="0"/>
        <w:rPr>
          <w:rFonts w:hint="eastAsia" w:ascii="宋体" w:hAnsi="宋体" w:cs="宋体"/>
          <w:b/>
          <w:bCs/>
          <w:color w:val="000000"/>
          <w:sz w:val="44"/>
          <w:szCs w:val="44"/>
        </w:rPr>
      </w:pPr>
      <w:r>
        <w:rPr>
          <w:rFonts w:hint="eastAsia" w:ascii="宋体" w:hAnsi="宋体" w:cs="宋体"/>
          <w:bCs/>
          <w:color w:val="000000"/>
        </w:rPr>
        <w:br w:type="page"/>
      </w:r>
      <w:r>
        <w:rPr>
          <w:rFonts w:hint="eastAsia" w:ascii="宋体" w:hAnsi="宋体" w:cs="宋体"/>
          <w:b/>
          <w:bCs/>
          <w:color w:val="000000"/>
          <w:sz w:val="44"/>
          <w:szCs w:val="44"/>
        </w:rPr>
        <w:t>杭银理财投资者权益须知</w:t>
      </w:r>
    </w:p>
    <w:p>
      <w:pPr>
        <w:jc w:val="center"/>
        <w:rPr>
          <w:rFonts w:hint="eastAsia" w:ascii="宋体" w:hAnsi="宋体" w:cs="宋体"/>
          <w:b/>
          <w:bCs/>
          <w:color w:val="000000"/>
          <w:sz w:val="44"/>
          <w:szCs w:val="44"/>
        </w:rPr>
      </w:pPr>
      <w:r>
        <w:rPr>
          <w:rFonts w:hint="eastAsia" w:ascii="宋体" w:hAnsi="宋体" w:cs="宋体"/>
          <w:sz w:val="28"/>
          <w:szCs w:val="28"/>
        </w:rPr>
        <w:t>（202201版）</w:t>
      </w:r>
    </w:p>
    <w:p>
      <w:pPr>
        <w:spacing w:line="360" w:lineRule="auto"/>
        <w:jc w:val="center"/>
        <w:rPr>
          <w:rFonts w:hint="eastAsia" w:ascii="宋体" w:hAnsi="宋体" w:cs="宋体"/>
          <w:b/>
          <w:bCs/>
          <w:u w:val="single"/>
        </w:rPr>
      </w:pPr>
      <w:r>
        <w:rPr>
          <w:rFonts w:hint="eastAsia" w:ascii="宋体" w:hAnsi="宋体" w:cs="宋体"/>
          <w:b/>
          <w:bCs/>
          <w:u w:val="single"/>
        </w:rPr>
        <w:t>理财非存款、产品有风险、投资须谨慎</w:t>
      </w:r>
    </w:p>
    <w:p>
      <w:pPr>
        <w:spacing w:line="360" w:lineRule="auto"/>
        <w:rPr>
          <w:rFonts w:hint="eastAsia" w:ascii="宋体" w:hAnsi="宋体" w:cs="宋体"/>
          <w:kern w:val="0"/>
        </w:rPr>
      </w:pPr>
      <w:r>
        <w:rPr>
          <w:rFonts w:hint="eastAsia" w:ascii="宋体" w:hAnsi="宋体" w:cs="宋体"/>
          <w:kern w:val="0"/>
        </w:rPr>
        <w:t>尊敬的投资者：</w:t>
      </w:r>
    </w:p>
    <w:p>
      <w:pPr>
        <w:spacing w:line="360" w:lineRule="auto"/>
        <w:ind w:firstLine="480" w:firstLineChars="200"/>
        <w:rPr>
          <w:rFonts w:hint="eastAsia" w:ascii="宋体" w:hAnsi="宋体" w:cs="宋体"/>
          <w:kern w:val="0"/>
        </w:rPr>
      </w:pPr>
      <w:r>
        <w:rPr>
          <w:rFonts w:hint="eastAsia" w:ascii="宋体" w:hAnsi="宋体" w:cs="宋体"/>
          <w:kern w:val="0"/>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61"/>
        </w:numPr>
        <w:spacing w:line="360" w:lineRule="auto"/>
        <w:ind w:firstLine="482" w:firstLineChars="200"/>
        <w:outlineLvl w:val="1"/>
        <w:rPr>
          <w:rFonts w:hint="eastAsia" w:ascii="宋体" w:hAnsi="宋体" w:cs="宋体"/>
          <w:b/>
          <w:kern w:val="0"/>
        </w:rPr>
      </w:pPr>
      <w:r>
        <w:rPr>
          <w:rFonts w:hint="eastAsia" w:ascii="宋体" w:hAnsi="宋体" w:cs="宋体"/>
          <w:b/>
          <w:kern w:val="0"/>
        </w:rPr>
        <w:t>理财计划办理流程</w:t>
      </w:r>
    </w:p>
    <w:p>
      <w:pPr>
        <w:numPr>
          <w:ilvl w:val="0"/>
          <w:numId w:val="62"/>
        </w:numPr>
        <w:spacing w:line="360" w:lineRule="auto"/>
        <w:ind w:firstLine="480" w:firstLineChars="200"/>
        <w:outlineLvl w:val="2"/>
        <w:rPr>
          <w:rFonts w:hint="eastAsia" w:ascii="宋体" w:hAnsi="宋体" w:cs="宋体"/>
          <w:kern w:val="0"/>
        </w:rPr>
      </w:pPr>
      <w:r>
        <w:rPr>
          <w:rFonts w:hint="eastAsia" w:ascii="宋体" w:hAnsi="宋体" w:cs="宋体"/>
          <w:kern w:val="0"/>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62"/>
        </w:numPr>
        <w:spacing w:line="360" w:lineRule="auto"/>
        <w:ind w:firstLine="480" w:firstLineChars="200"/>
        <w:outlineLvl w:val="2"/>
        <w:rPr>
          <w:rFonts w:hint="eastAsia" w:ascii="宋体" w:hAnsi="宋体" w:cs="宋体"/>
          <w:kern w:val="0"/>
        </w:rPr>
      </w:pPr>
      <w:r>
        <w:rPr>
          <w:rFonts w:hint="eastAsia" w:ascii="宋体" w:hAnsi="宋体" w:cs="宋体"/>
          <w:kern w:val="0"/>
        </w:rPr>
        <w:t>首次在销售机构购买杭银理财理财计划的个人投资者须接受并完成销售机构对您的风险承受能力评估，并确认风险承受能力等级不低于本理财计划风险评级。</w:t>
      </w:r>
    </w:p>
    <w:p>
      <w:pPr>
        <w:numPr>
          <w:ilvl w:val="0"/>
          <w:numId w:val="62"/>
        </w:numPr>
        <w:spacing w:line="360" w:lineRule="auto"/>
        <w:ind w:firstLine="480" w:firstLineChars="200"/>
        <w:outlineLvl w:val="2"/>
        <w:rPr>
          <w:rFonts w:hint="eastAsia" w:ascii="宋体" w:hAnsi="宋体" w:cs="宋体"/>
          <w:kern w:val="0"/>
        </w:rPr>
      </w:pPr>
      <w:r>
        <w:rPr>
          <w:rFonts w:hint="eastAsia" w:ascii="宋体" w:hAnsi="宋体" w:cs="宋体"/>
          <w:kern w:val="0"/>
        </w:rPr>
        <w:t>投资者应仔细阅读本理财计划完整合同（包括但不限于理财计划风险揭示书、理财计划产品说明书、投资者权益须知、理财计划投资协议书和理财计划销售协议书）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62"/>
        </w:numPr>
        <w:spacing w:line="360" w:lineRule="auto"/>
        <w:ind w:firstLine="480" w:firstLineChars="200"/>
        <w:outlineLvl w:val="2"/>
        <w:rPr>
          <w:rFonts w:hint="eastAsia" w:ascii="宋体" w:hAnsi="宋体" w:cs="宋体"/>
          <w:kern w:val="0"/>
        </w:rPr>
      </w:pPr>
      <w:r>
        <w:rPr>
          <w:rFonts w:hint="eastAsia" w:ascii="宋体" w:hAnsi="宋体" w:cs="宋体"/>
          <w:kern w:val="0"/>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62"/>
        </w:numPr>
        <w:spacing w:line="360" w:lineRule="auto"/>
        <w:ind w:firstLine="480" w:firstLineChars="200"/>
        <w:outlineLvl w:val="2"/>
        <w:rPr>
          <w:rFonts w:hint="eastAsia" w:ascii="宋体" w:hAnsi="宋体" w:cs="宋体"/>
          <w:kern w:val="0"/>
        </w:rPr>
      </w:pPr>
      <w:r>
        <w:rPr>
          <w:rFonts w:hint="eastAsia" w:ascii="宋体" w:hAnsi="宋体" w:cs="宋体"/>
          <w:kern w:val="0"/>
        </w:rPr>
        <w:t>如在银行营业场所购买杭银理财理财计划，销售机构需对每笔理财计划销售过程同步录音录像。</w:t>
      </w:r>
    </w:p>
    <w:p>
      <w:pPr>
        <w:numPr>
          <w:ilvl w:val="0"/>
          <w:numId w:val="62"/>
        </w:numPr>
        <w:spacing w:line="360" w:lineRule="auto"/>
        <w:ind w:firstLine="480" w:firstLineChars="200"/>
        <w:outlineLvl w:val="2"/>
        <w:rPr>
          <w:rFonts w:hint="eastAsia" w:ascii="宋体" w:hAnsi="宋体" w:cs="宋体"/>
          <w:kern w:val="0"/>
        </w:rPr>
      </w:pPr>
      <w:r>
        <w:rPr>
          <w:rFonts w:hint="eastAsia" w:ascii="宋体" w:hAnsi="宋体" w:cs="宋体"/>
          <w:kern w:val="0"/>
        </w:rPr>
        <w:t>投资者确定交易金额，完成交易申请，并在确认份额后进行查询。</w:t>
      </w:r>
    </w:p>
    <w:p>
      <w:pPr>
        <w:numPr>
          <w:ilvl w:val="0"/>
          <w:numId w:val="63"/>
        </w:numPr>
        <w:spacing w:line="360" w:lineRule="auto"/>
        <w:ind w:firstLine="482" w:firstLineChars="200"/>
        <w:outlineLvl w:val="1"/>
        <w:rPr>
          <w:rFonts w:hint="eastAsia" w:ascii="宋体" w:hAnsi="宋体" w:cs="宋体"/>
          <w:b/>
          <w:kern w:val="0"/>
        </w:rPr>
      </w:pPr>
      <w:r>
        <w:rPr>
          <w:rFonts w:hint="eastAsia" w:ascii="宋体" w:hAnsi="宋体" w:cs="宋体"/>
          <w:b/>
          <w:kern w:val="0"/>
        </w:rPr>
        <w:t>杭银理财产品风险评级</w:t>
      </w:r>
    </w:p>
    <w:p>
      <w:pPr>
        <w:spacing w:line="360" w:lineRule="auto"/>
        <w:ind w:firstLine="480" w:firstLineChars="200"/>
        <w:rPr>
          <w:rFonts w:hint="eastAsia" w:ascii="宋体" w:hAnsi="宋体" w:cs="宋体"/>
          <w:kern w:val="0"/>
        </w:rPr>
      </w:pPr>
      <w:r>
        <w:rPr>
          <w:rFonts w:hint="eastAsia" w:ascii="宋体" w:hAnsi="宋体" w:cs="宋体"/>
          <w:kern w:val="0"/>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11"/>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kern w:val="0"/>
              </w:rPr>
            </w:pPr>
            <w:r>
              <w:rPr>
                <w:rFonts w:hint="eastAsia" w:ascii="宋体" w:hAnsi="宋体" w:cs="宋体"/>
                <w:b/>
                <w:kern w:val="0"/>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kern w:val="0"/>
              </w:rPr>
            </w:pPr>
            <w:r>
              <w:rPr>
                <w:rFonts w:hint="eastAsia" w:ascii="宋体" w:hAnsi="宋体" w:cs="宋体"/>
                <w:b/>
                <w:kern w:val="0"/>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kern w:val="0"/>
              </w:rPr>
            </w:pPr>
            <w:r>
              <w:rPr>
                <w:rFonts w:hint="eastAsia" w:ascii="宋体" w:hAnsi="宋体" w:cs="宋体"/>
                <w:b/>
                <w:kern w:val="0"/>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rPr>
            </w:pPr>
            <w:r>
              <w:rPr>
                <w:rFonts w:hint="eastAsia" w:ascii="宋体" w:hAnsi="宋体" w:cs="宋体"/>
                <w:kern w:val="0"/>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rPr>
            </w:pPr>
            <w:r>
              <w:rPr>
                <w:rFonts w:hint="eastAsia" w:ascii="宋体" w:hAnsi="宋体"/>
                <w:kern w:val="0"/>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rPr>
            </w:pPr>
            <w:r>
              <w:rPr>
                <w:rFonts w:hint="eastAsia" w:ascii="宋体" w:hAnsi="宋体" w:cs="宋体"/>
                <w:kern w:val="0"/>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rPr>
            </w:pPr>
            <w:r>
              <w:rPr>
                <w:rFonts w:hint="eastAsia" w:ascii="宋体" w:hAnsi="宋体" w:cs="宋体"/>
                <w:kern w:val="0"/>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rPr>
            </w:pPr>
            <w:r>
              <w:rPr>
                <w:rFonts w:hint="eastAsia" w:ascii="宋体" w:hAnsi="宋体"/>
                <w:kern w:val="0"/>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rPr>
            </w:pPr>
            <w:r>
              <w:rPr>
                <w:rFonts w:hint="eastAsia" w:ascii="宋体" w:hAnsi="宋体" w:cs="宋体"/>
                <w:kern w:val="0"/>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rPr>
            </w:pPr>
            <w:r>
              <w:rPr>
                <w:rFonts w:hint="eastAsia" w:ascii="宋体" w:hAnsi="宋体" w:cs="宋体"/>
                <w:kern w:val="0"/>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rPr>
            </w:pPr>
            <w:r>
              <w:rPr>
                <w:rFonts w:hint="eastAsia" w:ascii="宋体" w:hAnsi="宋体"/>
                <w:kern w:val="0"/>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rPr>
            </w:pPr>
            <w:r>
              <w:rPr>
                <w:rFonts w:hint="eastAsia" w:ascii="宋体" w:hAnsi="宋体" w:cs="宋体"/>
                <w:kern w:val="0"/>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4" w:hRule="atLeast"/>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rPr>
            </w:pPr>
            <w:r>
              <w:rPr>
                <w:rFonts w:hint="eastAsia" w:ascii="宋体" w:hAnsi="宋体" w:cs="宋体"/>
                <w:kern w:val="0"/>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rPr>
            </w:pPr>
            <w:r>
              <w:rPr>
                <w:rFonts w:hint="eastAsia" w:ascii="宋体" w:hAnsi="宋体"/>
                <w:kern w:val="0"/>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rPr>
            </w:pPr>
            <w:r>
              <w:rPr>
                <w:rFonts w:hint="eastAsia" w:ascii="宋体" w:hAnsi="宋体" w:cs="宋体"/>
                <w:kern w:val="0"/>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rPr>
            </w:pPr>
            <w:r>
              <w:rPr>
                <w:rFonts w:hint="eastAsia" w:ascii="宋体" w:hAnsi="宋体" w:cs="宋体"/>
                <w:kern w:val="0"/>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rPr>
            </w:pPr>
            <w:r>
              <w:rPr>
                <w:rFonts w:hint="eastAsia" w:ascii="宋体" w:hAnsi="宋体"/>
                <w:kern w:val="0"/>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rPr>
            </w:pPr>
            <w:r>
              <w:rPr>
                <w:rFonts w:hint="eastAsia" w:ascii="宋体" w:hAnsi="宋体" w:cs="宋体"/>
                <w:kern w:val="0"/>
              </w:rPr>
              <w:t>机构投资者及进取型的个人投资者</w:t>
            </w:r>
          </w:p>
        </w:tc>
      </w:tr>
    </w:tbl>
    <w:p>
      <w:pPr>
        <w:spacing w:line="360" w:lineRule="auto"/>
        <w:ind w:left="480" w:leftChars="200"/>
        <w:outlineLvl w:val="1"/>
        <w:rPr>
          <w:rFonts w:hint="eastAsia" w:ascii="宋体" w:hAnsi="宋体" w:cs="宋体"/>
          <w:b/>
          <w:kern w:val="0"/>
        </w:rPr>
      </w:pPr>
      <w:r>
        <w:rPr>
          <w:rFonts w:hint="eastAsia" w:ascii="宋体" w:hAnsi="宋体" w:cs="宋体"/>
          <w:bCs/>
        </w:rPr>
        <w:t>投资者风险承受能力评级水平以销售机构评估为准。</w:t>
      </w:r>
    </w:p>
    <w:p>
      <w:pPr>
        <w:numPr>
          <w:ilvl w:val="0"/>
          <w:numId w:val="64"/>
        </w:numPr>
        <w:spacing w:line="360" w:lineRule="auto"/>
        <w:ind w:firstLine="482" w:firstLineChars="200"/>
        <w:outlineLvl w:val="1"/>
        <w:rPr>
          <w:rFonts w:hint="eastAsia" w:ascii="宋体" w:hAnsi="宋体" w:cs="宋体"/>
          <w:b/>
          <w:kern w:val="0"/>
        </w:rPr>
      </w:pPr>
      <w:r>
        <w:rPr>
          <w:rFonts w:hint="eastAsia" w:ascii="宋体" w:hAnsi="宋体" w:cs="宋体"/>
          <w:b/>
          <w:kern w:val="0"/>
        </w:rPr>
        <w:t>投资者风险承受能力评估</w:t>
      </w:r>
    </w:p>
    <w:p>
      <w:pPr>
        <w:numPr>
          <w:ilvl w:val="0"/>
          <w:numId w:val="65"/>
        </w:numPr>
        <w:spacing w:line="360" w:lineRule="auto"/>
        <w:ind w:firstLine="480" w:firstLineChars="200"/>
        <w:outlineLvl w:val="2"/>
        <w:rPr>
          <w:rFonts w:hint="eastAsia" w:ascii="宋体" w:hAnsi="宋体" w:cs="宋体"/>
          <w:kern w:val="0"/>
        </w:rPr>
      </w:pPr>
      <w:r>
        <w:rPr>
          <w:rFonts w:hint="eastAsia" w:ascii="宋体" w:hAnsi="宋体" w:cs="宋体"/>
          <w:kern w:val="0"/>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65"/>
        </w:numPr>
        <w:spacing w:line="360" w:lineRule="auto"/>
        <w:ind w:firstLine="480" w:firstLineChars="200"/>
        <w:outlineLvl w:val="2"/>
        <w:rPr>
          <w:rFonts w:hint="eastAsia" w:ascii="宋体" w:hAnsi="宋体" w:cs="宋体"/>
          <w:kern w:val="0"/>
        </w:rPr>
      </w:pPr>
      <w:r>
        <w:rPr>
          <w:rFonts w:hint="eastAsia" w:ascii="宋体" w:hAnsi="宋体" w:cs="宋体"/>
          <w:kern w:val="0"/>
        </w:rPr>
        <w:t>个人投资者风险承受能力评估结果有效期为一年，如风险承受能力评估时效已超过一年，或影响风险承受能力的因素发生变化，请及时完成风险承受能力的重新评估。</w:t>
      </w:r>
    </w:p>
    <w:p>
      <w:pPr>
        <w:numPr>
          <w:ilvl w:val="0"/>
          <w:numId w:val="65"/>
        </w:numPr>
        <w:spacing w:line="360" w:lineRule="auto"/>
        <w:ind w:firstLine="480" w:firstLineChars="200"/>
        <w:outlineLvl w:val="2"/>
        <w:rPr>
          <w:rFonts w:hint="eastAsia" w:ascii="宋体" w:hAnsi="宋体" w:cs="宋体"/>
          <w:kern w:val="0"/>
        </w:rPr>
      </w:pPr>
      <w:r>
        <w:rPr>
          <w:rFonts w:hint="eastAsia" w:ascii="宋体" w:hAnsi="宋体" w:cs="宋体"/>
          <w:kern w:val="0"/>
        </w:rPr>
        <w:t>个人投资者风险承受能力评估流程（详询销售机构工作人员）</w:t>
      </w:r>
    </w:p>
    <w:p>
      <w:pPr>
        <w:numPr>
          <w:ilvl w:val="0"/>
          <w:numId w:val="66"/>
        </w:numPr>
        <w:spacing w:line="360" w:lineRule="auto"/>
        <w:ind w:firstLine="480" w:firstLineChars="200"/>
        <w:rPr>
          <w:rFonts w:hint="eastAsia" w:ascii="宋体" w:hAnsi="宋体" w:cs="宋体"/>
          <w:kern w:val="0"/>
        </w:rPr>
      </w:pPr>
      <w:r>
        <w:rPr>
          <w:rFonts w:hint="eastAsia" w:ascii="宋体" w:hAnsi="宋体" w:cs="宋体"/>
          <w:kern w:val="0"/>
        </w:rPr>
        <w:t>个人投资者在销售机构进行风险承受能力评估；</w:t>
      </w:r>
    </w:p>
    <w:p>
      <w:pPr>
        <w:numPr>
          <w:ilvl w:val="0"/>
          <w:numId w:val="66"/>
        </w:numPr>
        <w:spacing w:line="360" w:lineRule="auto"/>
        <w:ind w:firstLine="480" w:firstLineChars="200"/>
        <w:rPr>
          <w:rFonts w:hint="eastAsia" w:ascii="宋体" w:hAnsi="宋体" w:cs="宋体"/>
          <w:kern w:val="0"/>
        </w:rPr>
      </w:pPr>
      <w:r>
        <w:rPr>
          <w:rFonts w:hint="eastAsia" w:ascii="宋体" w:hAnsi="宋体" w:cs="宋体"/>
          <w:kern w:val="0"/>
        </w:rPr>
        <w:t>填写销售机构个人投资者风险承受能力测试问卷；</w:t>
      </w:r>
    </w:p>
    <w:p>
      <w:pPr>
        <w:numPr>
          <w:ilvl w:val="0"/>
          <w:numId w:val="66"/>
        </w:numPr>
        <w:spacing w:line="360" w:lineRule="auto"/>
        <w:ind w:firstLine="480" w:firstLineChars="200"/>
        <w:rPr>
          <w:rFonts w:hint="eastAsia" w:ascii="宋体" w:hAnsi="宋体" w:cs="宋体"/>
          <w:kern w:val="0"/>
        </w:rPr>
      </w:pPr>
      <w:r>
        <w:rPr>
          <w:rFonts w:hint="eastAsia" w:ascii="宋体" w:hAnsi="宋体" w:cs="宋体"/>
          <w:kern w:val="0"/>
        </w:rPr>
        <w:t>生成相应的个人投资者风险承受能力评估结果；</w:t>
      </w:r>
    </w:p>
    <w:p>
      <w:pPr>
        <w:numPr>
          <w:ilvl w:val="0"/>
          <w:numId w:val="66"/>
        </w:numPr>
        <w:spacing w:line="360" w:lineRule="auto"/>
        <w:ind w:firstLine="480" w:firstLineChars="200"/>
        <w:rPr>
          <w:rFonts w:hint="eastAsia" w:ascii="宋体" w:hAnsi="宋体" w:cs="宋体"/>
          <w:kern w:val="0"/>
        </w:rPr>
      </w:pPr>
      <w:r>
        <w:rPr>
          <w:rFonts w:hint="eastAsia" w:ascii="宋体" w:hAnsi="宋体" w:cs="宋体"/>
          <w:kern w:val="0"/>
        </w:rPr>
        <w:t>投资者对评估结果进行确认。</w:t>
      </w:r>
    </w:p>
    <w:p>
      <w:pPr>
        <w:numPr>
          <w:ilvl w:val="0"/>
          <w:numId w:val="67"/>
        </w:numPr>
        <w:spacing w:line="360" w:lineRule="auto"/>
        <w:ind w:firstLine="480" w:firstLineChars="200"/>
        <w:outlineLvl w:val="2"/>
        <w:rPr>
          <w:rFonts w:hint="eastAsia" w:ascii="宋体" w:hAnsi="宋体" w:cs="宋体"/>
          <w:kern w:val="0"/>
        </w:rPr>
      </w:pPr>
      <w:r>
        <w:rPr>
          <w:rFonts w:hint="eastAsia" w:ascii="宋体" w:hAnsi="宋体" w:cs="宋体"/>
          <w:kern w:val="0"/>
        </w:rPr>
        <w:t>风险承受能力评估结果将作为评价个人投资者是否适合购买理财计划的重要因素，风险承受能力评级越高适合购买的理财计划风险评级越高，适合购买的理财计划类型越丰富。</w:t>
      </w:r>
    </w:p>
    <w:p>
      <w:pPr>
        <w:numPr>
          <w:ilvl w:val="0"/>
          <w:numId w:val="67"/>
        </w:numPr>
        <w:spacing w:line="360" w:lineRule="auto"/>
        <w:ind w:firstLine="480" w:firstLineChars="200"/>
        <w:outlineLvl w:val="2"/>
        <w:rPr>
          <w:rFonts w:hint="eastAsia" w:ascii="宋体" w:hAnsi="宋体" w:cs="宋体"/>
          <w:kern w:val="0"/>
        </w:rPr>
      </w:pPr>
      <w:r>
        <w:rPr>
          <w:rFonts w:hint="eastAsia" w:ascii="宋体" w:hAnsi="宋体" w:cs="宋体"/>
          <w:kern w:val="0"/>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67"/>
        </w:numPr>
        <w:spacing w:line="360" w:lineRule="auto"/>
        <w:ind w:firstLine="480" w:firstLineChars="200"/>
        <w:outlineLvl w:val="2"/>
        <w:rPr>
          <w:rFonts w:hint="eastAsia" w:ascii="宋体" w:hAnsi="宋体" w:cs="宋体"/>
          <w:kern w:val="0"/>
        </w:rPr>
      </w:pPr>
      <w:r>
        <w:rPr>
          <w:rFonts w:hint="eastAsia" w:ascii="宋体" w:hAnsi="宋体" w:cs="宋体"/>
          <w:kern w:val="0"/>
        </w:rPr>
        <w:t>机构投资者购买理财计划前无须进行风险评估能力测试。机构投资者不适用个人投资者的风险承受能力评估，请机构投资者根据自身财务状况、投资风格、资金需求等要素，并在阅读本权益须知、理财计划风险揭示书、理财计划产品说明书、理财计划投资协议书和理财计划销售协议书的基础上，充分认识投资本理财计划需要承担的风险。</w:t>
      </w:r>
    </w:p>
    <w:p>
      <w:pPr>
        <w:spacing w:line="360" w:lineRule="auto"/>
        <w:ind w:firstLine="482" w:firstLineChars="200"/>
        <w:outlineLvl w:val="1"/>
        <w:rPr>
          <w:rFonts w:hint="eastAsia" w:ascii="宋体" w:hAnsi="宋体" w:cs="宋体"/>
          <w:b/>
          <w:kern w:val="0"/>
        </w:rPr>
      </w:pPr>
      <w:r>
        <w:rPr>
          <w:rFonts w:hint="eastAsia" w:ascii="宋体" w:hAnsi="宋体" w:cs="宋体"/>
          <w:b/>
          <w:kern w:val="0"/>
        </w:rPr>
        <w:t>四、理财计划信息披露</w:t>
      </w:r>
    </w:p>
    <w:p>
      <w:pPr>
        <w:spacing w:line="360" w:lineRule="auto"/>
        <w:ind w:firstLine="480" w:firstLineChars="200"/>
        <w:rPr>
          <w:rFonts w:hint="eastAsia" w:ascii="宋体" w:hAnsi="宋体" w:cs="宋体"/>
          <w:kern w:val="0"/>
        </w:rPr>
      </w:pPr>
      <w:r>
        <w:rPr>
          <w:rFonts w:hint="eastAsia" w:ascii="宋体" w:hAnsi="宋体" w:cs="宋体"/>
          <w:kern w:val="0"/>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1"/>
        <w:rPr>
          <w:rFonts w:hint="eastAsia" w:ascii="宋体" w:hAnsi="宋体" w:cs="宋体"/>
          <w:b/>
          <w:kern w:val="0"/>
        </w:rPr>
      </w:pPr>
      <w:r>
        <w:rPr>
          <w:rFonts w:hint="eastAsia" w:ascii="宋体" w:hAnsi="宋体" w:cs="宋体"/>
          <w:b/>
          <w:kern w:val="0"/>
        </w:rPr>
        <w:t>五、投资者信息管理</w:t>
      </w:r>
    </w:p>
    <w:p>
      <w:pPr>
        <w:spacing w:line="360" w:lineRule="auto"/>
        <w:ind w:firstLine="480" w:firstLineChars="200"/>
        <w:rPr>
          <w:rFonts w:hint="eastAsia" w:ascii="宋体" w:hAnsi="宋体" w:cs="宋体"/>
          <w:kern w:val="0"/>
        </w:rPr>
      </w:pPr>
      <w:r>
        <w:rPr>
          <w:rFonts w:hint="eastAsia" w:ascii="宋体" w:hAnsi="宋体" w:cs="宋体"/>
          <w:kern w:val="0"/>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rPr>
      </w:pPr>
      <w:r>
        <w:rPr>
          <w:rFonts w:hint="eastAsia" w:ascii="宋体" w:hAnsi="宋体" w:cs="宋体"/>
          <w:kern w:val="0"/>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1"/>
        <w:rPr>
          <w:rFonts w:hint="eastAsia" w:ascii="宋体" w:hAnsi="宋体" w:cs="宋体"/>
          <w:b/>
          <w:kern w:val="0"/>
        </w:rPr>
      </w:pPr>
      <w:r>
        <w:rPr>
          <w:rFonts w:hint="eastAsia" w:ascii="宋体" w:hAnsi="宋体" w:cs="宋体"/>
          <w:b/>
          <w:kern w:val="0"/>
        </w:rPr>
        <w:t>六、投诉与建议</w:t>
      </w:r>
    </w:p>
    <w:p>
      <w:pPr>
        <w:numPr>
          <w:ilvl w:val="0"/>
          <w:numId w:val="68"/>
        </w:numPr>
        <w:spacing w:line="360" w:lineRule="auto"/>
        <w:ind w:firstLine="480" w:firstLineChars="200"/>
        <w:outlineLvl w:val="2"/>
        <w:rPr>
          <w:rFonts w:hint="eastAsia" w:ascii="宋体" w:hAnsi="宋体" w:cs="宋体"/>
          <w:kern w:val="0"/>
        </w:rPr>
      </w:pPr>
      <w:r>
        <w:rPr>
          <w:rFonts w:hint="eastAsia" w:ascii="宋体" w:hAnsi="宋体" w:cs="宋体"/>
          <w:kern w:val="0"/>
        </w:rPr>
        <w:t>投资者如认为销售机构推介、销售理财计划时有不实或未尽风险告知职责或其它疑义事项，或对理财计划、销售机构及理财计划管理人服务有任何意见或建议，可通过拨打销售机构热线或客服电话进行反馈。销售机构将由专人接听、记录您的意见建议，并由双方协商共同解决。</w:t>
      </w:r>
    </w:p>
    <w:p>
      <w:pPr>
        <w:numPr>
          <w:ilvl w:val="0"/>
          <w:numId w:val="68"/>
        </w:numPr>
        <w:spacing w:line="360" w:lineRule="auto"/>
        <w:ind w:firstLine="480" w:firstLineChars="200"/>
        <w:outlineLvl w:val="2"/>
        <w:rPr>
          <w:rFonts w:hint="eastAsia" w:ascii="宋体" w:hAnsi="宋体" w:cs="宋体"/>
          <w:kern w:val="0"/>
        </w:rPr>
      </w:pPr>
      <w:r>
        <w:rPr>
          <w:rFonts w:hint="eastAsia" w:ascii="宋体" w:hAnsi="宋体" w:cs="宋体"/>
          <w:kern w:val="0"/>
        </w:rPr>
        <w:t>联络方式</w:t>
      </w:r>
    </w:p>
    <w:p>
      <w:pPr>
        <w:numPr>
          <w:ilvl w:val="0"/>
          <w:numId w:val="69"/>
        </w:numPr>
        <w:spacing w:line="360" w:lineRule="auto"/>
        <w:ind w:firstLine="480" w:firstLineChars="200"/>
        <w:rPr>
          <w:rFonts w:hint="eastAsia" w:ascii="宋体" w:hAnsi="宋体" w:cs="宋体"/>
          <w:kern w:val="0"/>
        </w:rPr>
      </w:pPr>
      <w:r>
        <w:rPr>
          <w:rFonts w:hint="eastAsia" w:ascii="宋体" w:hAnsi="宋体" w:cs="宋体"/>
          <w:kern w:val="0"/>
        </w:rPr>
        <w:t>杭银理财联络方式：</w:t>
      </w:r>
    </w:p>
    <w:p>
      <w:pPr>
        <w:spacing w:line="360" w:lineRule="auto"/>
        <w:ind w:firstLine="480" w:firstLineChars="200"/>
        <w:rPr>
          <w:rFonts w:hint="eastAsia" w:ascii="宋体" w:hAnsi="宋体" w:cs="宋体"/>
          <w:kern w:val="0"/>
          <w:u w:val="single"/>
        </w:rPr>
      </w:pPr>
      <w:r>
        <w:rPr>
          <w:rFonts w:hint="eastAsia" w:ascii="宋体" w:hAnsi="宋体" w:cs="宋体"/>
          <w:kern w:val="0"/>
        </w:rPr>
        <w:t>官方网站：</w:t>
      </w:r>
      <w:r>
        <w:rPr>
          <w:rFonts w:hint="eastAsia" w:ascii="宋体" w:hAnsi="宋体" w:cs="宋体"/>
          <w:bCs/>
        </w:rPr>
        <w:t>https://</w:t>
      </w:r>
      <w:r>
        <w:rPr>
          <w:rStyle w:val="14"/>
          <w:rFonts w:hint="eastAsia" w:ascii="宋体" w:hAnsi="宋体" w:cs="宋体"/>
          <w:color w:val="auto"/>
          <w:kern w:val="0"/>
          <w:szCs w:val="22"/>
          <w:u w:val="none"/>
        </w:rPr>
        <w:t>www.hzbankwealth.com.cn</w:t>
      </w:r>
    </w:p>
    <w:p>
      <w:pPr>
        <w:spacing w:line="360" w:lineRule="auto"/>
        <w:ind w:firstLine="480" w:firstLineChars="200"/>
        <w:rPr>
          <w:rFonts w:ascii="宋体" w:hAnsi="宋体" w:cs="宋体"/>
          <w:kern w:val="0"/>
        </w:rPr>
      </w:pPr>
      <w:r>
        <w:rPr>
          <w:rFonts w:hint="eastAsia" w:ascii="宋体" w:hAnsi="宋体" w:cs="宋体"/>
          <w:kern w:val="0"/>
        </w:rPr>
        <w:t>客户服务热线：400-8950-999</w:t>
      </w:r>
    </w:p>
    <w:p>
      <w:pPr>
        <w:spacing w:line="360" w:lineRule="auto"/>
        <w:ind w:firstLine="480" w:firstLineChars="200"/>
        <w:rPr>
          <w:rFonts w:hint="eastAsia" w:ascii="宋体" w:hAnsi="宋体" w:cs="宋体"/>
          <w:kern w:val="0"/>
        </w:rPr>
      </w:pPr>
      <w:r>
        <w:rPr>
          <w:rFonts w:hint="eastAsia" w:ascii="宋体" w:hAnsi="宋体" w:cs="宋体"/>
          <w:kern w:val="0"/>
        </w:rPr>
        <w:t>公司地址：杭州市拱墅区庆春路38号金龙财富中心6楼</w:t>
      </w:r>
    </w:p>
    <w:p>
      <w:pPr>
        <w:spacing w:line="360" w:lineRule="auto"/>
        <w:ind w:firstLine="480" w:firstLineChars="200"/>
        <w:rPr>
          <w:rFonts w:hint="eastAsia" w:ascii="宋体" w:hAnsi="宋体" w:cs="宋体"/>
          <w:kern w:val="0"/>
        </w:rPr>
      </w:pPr>
      <w:r>
        <w:rPr>
          <w:rFonts w:hint="eastAsia" w:ascii="宋体" w:hAnsi="宋体" w:cs="宋体"/>
          <w:kern w:val="0"/>
        </w:rPr>
        <w:t>若上述联系方式变更，杭银理财将提前通过官方网站及时告知投资者。</w:t>
      </w:r>
    </w:p>
    <w:p>
      <w:pPr>
        <w:numPr>
          <w:ilvl w:val="0"/>
          <w:numId w:val="69"/>
        </w:numPr>
        <w:spacing w:line="360" w:lineRule="auto"/>
        <w:ind w:firstLine="480" w:firstLineChars="200"/>
        <w:rPr>
          <w:rFonts w:hint="eastAsia" w:ascii="宋体" w:hAnsi="宋体" w:cs="宋体"/>
          <w:kern w:val="0"/>
        </w:rPr>
      </w:pPr>
      <w:r>
        <w:rPr>
          <w:rFonts w:hint="eastAsia" w:ascii="宋体" w:hAnsi="宋体" w:cs="宋体"/>
          <w:kern w:val="0"/>
        </w:rPr>
        <w:t>杭州银行（作为销售机构）联络方式：</w:t>
      </w:r>
    </w:p>
    <w:p>
      <w:pPr>
        <w:spacing w:line="360" w:lineRule="auto"/>
        <w:ind w:firstLine="480" w:firstLineChars="200"/>
        <w:rPr>
          <w:rFonts w:hint="eastAsia" w:ascii="宋体" w:hAnsi="宋体" w:cs="宋体"/>
          <w:kern w:val="0"/>
          <w:u w:val="single"/>
        </w:rPr>
      </w:pPr>
      <w:r>
        <w:rPr>
          <w:rFonts w:hint="eastAsia" w:ascii="宋体" w:hAnsi="宋体" w:cs="宋体"/>
          <w:kern w:val="0"/>
        </w:rPr>
        <w:t xml:space="preserve">官方网站: </w:t>
      </w:r>
      <w:r>
        <w:rPr>
          <w:rFonts w:hint="eastAsia" w:ascii="宋体" w:hAnsi="宋体" w:cs="宋体"/>
          <w:kern w:val="0"/>
        </w:rPr>
        <w:fldChar w:fldCharType="begin"/>
      </w:r>
      <w:r>
        <w:rPr>
          <w:rFonts w:hint="eastAsia" w:ascii="宋体" w:hAnsi="宋体" w:cs="宋体"/>
          <w:kern w:val="0"/>
        </w:rPr>
        <w:instrText xml:space="preserve"> HYPERLINK "http://www.hzbankwealth.cn" </w:instrText>
      </w:r>
      <w:r>
        <w:rPr>
          <w:rFonts w:hint="eastAsia" w:ascii="宋体" w:hAnsi="宋体" w:cs="宋体"/>
          <w:kern w:val="0"/>
        </w:rPr>
        <w:fldChar w:fldCharType="separate"/>
      </w:r>
      <w:r>
        <w:rPr>
          <w:rStyle w:val="14"/>
          <w:rFonts w:hint="eastAsia" w:ascii="宋体" w:hAnsi="宋体" w:cs="宋体"/>
          <w:color w:val="auto"/>
          <w:kern w:val="0"/>
          <w:u w:val="none"/>
        </w:rPr>
        <w:t>www.hzbank.com.cn</w:t>
      </w:r>
      <w:r>
        <w:rPr>
          <w:rFonts w:hint="eastAsia" w:ascii="宋体" w:hAnsi="宋体" w:cs="宋体"/>
          <w:kern w:val="0"/>
        </w:rPr>
        <w:fldChar w:fldCharType="end"/>
      </w:r>
    </w:p>
    <w:p>
      <w:pPr>
        <w:spacing w:line="360" w:lineRule="auto"/>
        <w:ind w:firstLine="480" w:firstLineChars="200"/>
        <w:rPr>
          <w:rFonts w:ascii="宋体" w:hAnsi="宋体" w:cs="宋体"/>
          <w:kern w:val="0"/>
        </w:rPr>
      </w:pPr>
      <w:r>
        <w:rPr>
          <w:rFonts w:hint="eastAsia" w:ascii="宋体" w:hAnsi="宋体" w:cs="宋体"/>
          <w:kern w:val="0"/>
        </w:rPr>
        <w:t>客户服务热线：95398、4008888508</w:t>
      </w:r>
    </w:p>
    <w:p>
      <w:pPr>
        <w:spacing w:line="360" w:lineRule="auto"/>
        <w:ind w:firstLine="480" w:firstLineChars="200"/>
        <w:jc w:val="left"/>
        <w:rPr>
          <w:rFonts w:hint="eastAsia" w:ascii="宋体" w:hAnsi="宋体" w:cs="宋体"/>
          <w:kern w:val="0"/>
        </w:rPr>
      </w:pPr>
      <w:r>
        <w:rPr>
          <w:rFonts w:hint="eastAsia" w:ascii="宋体" w:hAnsi="宋体" w:cs="宋体"/>
          <w:kern w:val="0"/>
        </w:rPr>
        <w:t>在其他销售机构购买理财计划的，请联系其他销售机构，联系方式以其披露为准。</w:t>
      </w:r>
    </w:p>
    <w:p>
      <w:pPr>
        <w:spacing w:line="360" w:lineRule="auto"/>
        <w:jc w:val="center"/>
        <w:outlineLvl w:val="0"/>
        <w:rPr>
          <w:rFonts w:hint="eastAsia"/>
          <w:b/>
          <w:sz w:val="44"/>
          <w:szCs w:val="44"/>
        </w:rPr>
      </w:pPr>
      <w:r>
        <w:rPr>
          <w:rFonts w:hint="eastAsia"/>
          <w:b/>
          <w:sz w:val="44"/>
          <w:szCs w:val="44"/>
        </w:rPr>
        <w:br w:type="page"/>
      </w:r>
      <w:r>
        <w:rPr>
          <w:rFonts w:hint="eastAsia"/>
          <w:b/>
          <w:sz w:val="44"/>
          <w:szCs w:val="44"/>
        </w:rPr>
        <w:t>杭银理财理财计划投资协议书</w:t>
      </w:r>
    </w:p>
    <w:p>
      <w:pPr>
        <w:jc w:val="center"/>
        <w:rPr>
          <w:rFonts w:hint="eastAsia"/>
          <w:b/>
          <w:sz w:val="44"/>
          <w:szCs w:val="44"/>
        </w:rPr>
      </w:pPr>
      <w:r>
        <w:rPr>
          <w:rFonts w:hint="eastAsia" w:ascii="宋体" w:hAnsi="宋体" w:cs="宋体"/>
          <w:sz w:val="28"/>
          <w:szCs w:val="28"/>
        </w:rPr>
        <w:t>（202201版）</w:t>
      </w:r>
    </w:p>
    <w:p>
      <w:pPr>
        <w:spacing w:line="360" w:lineRule="auto"/>
        <w:jc w:val="center"/>
        <w:rPr>
          <w:rFonts w:hint="eastAsia"/>
          <w:b/>
          <w:sz w:val="32"/>
          <w:szCs w:val="32"/>
        </w:rPr>
      </w:pPr>
      <w:r>
        <w:rPr>
          <w:rFonts w:hint="eastAsia" w:ascii="宋体" w:hAnsi="宋体" w:cs="宋体"/>
          <w:b/>
          <w:bCs/>
          <w:u w:val="single"/>
        </w:rPr>
        <w:t>理财非存款、产品有风险、投资须谨慎</w:t>
      </w:r>
    </w:p>
    <w:p>
      <w:pPr>
        <w:spacing w:line="360" w:lineRule="auto"/>
        <w:ind w:firstLine="482" w:firstLineChars="200"/>
        <w:rPr>
          <w:rFonts w:hint="eastAsia"/>
          <w:b/>
          <w:bCs/>
        </w:rPr>
      </w:pPr>
      <w:r>
        <w:rPr>
          <w:rFonts w:hint="eastAsia"/>
          <w:b/>
          <w:bCs/>
        </w:rPr>
        <w:t>特别提示：杭银理财理财计划投资协议书与理财计划风险揭示书、理财计划产品说明书、投资者权益须知及理财计划销售协议书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rPr>
      </w:pPr>
      <w:r>
        <w:rPr>
          <w:rFonts w:hint="eastAsia"/>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rPr>
      </w:pPr>
    </w:p>
    <w:p>
      <w:pPr>
        <w:numPr>
          <w:ilvl w:val="0"/>
          <w:numId w:val="70"/>
        </w:numPr>
        <w:spacing w:line="360" w:lineRule="auto"/>
        <w:ind w:firstLine="482" w:firstLineChars="200"/>
        <w:outlineLvl w:val="1"/>
        <w:rPr>
          <w:rFonts w:hint="eastAsia" w:ascii="宋体" w:hAnsi="宋体"/>
          <w:b/>
          <w:bCs/>
        </w:rPr>
      </w:pPr>
      <w:r>
        <w:rPr>
          <w:rFonts w:hint="eastAsia"/>
          <w:b/>
          <w:bCs/>
        </w:rPr>
        <w:t>名词释义</w:t>
      </w:r>
    </w:p>
    <w:p>
      <w:pPr>
        <w:spacing w:line="360" w:lineRule="auto"/>
        <w:ind w:firstLine="480" w:firstLineChars="200"/>
        <w:rPr>
          <w:rFonts w:hint="eastAsia"/>
          <w:bCs/>
        </w:rPr>
      </w:pPr>
      <w:r>
        <w:rPr>
          <w:rFonts w:hint="eastAsia"/>
          <w:bCs/>
        </w:rPr>
        <w:t>详见理财计划说明书“释义”部分。</w:t>
      </w:r>
    </w:p>
    <w:p>
      <w:pPr>
        <w:spacing w:line="360" w:lineRule="auto"/>
        <w:ind w:firstLine="480" w:firstLineChars="200"/>
        <w:rPr>
          <w:rFonts w:hint="eastAsia"/>
          <w:bCs/>
        </w:rPr>
      </w:pPr>
    </w:p>
    <w:p>
      <w:pPr>
        <w:numPr>
          <w:ilvl w:val="0"/>
          <w:numId w:val="70"/>
        </w:numPr>
        <w:spacing w:line="360" w:lineRule="auto"/>
        <w:ind w:firstLine="482" w:firstLineChars="200"/>
        <w:outlineLvl w:val="1"/>
        <w:rPr>
          <w:rFonts w:hint="eastAsia"/>
          <w:b/>
        </w:rPr>
      </w:pPr>
      <w:r>
        <w:rPr>
          <w:rFonts w:hint="eastAsia"/>
          <w:b/>
        </w:rPr>
        <w:t>投资者权利与义务</w:t>
      </w:r>
    </w:p>
    <w:p>
      <w:pPr>
        <w:widowControl/>
        <w:numPr>
          <w:ilvl w:val="0"/>
          <w:numId w:val="71"/>
        </w:numPr>
        <w:spacing w:line="360" w:lineRule="auto"/>
        <w:ind w:firstLine="480" w:firstLineChars="200"/>
        <w:contextualSpacing/>
        <w:outlineLvl w:val="2"/>
        <w:rPr>
          <w:rFonts w:ascii="宋体" w:hAnsi="宋体"/>
        </w:rPr>
      </w:pPr>
      <w:r>
        <w:rPr>
          <w:rFonts w:hint="eastAsia" w:ascii="宋体" w:hAnsi="宋体"/>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71"/>
        </w:numPr>
        <w:spacing w:line="360" w:lineRule="auto"/>
        <w:ind w:firstLine="480" w:firstLineChars="200"/>
        <w:contextualSpacing/>
        <w:outlineLvl w:val="2"/>
        <w:rPr>
          <w:rFonts w:ascii="宋体" w:hAnsi="宋体"/>
        </w:rPr>
      </w:pPr>
      <w:r>
        <w:rPr>
          <w:rFonts w:hint="eastAsia" w:ascii="宋体" w:hAnsi="宋体"/>
        </w:rPr>
        <w:t>投资者保证自身完全了解理财投资的性质，投资所涉及的风险以及自身风险承受能力，在慎重考虑后独立作出交易决定。</w:t>
      </w:r>
    </w:p>
    <w:p>
      <w:pPr>
        <w:widowControl/>
        <w:numPr>
          <w:ilvl w:val="0"/>
          <w:numId w:val="71"/>
        </w:numPr>
        <w:spacing w:line="360" w:lineRule="auto"/>
        <w:ind w:firstLine="480" w:firstLineChars="200"/>
        <w:contextualSpacing/>
        <w:outlineLvl w:val="2"/>
        <w:rPr>
          <w:rFonts w:ascii="宋体" w:hAnsi="宋体"/>
        </w:rPr>
      </w:pPr>
      <w:r>
        <w:rPr>
          <w:rFonts w:hint="eastAsia" w:ascii="宋体" w:hAnsi="宋体"/>
        </w:rPr>
        <w:t>投资者保证其有权利签署本协议和履行本协议所述的义务，并已为此采取一切所需的行为。</w:t>
      </w:r>
    </w:p>
    <w:p>
      <w:pPr>
        <w:widowControl/>
        <w:numPr>
          <w:ilvl w:val="0"/>
          <w:numId w:val="71"/>
        </w:numPr>
        <w:spacing w:line="360" w:lineRule="auto"/>
        <w:ind w:firstLine="480" w:firstLineChars="200"/>
        <w:contextualSpacing/>
        <w:outlineLvl w:val="2"/>
        <w:rPr>
          <w:rFonts w:ascii="宋体" w:hAnsi="宋体"/>
        </w:rPr>
      </w:pPr>
      <w:r>
        <w:rPr>
          <w:rFonts w:hint="eastAsia" w:ascii="宋体" w:hAnsi="宋体"/>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71"/>
        </w:numPr>
        <w:spacing w:line="360" w:lineRule="auto"/>
        <w:ind w:firstLine="480" w:firstLineChars="200"/>
        <w:contextualSpacing/>
        <w:outlineLvl w:val="2"/>
        <w:rPr>
          <w:rFonts w:ascii="宋体" w:hAnsi="宋体"/>
        </w:rPr>
      </w:pPr>
      <w:r>
        <w:rPr>
          <w:rFonts w:hint="eastAsia" w:ascii="宋体" w:hAnsi="宋体"/>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71"/>
        </w:numPr>
        <w:spacing w:line="360" w:lineRule="auto"/>
        <w:ind w:firstLine="480" w:firstLineChars="200"/>
        <w:contextualSpacing/>
        <w:outlineLvl w:val="2"/>
        <w:rPr>
          <w:rFonts w:ascii="宋体" w:hAnsi="宋体"/>
        </w:rPr>
      </w:pPr>
      <w:r>
        <w:rPr>
          <w:rFonts w:hint="eastAsia" w:ascii="宋体" w:hAnsi="宋体"/>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71"/>
        </w:numPr>
        <w:spacing w:line="360" w:lineRule="auto"/>
        <w:ind w:firstLine="480" w:firstLineChars="200"/>
        <w:contextualSpacing/>
        <w:outlineLvl w:val="2"/>
        <w:rPr>
          <w:rFonts w:ascii="宋体" w:hAnsi="宋体"/>
        </w:rPr>
      </w:pPr>
      <w:r>
        <w:rPr>
          <w:rFonts w:hint="eastAsia" w:ascii="宋体" w:hAnsi="宋体"/>
        </w:rPr>
        <w:t>本协议终止前，投资者不得将授权指定账户销户。若发生因投资者注销授权指定账户造成理财计划无法正常兑付的，管理人不承担任何责任。</w:t>
      </w:r>
    </w:p>
    <w:p>
      <w:pPr>
        <w:widowControl/>
        <w:numPr>
          <w:ilvl w:val="0"/>
          <w:numId w:val="71"/>
        </w:numPr>
        <w:spacing w:line="360" w:lineRule="auto"/>
        <w:ind w:firstLine="480" w:firstLineChars="200"/>
        <w:contextualSpacing/>
        <w:outlineLvl w:val="2"/>
        <w:rPr>
          <w:rFonts w:ascii="宋体" w:hAnsi="宋体"/>
        </w:rPr>
      </w:pPr>
      <w:r>
        <w:rPr>
          <w:rFonts w:hint="eastAsia" w:ascii="宋体" w:hAnsi="宋体"/>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71"/>
        </w:numPr>
        <w:spacing w:line="360" w:lineRule="auto"/>
        <w:ind w:firstLine="480" w:firstLineChars="200"/>
        <w:contextualSpacing/>
        <w:outlineLvl w:val="2"/>
        <w:rPr>
          <w:rFonts w:ascii="宋体" w:hAnsi="宋体"/>
        </w:rPr>
      </w:pPr>
      <w:r>
        <w:rPr>
          <w:rFonts w:hint="eastAsia" w:ascii="宋体" w:hAnsi="宋体"/>
        </w:rPr>
        <w:t xml:space="preserve">投资者进行投资时，应严格遵守反洗钱相关法规的规定，切实履行反洗钱及反恐怖融资义务。 </w:t>
      </w:r>
    </w:p>
    <w:p>
      <w:pPr>
        <w:spacing w:line="360" w:lineRule="auto"/>
        <w:ind w:left="482"/>
        <w:rPr>
          <w:b/>
        </w:rPr>
      </w:pPr>
    </w:p>
    <w:p>
      <w:pPr>
        <w:numPr>
          <w:ilvl w:val="0"/>
          <w:numId w:val="70"/>
        </w:numPr>
        <w:spacing w:line="360" w:lineRule="auto"/>
        <w:ind w:firstLine="482" w:firstLineChars="200"/>
        <w:outlineLvl w:val="1"/>
        <w:rPr>
          <w:rFonts w:hint="eastAsia"/>
          <w:b/>
        </w:rPr>
      </w:pPr>
      <w:r>
        <w:rPr>
          <w:rFonts w:hint="eastAsia"/>
          <w:b/>
        </w:rPr>
        <w:t>管理人权利与义务</w:t>
      </w:r>
    </w:p>
    <w:p>
      <w:pPr>
        <w:widowControl/>
        <w:numPr>
          <w:ilvl w:val="0"/>
          <w:numId w:val="72"/>
        </w:numPr>
        <w:spacing w:line="360" w:lineRule="auto"/>
        <w:ind w:firstLine="480" w:firstLineChars="200"/>
        <w:contextualSpacing/>
        <w:outlineLvl w:val="2"/>
        <w:rPr>
          <w:rFonts w:ascii="宋体" w:hAnsi="宋体"/>
        </w:rPr>
      </w:pPr>
      <w:r>
        <w:rPr>
          <w:rFonts w:hint="eastAsia" w:ascii="宋体" w:hAnsi="宋体"/>
        </w:rPr>
        <w:t xml:space="preserve">管理人应当诚实守信、勤勉尽责地履行受人之托、代人理财职责。 </w:t>
      </w:r>
    </w:p>
    <w:p>
      <w:pPr>
        <w:widowControl/>
        <w:numPr>
          <w:ilvl w:val="0"/>
          <w:numId w:val="72"/>
        </w:numPr>
        <w:spacing w:line="360" w:lineRule="auto"/>
        <w:ind w:firstLine="480" w:firstLineChars="200"/>
        <w:contextualSpacing/>
        <w:outlineLvl w:val="2"/>
        <w:rPr>
          <w:rFonts w:ascii="宋体" w:hAnsi="宋体"/>
        </w:rPr>
      </w:pPr>
      <w:r>
        <w:rPr>
          <w:rFonts w:hint="eastAsia" w:ascii="宋体" w:hAnsi="宋体"/>
        </w:rPr>
        <w:t xml:space="preserve">管理人应当按照理财计划销售文件的约定收取管理费用、确定收益分配方案、向投资者分配收益。 </w:t>
      </w:r>
    </w:p>
    <w:p>
      <w:pPr>
        <w:widowControl/>
        <w:numPr>
          <w:ilvl w:val="0"/>
          <w:numId w:val="72"/>
        </w:numPr>
        <w:spacing w:line="360" w:lineRule="auto"/>
        <w:ind w:firstLine="480" w:firstLineChars="200"/>
        <w:contextualSpacing/>
        <w:outlineLvl w:val="2"/>
        <w:rPr>
          <w:rFonts w:ascii="宋体" w:hAnsi="宋体"/>
        </w:rPr>
      </w:pPr>
      <w:r>
        <w:rPr>
          <w:rFonts w:hint="eastAsia" w:ascii="宋体" w:hAnsi="宋体"/>
        </w:rPr>
        <w:t xml:space="preserve">管理人应当按照理财计划销售文件的约定履行风险揭示及信息披露义务。 </w:t>
      </w:r>
    </w:p>
    <w:p>
      <w:pPr>
        <w:widowControl/>
        <w:numPr>
          <w:ilvl w:val="0"/>
          <w:numId w:val="72"/>
        </w:numPr>
        <w:spacing w:line="360" w:lineRule="auto"/>
        <w:ind w:firstLine="480" w:firstLineChars="200"/>
        <w:contextualSpacing/>
        <w:outlineLvl w:val="2"/>
        <w:rPr>
          <w:rFonts w:ascii="宋体" w:hAnsi="宋体"/>
        </w:rPr>
      </w:pPr>
      <w:r>
        <w:rPr>
          <w:rFonts w:hint="eastAsia" w:ascii="宋体" w:hAnsi="宋体"/>
        </w:rPr>
        <w:t xml:space="preserve">管理人应当确保理财业务与其他业务相分离，理财计划之间相分离，理财业务操作与其他业务操作相分离。 </w:t>
      </w:r>
    </w:p>
    <w:p>
      <w:pPr>
        <w:widowControl/>
        <w:numPr>
          <w:ilvl w:val="0"/>
          <w:numId w:val="72"/>
        </w:numPr>
        <w:spacing w:line="360" w:lineRule="auto"/>
        <w:ind w:firstLine="480" w:firstLineChars="200"/>
        <w:contextualSpacing/>
        <w:outlineLvl w:val="2"/>
        <w:rPr>
          <w:rFonts w:ascii="宋体" w:hAnsi="宋体"/>
        </w:rPr>
      </w:pPr>
      <w:r>
        <w:rPr>
          <w:rFonts w:ascii="宋体" w:hAnsi="宋体"/>
        </w:rPr>
        <w:t>管理人不得将理财</w:t>
      </w:r>
      <w:r>
        <w:rPr>
          <w:rFonts w:hint="eastAsia" w:ascii="宋体" w:hAnsi="宋体"/>
        </w:rPr>
        <w:t>计划</w:t>
      </w:r>
      <w:r>
        <w:rPr>
          <w:rFonts w:ascii="宋体" w:hAnsi="宋体"/>
        </w:rPr>
        <w:t>财产归入其自有资产</w:t>
      </w:r>
      <w:r>
        <w:rPr>
          <w:rFonts w:hint="eastAsia" w:ascii="宋体" w:hAnsi="宋体"/>
        </w:rPr>
        <w:t>，</w:t>
      </w:r>
      <w:r>
        <w:rPr>
          <w:rFonts w:ascii="宋体" w:hAnsi="宋体"/>
        </w:rPr>
        <w:t>因依法解散</w:t>
      </w:r>
      <w:r>
        <w:rPr>
          <w:rFonts w:hint="eastAsia" w:ascii="宋体" w:hAnsi="宋体"/>
        </w:rPr>
        <w:t>、</w:t>
      </w:r>
      <w:r>
        <w:rPr>
          <w:rFonts w:ascii="宋体" w:hAnsi="宋体"/>
        </w:rPr>
        <w:t>被依法撤销或者被依法宣告破产等原因进行清算的</w:t>
      </w:r>
      <w:r>
        <w:rPr>
          <w:rFonts w:hint="eastAsia" w:ascii="宋体" w:hAnsi="宋体"/>
        </w:rPr>
        <w:t>，</w:t>
      </w:r>
      <w:r>
        <w:rPr>
          <w:rFonts w:ascii="宋体" w:hAnsi="宋体"/>
        </w:rPr>
        <w:t>理财</w:t>
      </w:r>
      <w:r>
        <w:rPr>
          <w:rFonts w:hint="eastAsia" w:ascii="宋体" w:hAnsi="宋体"/>
        </w:rPr>
        <w:t>计划</w:t>
      </w:r>
      <w:r>
        <w:rPr>
          <w:rFonts w:ascii="宋体" w:hAnsi="宋体"/>
        </w:rPr>
        <w:t>财产不属于其清算财产</w:t>
      </w:r>
      <w:r>
        <w:rPr>
          <w:rFonts w:hint="eastAsia" w:ascii="宋体" w:hAnsi="宋体"/>
        </w:rPr>
        <w:t>。</w:t>
      </w:r>
    </w:p>
    <w:p>
      <w:pPr>
        <w:widowControl/>
        <w:numPr>
          <w:ilvl w:val="0"/>
          <w:numId w:val="72"/>
        </w:numPr>
        <w:spacing w:line="360" w:lineRule="auto"/>
        <w:ind w:firstLine="480" w:firstLineChars="200"/>
        <w:contextualSpacing/>
        <w:outlineLvl w:val="2"/>
        <w:rPr>
          <w:rFonts w:ascii="宋体" w:hAnsi="宋体"/>
        </w:rPr>
      </w:pPr>
      <w:r>
        <w:rPr>
          <w:rFonts w:hint="eastAsia" w:ascii="宋体" w:hAnsi="宋体"/>
        </w:rPr>
        <w:t xml:space="preserve">管理人应当选择具有证券投资基金托管业务资格的金融机构、银行业理财登记托管机构或者国务院银行业监督管理机构认可的其他机构托管理财计划。 </w:t>
      </w:r>
    </w:p>
    <w:p>
      <w:pPr>
        <w:widowControl/>
        <w:numPr>
          <w:ilvl w:val="0"/>
          <w:numId w:val="72"/>
        </w:numPr>
        <w:spacing w:line="360" w:lineRule="auto"/>
        <w:ind w:firstLine="480" w:firstLineChars="200"/>
        <w:contextualSpacing/>
        <w:outlineLvl w:val="2"/>
        <w:rPr>
          <w:rFonts w:ascii="宋体" w:hAnsi="宋体"/>
        </w:rPr>
      </w:pPr>
      <w:r>
        <w:rPr>
          <w:rFonts w:hint="eastAsia" w:ascii="宋体" w:hAnsi="宋体"/>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72"/>
        </w:numPr>
        <w:spacing w:line="360" w:lineRule="auto"/>
        <w:contextualSpacing/>
        <w:outlineLvl w:val="2"/>
        <w:rPr>
          <w:rFonts w:ascii="宋体" w:hAnsi="宋体"/>
        </w:rPr>
      </w:pPr>
      <w:r>
        <w:rPr>
          <w:rFonts w:hint="eastAsia" w:ascii="宋体" w:hAnsi="宋体"/>
        </w:rPr>
        <w:t xml:space="preserve">管理人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 </w:t>
      </w:r>
    </w:p>
    <w:p>
      <w:pPr>
        <w:widowControl/>
        <w:numPr>
          <w:ilvl w:val="0"/>
          <w:numId w:val="72"/>
        </w:numPr>
        <w:spacing w:line="360" w:lineRule="auto"/>
        <w:ind w:firstLine="480" w:firstLineChars="200"/>
        <w:contextualSpacing/>
        <w:outlineLvl w:val="2"/>
        <w:rPr>
          <w:rFonts w:ascii="宋体" w:hAnsi="宋体"/>
        </w:rPr>
      </w:pPr>
      <w:r>
        <w:rPr>
          <w:rFonts w:hint="eastAsia" w:ascii="宋体" w:hAnsi="宋体"/>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rPr>
      </w:pPr>
    </w:p>
    <w:p>
      <w:pPr>
        <w:numPr>
          <w:ilvl w:val="0"/>
          <w:numId w:val="70"/>
        </w:numPr>
        <w:spacing w:line="360" w:lineRule="auto"/>
        <w:ind w:firstLine="482" w:firstLineChars="200"/>
        <w:outlineLvl w:val="1"/>
        <w:rPr>
          <w:rFonts w:hint="eastAsia"/>
          <w:b/>
        </w:rPr>
      </w:pPr>
      <w:r>
        <w:rPr>
          <w:rFonts w:hint="eastAsia"/>
          <w:b/>
        </w:rPr>
        <w:t>理财计划认（申）购、赎回及终止</w:t>
      </w:r>
    </w:p>
    <w:p>
      <w:pPr>
        <w:widowControl/>
        <w:numPr>
          <w:ilvl w:val="0"/>
          <w:numId w:val="73"/>
        </w:numPr>
        <w:spacing w:line="360" w:lineRule="auto"/>
        <w:ind w:firstLine="480" w:firstLineChars="200"/>
        <w:contextualSpacing/>
        <w:outlineLvl w:val="2"/>
        <w:rPr>
          <w:rFonts w:ascii="宋体" w:hAnsi="宋体"/>
        </w:rPr>
      </w:pPr>
      <w:r>
        <w:rPr>
          <w:rFonts w:hint="eastAsia" w:ascii="宋体" w:hAnsi="宋体"/>
        </w:rPr>
        <w:t xml:space="preserve">理财计划认/申购办理流程：参照《投资者权益须知》约定。 </w:t>
      </w:r>
    </w:p>
    <w:p>
      <w:pPr>
        <w:widowControl/>
        <w:numPr>
          <w:ilvl w:val="0"/>
          <w:numId w:val="73"/>
        </w:numPr>
        <w:spacing w:line="360" w:lineRule="auto"/>
        <w:ind w:firstLine="480" w:firstLineChars="200"/>
        <w:contextualSpacing/>
        <w:outlineLvl w:val="2"/>
        <w:rPr>
          <w:rFonts w:ascii="宋体" w:hAnsi="宋体"/>
        </w:rPr>
      </w:pPr>
      <w:r>
        <w:rPr>
          <w:rFonts w:hint="eastAsia" w:ascii="宋体" w:hAnsi="宋体"/>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73"/>
        </w:numPr>
        <w:spacing w:line="360" w:lineRule="auto"/>
        <w:ind w:firstLine="480" w:firstLineChars="200"/>
        <w:contextualSpacing/>
        <w:outlineLvl w:val="2"/>
        <w:rPr>
          <w:rFonts w:ascii="宋体" w:hAnsi="宋体"/>
        </w:rPr>
      </w:pPr>
      <w:r>
        <w:rPr>
          <w:rFonts w:hint="eastAsia" w:ascii="宋体" w:hAnsi="宋体"/>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73"/>
        </w:numPr>
        <w:spacing w:line="360" w:lineRule="auto"/>
        <w:ind w:firstLine="480" w:firstLineChars="200"/>
        <w:contextualSpacing/>
        <w:outlineLvl w:val="2"/>
        <w:rPr>
          <w:rFonts w:hint="eastAsia" w:ascii="宋体" w:hAnsi="宋体"/>
        </w:rPr>
      </w:pPr>
      <w:r>
        <w:rPr>
          <w:rFonts w:hint="eastAsia" w:ascii="宋体" w:hAnsi="宋体"/>
        </w:rPr>
        <w:t xml:space="preserve">理财计划投资品种、投资起点金额、收益支付方式：参照对应期次的《理财计划产品说明书》中的条款约定。 </w:t>
      </w:r>
    </w:p>
    <w:p>
      <w:pPr>
        <w:widowControl/>
        <w:numPr>
          <w:ilvl w:val="0"/>
          <w:numId w:val="73"/>
        </w:numPr>
        <w:spacing w:line="360" w:lineRule="auto"/>
        <w:ind w:firstLine="480" w:firstLineChars="200"/>
        <w:contextualSpacing/>
        <w:outlineLvl w:val="2"/>
        <w:rPr>
          <w:rFonts w:ascii="宋体" w:hAnsi="宋体"/>
        </w:rPr>
      </w:pPr>
      <w:r>
        <w:rPr>
          <w:rFonts w:hint="eastAsia" w:ascii="宋体" w:hAnsi="宋体"/>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73"/>
        </w:numPr>
        <w:spacing w:line="360" w:lineRule="auto"/>
        <w:ind w:firstLine="480" w:firstLineChars="200"/>
        <w:contextualSpacing/>
        <w:outlineLvl w:val="2"/>
        <w:rPr>
          <w:rFonts w:ascii="宋体" w:hAnsi="宋体"/>
        </w:rPr>
      </w:pPr>
      <w:r>
        <w:rPr>
          <w:rFonts w:hint="eastAsia" w:ascii="宋体" w:hAnsi="宋体"/>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rPr>
      </w:pPr>
    </w:p>
    <w:p>
      <w:pPr>
        <w:numPr>
          <w:ilvl w:val="0"/>
          <w:numId w:val="70"/>
        </w:numPr>
        <w:spacing w:line="360" w:lineRule="auto"/>
        <w:ind w:firstLine="482" w:firstLineChars="200"/>
        <w:outlineLvl w:val="1"/>
        <w:rPr>
          <w:rFonts w:hint="eastAsia"/>
          <w:b/>
        </w:rPr>
      </w:pPr>
      <w:r>
        <w:rPr>
          <w:rFonts w:hint="eastAsia"/>
          <w:b/>
        </w:rPr>
        <w:t>税收处理</w:t>
      </w:r>
    </w:p>
    <w:p>
      <w:pPr>
        <w:widowControl/>
        <w:spacing w:line="360" w:lineRule="auto"/>
        <w:ind w:firstLine="480" w:firstLineChars="200"/>
        <w:contextualSpacing/>
        <w:rPr>
          <w:rFonts w:hint="eastAsia" w:ascii="宋体" w:hAnsi="宋体"/>
        </w:rPr>
      </w:pPr>
      <w:r>
        <w:rPr>
          <w:rFonts w:hint="eastAsia" w:ascii="宋体" w:hAnsi="宋体"/>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rPr>
      </w:pPr>
    </w:p>
    <w:p>
      <w:pPr>
        <w:numPr>
          <w:ilvl w:val="0"/>
          <w:numId w:val="70"/>
        </w:numPr>
        <w:spacing w:line="360" w:lineRule="auto"/>
        <w:ind w:firstLine="482" w:firstLineChars="200"/>
        <w:outlineLvl w:val="1"/>
        <w:rPr>
          <w:rFonts w:hint="eastAsia"/>
          <w:b/>
        </w:rPr>
      </w:pPr>
      <w:r>
        <w:rPr>
          <w:rFonts w:hint="eastAsia"/>
          <w:b/>
        </w:rPr>
        <w:t>违约责任及免责条款</w:t>
      </w:r>
    </w:p>
    <w:p>
      <w:pPr>
        <w:widowControl/>
        <w:numPr>
          <w:ilvl w:val="0"/>
          <w:numId w:val="74"/>
        </w:numPr>
        <w:spacing w:line="360" w:lineRule="auto"/>
        <w:ind w:firstLine="480" w:firstLineChars="200"/>
        <w:contextualSpacing/>
        <w:outlineLvl w:val="2"/>
        <w:rPr>
          <w:rFonts w:ascii="宋体" w:hAnsi="宋体"/>
        </w:rPr>
      </w:pPr>
      <w:r>
        <w:rPr>
          <w:rFonts w:hint="eastAsia" w:ascii="宋体" w:hAnsi="宋体"/>
        </w:rPr>
        <w:t>若因投资人原因导致司法或行政机构采取强制措施对其理财本金、收益进行部分或全部被扣划，均视投资者本人就全部理财本金违约进行了提前赎回，本合同自动终止。因提前终止而产生的损失及相关费用由投资者承担。本合同前述情况终止的，理财本金不计付赎回日前的理财收益，也不计付存款利息。</w:t>
      </w:r>
    </w:p>
    <w:p>
      <w:pPr>
        <w:widowControl/>
        <w:numPr>
          <w:ilvl w:val="0"/>
          <w:numId w:val="74"/>
        </w:numPr>
        <w:spacing w:line="360" w:lineRule="auto"/>
        <w:ind w:firstLine="480" w:firstLineChars="200"/>
        <w:contextualSpacing/>
        <w:outlineLvl w:val="2"/>
        <w:rPr>
          <w:rFonts w:ascii="宋体" w:hAnsi="宋体"/>
        </w:rPr>
      </w:pPr>
      <w:r>
        <w:rPr>
          <w:rFonts w:hint="eastAsia" w:ascii="宋体" w:hAnsi="宋体"/>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74"/>
        </w:numPr>
        <w:spacing w:line="360" w:lineRule="auto"/>
        <w:ind w:firstLine="480" w:firstLineChars="200"/>
        <w:contextualSpacing/>
        <w:outlineLvl w:val="2"/>
        <w:rPr>
          <w:rFonts w:ascii="宋体" w:hAnsi="宋体"/>
        </w:rPr>
      </w:pPr>
      <w:r>
        <w:rPr>
          <w:rFonts w:hint="eastAsia" w:ascii="宋体" w:hAnsi="宋体"/>
        </w:rPr>
        <w:t>若由于管理人过错导致理财计划资产发生损失，管理人应按其过错承担赔偿责任，管理人赔偿的款项计入本理财计划的资产和收益，由所有投资者按理财本金比例分配。</w:t>
      </w:r>
    </w:p>
    <w:p>
      <w:pPr>
        <w:widowControl/>
        <w:numPr>
          <w:ilvl w:val="0"/>
          <w:numId w:val="74"/>
        </w:numPr>
        <w:spacing w:line="360" w:lineRule="auto"/>
        <w:ind w:firstLine="480" w:firstLineChars="200"/>
        <w:contextualSpacing/>
        <w:outlineLvl w:val="2"/>
        <w:rPr>
          <w:rFonts w:hint="eastAsia" w:ascii="宋体" w:hAnsi="宋体"/>
        </w:rPr>
      </w:pPr>
      <w:r>
        <w:rPr>
          <w:rFonts w:hint="eastAsia" w:ascii="宋体" w:hAnsi="宋体"/>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74"/>
        </w:numPr>
        <w:spacing w:line="360" w:lineRule="auto"/>
        <w:ind w:firstLine="480" w:firstLineChars="200"/>
        <w:contextualSpacing/>
        <w:outlineLvl w:val="2"/>
        <w:rPr>
          <w:rFonts w:hint="eastAsia" w:ascii="宋体" w:hAnsi="宋体"/>
        </w:rPr>
      </w:pPr>
      <w:r>
        <w:rPr>
          <w:rFonts w:hint="eastAsia" w:ascii="宋体" w:hAnsi="宋体"/>
        </w:rPr>
        <w:t>因国家有关法律、法规、规章、政策的修改或新的法律、法规、规章、政策颁布以及紧急措施的出台导致的风险及损失，管理人不承担责任。</w:t>
      </w:r>
    </w:p>
    <w:p>
      <w:pPr>
        <w:widowControl/>
        <w:numPr>
          <w:ilvl w:val="0"/>
          <w:numId w:val="74"/>
        </w:numPr>
        <w:spacing w:line="360" w:lineRule="auto"/>
        <w:ind w:firstLine="480" w:firstLineChars="200"/>
        <w:contextualSpacing/>
        <w:outlineLvl w:val="2"/>
        <w:rPr>
          <w:rFonts w:hint="eastAsia" w:ascii="宋体" w:hAnsi="宋体"/>
        </w:rPr>
      </w:pPr>
      <w:r>
        <w:rPr>
          <w:rFonts w:hint="eastAsia" w:ascii="宋体" w:hAnsi="宋体"/>
        </w:rPr>
        <w:t>管理人若严格按照产品说明书相关规定进行投资运作，给投资者造成损失的，应免除管理人责任。</w:t>
      </w:r>
    </w:p>
    <w:p>
      <w:pPr>
        <w:widowControl/>
        <w:spacing w:line="360" w:lineRule="auto"/>
        <w:contextualSpacing/>
        <w:rPr>
          <w:rFonts w:ascii="宋体" w:hAnsi="宋体"/>
        </w:rPr>
      </w:pPr>
    </w:p>
    <w:p>
      <w:pPr>
        <w:numPr>
          <w:ilvl w:val="0"/>
          <w:numId w:val="70"/>
        </w:numPr>
        <w:spacing w:line="360" w:lineRule="auto"/>
        <w:ind w:firstLine="482" w:firstLineChars="200"/>
        <w:outlineLvl w:val="1"/>
        <w:rPr>
          <w:b/>
        </w:rPr>
      </w:pPr>
      <w:r>
        <w:rPr>
          <w:rFonts w:hint="eastAsia"/>
          <w:b/>
        </w:rPr>
        <w:t>适用法律与争议解决</w:t>
      </w:r>
    </w:p>
    <w:p>
      <w:pPr>
        <w:widowControl/>
        <w:spacing w:line="360" w:lineRule="auto"/>
        <w:ind w:firstLine="480" w:firstLineChars="200"/>
        <w:contextualSpacing/>
        <w:rPr>
          <w:rFonts w:ascii="宋体" w:hAnsi="宋体"/>
        </w:rPr>
      </w:pPr>
      <w:r>
        <w:rPr>
          <w:rFonts w:hint="eastAsia" w:ascii="宋体" w:hAnsi="宋体"/>
        </w:rPr>
        <w:t>本合同适用</w:t>
      </w:r>
      <w:r>
        <w:rPr>
          <w:rFonts w:hint="eastAsia" w:ascii="宋体" w:hAnsi="宋体" w:cs="宋体"/>
          <w:bCs/>
          <w:color w:val="000000"/>
        </w:rPr>
        <w:t>中华人民共和国（仅为明确本合同适用法律规则，不含香港特别行政区、澳门特别行政区及中国台湾地区）</w:t>
      </w:r>
      <w:r>
        <w:rPr>
          <w:rFonts w:hint="eastAsia" w:ascii="宋体" w:hAnsi="宋体"/>
        </w:rPr>
        <w:t>的法律和行政法规。本合同项下的及与之有关的一切争议，投资者与管理人双方应首先协商解决，协商不成的，应提交销售机构或管理人所在地人民法院司法裁决。诉讼期间，未涉及争议的条款仍需继续履行。</w:t>
      </w:r>
    </w:p>
    <w:p>
      <w:pPr>
        <w:spacing w:line="360" w:lineRule="auto"/>
        <w:ind w:left="482"/>
        <w:rPr>
          <w:b/>
        </w:rPr>
      </w:pPr>
    </w:p>
    <w:p>
      <w:pPr>
        <w:numPr>
          <w:ilvl w:val="0"/>
          <w:numId w:val="70"/>
        </w:numPr>
        <w:spacing w:line="360" w:lineRule="auto"/>
        <w:ind w:firstLine="482" w:firstLineChars="200"/>
        <w:outlineLvl w:val="1"/>
        <w:rPr>
          <w:rFonts w:hint="eastAsia"/>
          <w:b/>
        </w:rPr>
      </w:pPr>
      <w:r>
        <w:rPr>
          <w:rFonts w:hint="eastAsia"/>
          <w:b/>
        </w:rPr>
        <w:t>协议生效和终止</w:t>
      </w:r>
    </w:p>
    <w:p>
      <w:pPr>
        <w:widowControl/>
        <w:numPr>
          <w:ilvl w:val="0"/>
          <w:numId w:val="75"/>
        </w:numPr>
        <w:spacing w:line="360" w:lineRule="auto"/>
        <w:ind w:firstLine="480" w:firstLineChars="200"/>
        <w:contextualSpacing/>
        <w:outlineLvl w:val="2"/>
        <w:rPr>
          <w:rFonts w:ascii="宋体" w:hAnsi="宋体"/>
        </w:rPr>
      </w:pPr>
      <w:r>
        <w:rPr>
          <w:rFonts w:hint="eastAsia" w:ascii="宋体" w:hAnsi="宋体"/>
        </w:rPr>
        <w:t xml:space="preserve">投资者和管理人双方认可本协议可以纸质或电子数据等形式提交、订立或确认。 </w:t>
      </w:r>
    </w:p>
    <w:p>
      <w:pPr>
        <w:widowControl/>
        <w:numPr>
          <w:ilvl w:val="0"/>
          <w:numId w:val="75"/>
        </w:numPr>
        <w:spacing w:line="360" w:lineRule="auto"/>
        <w:ind w:firstLine="480" w:firstLineChars="200"/>
        <w:contextualSpacing/>
        <w:outlineLvl w:val="2"/>
        <w:rPr>
          <w:rFonts w:hint="eastAsia" w:ascii="宋体" w:hAnsi="宋体"/>
        </w:rPr>
      </w:pPr>
      <w:r>
        <w:rPr>
          <w:rFonts w:hint="eastAsia" w:ascii="宋体" w:hAnsi="宋体"/>
        </w:rPr>
        <w:t xml:space="preserve">本协议书以纸质书面形式订立的，自投资者签字和销售机构代表管理人签署盖章之后立即生效。协议一式贰份，投资者和管理人双方各执壹份，具有同等法律效力。 </w:t>
      </w:r>
    </w:p>
    <w:p>
      <w:pPr>
        <w:widowControl/>
        <w:numPr>
          <w:ilvl w:val="0"/>
          <w:numId w:val="75"/>
        </w:numPr>
        <w:spacing w:line="360" w:lineRule="auto"/>
        <w:ind w:firstLine="480" w:firstLineChars="200"/>
        <w:contextualSpacing/>
        <w:outlineLvl w:val="2"/>
        <w:rPr>
          <w:rFonts w:hint="eastAsia" w:ascii="宋体" w:hAnsi="宋体"/>
        </w:rPr>
      </w:pPr>
      <w:r>
        <w:rPr>
          <w:rFonts w:hint="eastAsia" w:ascii="宋体" w:hAnsi="宋体"/>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75"/>
        </w:numPr>
        <w:spacing w:line="360" w:lineRule="auto"/>
        <w:ind w:firstLine="480" w:firstLineChars="200"/>
        <w:contextualSpacing/>
        <w:outlineLvl w:val="2"/>
        <w:rPr>
          <w:rFonts w:hint="eastAsia" w:ascii="宋体" w:hAnsi="宋体"/>
        </w:rPr>
      </w:pPr>
      <w:r>
        <w:rPr>
          <w:rFonts w:hint="eastAsia" w:ascii="宋体" w:hAnsi="宋体"/>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rPr>
      </w:pPr>
    </w:p>
    <w:p>
      <w:pPr>
        <w:numPr>
          <w:ilvl w:val="0"/>
          <w:numId w:val="70"/>
        </w:numPr>
        <w:spacing w:line="360" w:lineRule="auto"/>
        <w:ind w:firstLine="482" w:firstLineChars="200"/>
        <w:outlineLvl w:val="1"/>
        <w:rPr>
          <w:b/>
        </w:rPr>
      </w:pPr>
      <w:r>
        <w:rPr>
          <w:rFonts w:hint="eastAsia"/>
          <w:b/>
        </w:rPr>
        <w:t>附则</w:t>
      </w:r>
    </w:p>
    <w:p>
      <w:pPr>
        <w:widowControl/>
        <w:numPr>
          <w:ilvl w:val="0"/>
          <w:numId w:val="76"/>
        </w:numPr>
        <w:spacing w:line="360" w:lineRule="auto"/>
        <w:ind w:firstLine="480" w:firstLineChars="200"/>
        <w:contextualSpacing/>
        <w:outlineLvl w:val="2"/>
        <w:rPr>
          <w:rFonts w:ascii="宋体" w:hAnsi="宋体"/>
        </w:rPr>
      </w:pPr>
      <w:r>
        <w:rPr>
          <w:rFonts w:hint="eastAsia" w:ascii="宋体" w:hAnsi="宋体"/>
        </w:rPr>
        <w:t>如果投资者与管理人之间存在多份理财计划协议书，则每一份协议书分别与其所对应的产品说明书等销售文本单独构成一个理财计划交易合同，各个合同之间互相独立，每一合同的效力及履行情况均独立于其他合同。</w:t>
      </w:r>
    </w:p>
    <w:p>
      <w:pPr>
        <w:widowControl/>
        <w:numPr>
          <w:ilvl w:val="0"/>
          <w:numId w:val="76"/>
        </w:numPr>
        <w:spacing w:line="360" w:lineRule="auto"/>
        <w:ind w:firstLine="480" w:firstLineChars="200"/>
        <w:contextualSpacing/>
        <w:outlineLvl w:val="2"/>
        <w:rPr>
          <w:rFonts w:ascii="宋体" w:hAnsi="宋体"/>
        </w:rPr>
      </w:pPr>
      <w:r>
        <w:rPr>
          <w:rFonts w:hint="eastAsia" w:ascii="宋体" w:hAnsi="宋体"/>
        </w:rPr>
        <w:t>如果由于任何原因使本合同下的任何条款或内容成为无效或被依法撤销，本合同其他条款或内容的合法性、有效性和可执行性不受影响。</w:t>
      </w:r>
    </w:p>
    <w:p>
      <w:pPr>
        <w:widowControl/>
        <w:numPr>
          <w:ilvl w:val="0"/>
          <w:numId w:val="76"/>
        </w:numPr>
        <w:spacing w:line="360" w:lineRule="auto"/>
        <w:ind w:firstLine="480" w:firstLineChars="200"/>
        <w:contextualSpacing/>
        <w:outlineLvl w:val="2"/>
        <w:rPr>
          <w:rFonts w:ascii="宋体" w:hAnsi="宋体"/>
        </w:rPr>
      </w:pPr>
      <w:r>
        <w:rPr>
          <w:rFonts w:hint="eastAsia" w:ascii="宋体" w:hAnsi="宋体"/>
        </w:rPr>
        <w:t>在理财计划存续期内，如因监管政策或法律法规发生变化，在不损害投资者利益的前提下，管理人有权单方对理财计划合同进行修订。</w:t>
      </w:r>
    </w:p>
    <w:p>
      <w:pPr>
        <w:spacing w:line="360" w:lineRule="auto"/>
        <w:ind w:firstLine="480" w:firstLineChars="200"/>
        <w:rPr>
          <w:rFonts w:ascii="宋体" w:hAnsi="宋体" w:cs="宋体"/>
          <w:bCs/>
          <w:color w:val="000000"/>
        </w:rPr>
      </w:pPr>
    </w:p>
    <w:p>
      <w:pPr>
        <w:spacing w:line="360" w:lineRule="auto"/>
        <w:ind w:firstLine="480" w:firstLineChars="200"/>
        <w:rPr>
          <w:rFonts w:ascii="宋体" w:hAnsi="宋体" w:cs="宋体"/>
          <w:bCs/>
          <w:color w:val="000000"/>
        </w:rPr>
      </w:pPr>
    </w:p>
    <w:p>
      <w:pPr>
        <w:pStyle w:val="9"/>
        <w:widowControl/>
        <w:spacing w:line="360" w:lineRule="auto"/>
        <w:jc w:val="right"/>
        <w:rPr>
          <w:rFonts w:hint="eastAsia" w:ascii="宋体" w:hAnsi="Wingdings" w:cs="宋体"/>
          <w:color w:val="000000"/>
          <w:kern w:val="0"/>
        </w:rPr>
      </w:pPr>
      <w:r>
        <w:rPr>
          <w:rFonts w:hint="eastAsia" w:ascii="宋体" w:hAnsi="宋体" w:cs="宋体"/>
          <w:kern w:val="0"/>
        </w:rPr>
        <w:t>杭银理财有限责任公司</w:t>
      </w:r>
    </w:p>
    <w:p>
      <w:pPr>
        <w:spacing w:line="360" w:lineRule="auto"/>
        <w:rPr>
          <w:rFonts w:ascii="宋体" w:hAnsi="宋体" w:cs="宋体"/>
          <w:bCs/>
          <w:color w:val="000000"/>
        </w:rPr>
      </w:pPr>
    </w:p>
    <w:p>
      <w:pPr>
        <w:spacing w:line="360" w:lineRule="auto"/>
        <w:rPr>
          <w:rFonts w:ascii="宋体" w:hAnsi="宋体" w:cs="宋体"/>
          <w:bCs/>
          <w:color w:val="000000"/>
        </w:rPr>
      </w:pPr>
    </w:p>
    <w:p>
      <w:pPr>
        <w:spacing w:line="360" w:lineRule="auto"/>
        <w:rPr>
          <w:rFonts w:ascii="宋体" w:hAnsi="宋体" w:cs="宋体"/>
          <w:bCs/>
          <w:color w:val="000000"/>
        </w:rPr>
      </w:pPr>
    </w:p>
    <w:p>
      <w:pPr>
        <w:jc w:val="center"/>
        <w:outlineLvl w:val="0"/>
        <w:rPr>
          <w:rFonts w:hint="eastAsia"/>
          <w:b/>
          <w:sz w:val="44"/>
          <w:szCs w:val="44"/>
        </w:rPr>
      </w:pPr>
      <w:r>
        <w:rPr>
          <w:rFonts w:hint="eastAsia"/>
          <w:b/>
          <w:sz w:val="44"/>
          <w:szCs w:val="44"/>
        </w:rPr>
        <w:br w:type="page"/>
      </w:r>
      <w:r>
        <w:rPr>
          <w:rFonts w:hint="eastAsia"/>
          <w:b/>
          <w:sz w:val="44"/>
          <w:szCs w:val="44"/>
        </w:rPr>
        <w:t>杭银理财理财计划销售协议书</w:t>
      </w:r>
    </w:p>
    <w:p>
      <w:pPr>
        <w:jc w:val="center"/>
        <w:rPr>
          <w:rFonts w:hint="eastAsia" w:ascii="宋体" w:hAnsi="宋体" w:cs="宋体"/>
          <w:sz w:val="28"/>
          <w:szCs w:val="28"/>
        </w:rPr>
      </w:pPr>
      <w:r>
        <w:rPr>
          <w:rFonts w:hint="eastAsia" w:ascii="宋体" w:hAnsi="宋体" w:cs="宋体"/>
          <w:sz w:val="28"/>
          <w:szCs w:val="28"/>
        </w:rPr>
        <w:t>（202201版）</w:t>
      </w:r>
    </w:p>
    <w:p>
      <w:pPr>
        <w:spacing w:line="360" w:lineRule="auto"/>
        <w:jc w:val="center"/>
        <w:rPr>
          <w:sz w:val="32"/>
          <w:szCs w:val="40"/>
        </w:rPr>
      </w:pPr>
      <w:r>
        <w:rPr>
          <w:rFonts w:hint="eastAsia" w:ascii="宋体" w:hAnsi="宋体" w:cs="宋体"/>
          <w:b/>
          <w:bCs/>
          <w:u w:val="single"/>
        </w:rPr>
        <w:t>理财非存款、产品有风险、投资须谨慎</w:t>
      </w:r>
    </w:p>
    <w:p>
      <w:pPr>
        <w:spacing w:line="360" w:lineRule="auto"/>
        <w:ind w:firstLine="482" w:firstLineChars="200"/>
        <w:rPr>
          <w:rFonts w:hint="eastAsia"/>
          <w:b/>
          <w:bCs/>
        </w:rPr>
      </w:pPr>
      <w:r>
        <w:rPr>
          <w:rFonts w:hint="eastAsia"/>
          <w:b/>
          <w:bCs/>
        </w:rPr>
        <w:t>特别提示：《杭银理财理财计划销售协议书</w:t>
      </w:r>
      <w:r>
        <w:rPr>
          <w:rFonts w:hint="eastAsia" w:ascii="宋体" w:hAnsi="宋体" w:cs="宋体"/>
          <w:b/>
          <w:bCs/>
        </w:rPr>
        <w:t>（202201版）</w:t>
      </w:r>
      <w:r>
        <w:rPr>
          <w:rFonts w:hint="eastAsia"/>
          <w:b/>
          <w:bCs/>
        </w:rPr>
        <w:t>》与对应期次的理财计划风险揭示书、理财计划产品说明书、投资者权益须知及理财计划投资协议书共同构成完整且不可分割的理财计划合同。杭银理财有限责任公司（以下简称“杭银理财”）建议投资者在购买理财计划前认真阅读全套理财计划合同，投资者签署本协议书（含电子渠道签署）即视为已详细阅读理财计划合同并知悉相关风险，自愿投资购买理财计划、遵守合同约定并承担相应风险。</w:t>
      </w:r>
    </w:p>
    <w:p>
      <w:pPr>
        <w:spacing w:line="360" w:lineRule="auto"/>
        <w:ind w:firstLine="482" w:firstLineChars="200"/>
        <w:rPr>
          <w:b/>
          <w:bCs/>
        </w:rPr>
      </w:pPr>
      <w:r>
        <w:rPr>
          <w:rFonts w:hint="eastAsia"/>
          <w:b/>
          <w:bCs/>
        </w:rPr>
        <w:t>理财非存款、产品有风险、投资须谨慎，理财计划过往业绩不代表其未来表现，不等于理财计划实际收益。</w:t>
      </w:r>
    </w:p>
    <w:p>
      <w:pPr>
        <w:widowControl/>
        <w:spacing w:line="360" w:lineRule="auto"/>
        <w:ind w:firstLine="480" w:firstLineChars="200"/>
        <w:rPr>
          <w:rFonts w:hint="eastAsia"/>
        </w:rPr>
      </w:pPr>
      <w:r>
        <w:rPr>
          <w:rFonts w:hint="eastAsia"/>
        </w:rPr>
        <w:t>理财计划销售的相关法律主体为发行理财计划的理财公司、理财公司自有销售渠道以及接受理财公司委托销售其发行理财计划的代理销售机构（以下简称“销售机构”）和投资者三方。理财公司是理财计划的设计发行方与管理人，理财公司和销售机构面向投资者实施销售行为，两方共同承担理财计划的合规销售和投资者合法权益保护义务。</w:t>
      </w:r>
    </w:p>
    <w:p>
      <w:pPr>
        <w:widowControl/>
        <w:spacing w:line="360" w:lineRule="auto"/>
        <w:ind w:firstLine="480" w:firstLineChars="200"/>
        <w:rPr>
          <w:rFonts w:hint="eastAsia"/>
        </w:rPr>
      </w:pPr>
      <w:r>
        <w:rPr>
          <w:rFonts w:hint="eastAsia"/>
        </w:rPr>
        <w:t>投资者与销售机构经平等友好协商，本着自愿、诚实信用原则，就投资者购买销售机构代理销售的理财计划有关事宜达成如下协议（以下简称“本协议”）：</w:t>
      </w:r>
    </w:p>
    <w:p>
      <w:pPr>
        <w:widowControl/>
        <w:spacing w:line="360" w:lineRule="auto"/>
        <w:ind w:firstLine="480" w:firstLineChars="200"/>
        <w:rPr>
          <w:rFonts w:hint="eastAsia"/>
        </w:rPr>
      </w:pPr>
    </w:p>
    <w:p>
      <w:pPr>
        <w:widowControl/>
        <w:spacing w:line="360" w:lineRule="auto"/>
        <w:ind w:firstLine="482" w:firstLineChars="200"/>
        <w:outlineLvl w:val="1"/>
        <w:rPr>
          <w:rFonts w:hint="eastAsia"/>
          <w:b/>
          <w:bCs/>
        </w:rPr>
      </w:pPr>
      <w:r>
        <w:rPr>
          <w:rFonts w:hint="eastAsia"/>
          <w:b/>
          <w:bCs/>
        </w:rPr>
        <w:t>第一条 名词释义</w:t>
      </w:r>
    </w:p>
    <w:p>
      <w:pPr>
        <w:widowControl/>
        <w:spacing w:line="360" w:lineRule="auto"/>
        <w:ind w:firstLine="480" w:firstLineChars="200"/>
        <w:jc w:val="left"/>
        <w:rPr>
          <w:rFonts w:hint="eastAsia"/>
          <w:bCs/>
        </w:rPr>
      </w:pPr>
      <w:r>
        <w:rPr>
          <w:rFonts w:hint="eastAsia"/>
          <w:bCs/>
        </w:rPr>
        <w:t>详见对应期次的理财计划产品说明书“释义”部分。</w:t>
      </w:r>
    </w:p>
    <w:p>
      <w:pPr>
        <w:widowControl/>
        <w:spacing w:line="360" w:lineRule="auto"/>
        <w:ind w:firstLine="480" w:firstLineChars="200"/>
        <w:jc w:val="left"/>
        <w:rPr>
          <w:rFonts w:hint="eastAsia"/>
          <w:bCs/>
        </w:rPr>
      </w:pPr>
    </w:p>
    <w:p>
      <w:pPr>
        <w:widowControl/>
        <w:spacing w:line="360" w:lineRule="auto"/>
        <w:ind w:firstLine="482" w:firstLineChars="200"/>
        <w:jc w:val="left"/>
        <w:outlineLvl w:val="1"/>
        <w:rPr>
          <w:rFonts w:hint="eastAsia"/>
          <w:b/>
          <w:bCs/>
        </w:rPr>
      </w:pPr>
      <w:r>
        <w:rPr>
          <w:rFonts w:hint="eastAsia"/>
          <w:b/>
          <w:bCs/>
        </w:rPr>
        <w:t>第二条 投资者权利与义务</w:t>
      </w:r>
    </w:p>
    <w:p>
      <w:pPr>
        <w:widowControl/>
        <w:numPr>
          <w:ilvl w:val="0"/>
          <w:numId w:val="77"/>
        </w:numPr>
        <w:spacing w:line="360" w:lineRule="auto"/>
        <w:ind w:firstLine="480" w:firstLineChars="200"/>
        <w:contextualSpacing/>
        <w:outlineLvl w:val="2"/>
        <w:rPr>
          <w:rFonts w:hint="eastAsia" w:ascii="宋体" w:hAnsi="宋体"/>
        </w:rPr>
      </w:pPr>
      <w:r>
        <w:rPr>
          <w:rFonts w:hint="eastAsia" w:ascii="宋体" w:hAnsi="宋体"/>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olor w:val="00000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77"/>
        </w:numPr>
        <w:spacing w:line="360" w:lineRule="auto"/>
        <w:ind w:firstLine="480" w:firstLineChars="200"/>
        <w:contextualSpacing/>
        <w:outlineLvl w:val="2"/>
        <w:rPr>
          <w:rFonts w:hint="eastAsia" w:ascii="宋体" w:hAnsi="宋体"/>
        </w:rPr>
      </w:pPr>
      <w:r>
        <w:rPr>
          <w:rFonts w:hint="eastAsia" w:ascii="宋体" w:hAnsi="宋体"/>
        </w:rPr>
        <w:t>投资者保证自身完全了解理财投资的性质，投资所涉及的风险以及自身风险承受能力，在慎重考虑后独立作出交易决定。</w:t>
      </w:r>
    </w:p>
    <w:p>
      <w:pPr>
        <w:widowControl/>
        <w:numPr>
          <w:ilvl w:val="0"/>
          <w:numId w:val="77"/>
        </w:numPr>
        <w:spacing w:line="360" w:lineRule="auto"/>
        <w:ind w:firstLine="482" w:firstLineChars="200"/>
        <w:contextualSpacing/>
        <w:outlineLvl w:val="2"/>
        <w:rPr>
          <w:rFonts w:hint="eastAsia" w:ascii="宋体" w:hAnsi="宋体"/>
        </w:rPr>
      </w:pPr>
      <w:r>
        <w:rPr>
          <w:rFonts w:hint="eastAsia" w:ascii="宋体" w:hAnsi="宋体"/>
          <w:b/>
          <w:bCs/>
        </w:rPr>
        <w:t>投资者购买销售机构代理销售的私募理财计划后，可以享有24 小时的投资冷静期，在投资冷静期内，如投资者改变投资决定，应提出解除相应理财计划合同文件申请，销售机构将及时退还投资者的全部投资款项。</w:t>
      </w:r>
      <w:r>
        <w:rPr>
          <w:rFonts w:hint="eastAsia" w:ascii="宋体" w:hAnsi="宋体"/>
        </w:rPr>
        <w:t>投资冷静期相关约定详见理财计划产品说明书。</w:t>
      </w:r>
    </w:p>
    <w:p>
      <w:pPr>
        <w:widowControl/>
        <w:numPr>
          <w:ilvl w:val="0"/>
          <w:numId w:val="77"/>
        </w:numPr>
        <w:spacing w:line="360" w:lineRule="auto"/>
        <w:ind w:firstLine="480" w:firstLineChars="200"/>
        <w:contextualSpacing/>
        <w:outlineLvl w:val="2"/>
        <w:rPr>
          <w:rFonts w:hint="eastAsia" w:ascii="宋体" w:hAnsi="宋体"/>
        </w:rPr>
      </w:pPr>
      <w:r>
        <w:rPr>
          <w:rFonts w:hint="eastAsia" w:ascii="宋体" w:hAnsi="宋体"/>
        </w:rPr>
        <w:t>投资者保证其有权利签署本协议和履行本协议所述的义务，并已为此采取一切所需的行为。</w:t>
      </w:r>
    </w:p>
    <w:p>
      <w:pPr>
        <w:widowControl/>
        <w:numPr>
          <w:ilvl w:val="0"/>
          <w:numId w:val="77"/>
        </w:numPr>
        <w:spacing w:line="360" w:lineRule="auto"/>
        <w:ind w:firstLine="480" w:firstLineChars="200"/>
        <w:contextualSpacing/>
        <w:outlineLvl w:val="2"/>
        <w:rPr>
          <w:rFonts w:hint="eastAsia" w:ascii="宋体" w:hAnsi="宋体"/>
        </w:rPr>
      </w:pPr>
      <w:r>
        <w:rPr>
          <w:rFonts w:hint="eastAsia" w:ascii="宋体" w:hAnsi="宋体"/>
        </w:rPr>
        <w:t>投资者保证执行及交付任何文件或履行本协议项下的义务，均不会违反任何适用法律、法规、法令或法律限制；不会违反任何法院或政府机关所作出的适用于投资者或投资者任何资产的判决或指令；不会违反对投资者或投资者任何资产有约束力的任何重大协议条款。投资者应在签署本协议的同时在其授权指定的账户中（以下简称“授权指定账户”）存入足额的资金以确保账户余额大于或等于认/申购金额。</w:t>
      </w:r>
    </w:p>
    <w:p>
      <w:pPr>
        <w:widowControl/>
        <w:numPr>
          <w:ilvl w:val="0"/>
          <w:numId w:val="77"/>
        </w:numPr>
        <w:spacing w:line="360" w:lineRule="auto"/>
        <w:ind w:firstLine="482" w:firstLineChars="200"/>
        <w:contextualSpacing/>
        <w:outlineLvl w:val="2"/>
        <w:rPr>
          <w:rFonts w:hint="eastAsia" w:ascii="宋体" w:hAnsi="宋体"/>
        </w:rPr>
      </w:pPr>
      <w:r>
        <w:rPr>
          <w:rFonts w:hint="eastAsia" w:ascii="宋体" w:hAnsi="宋体"/>
          <w:b/>
          <w:bCs/>
        </w:rPr>
        <w:t>投资者在此确认销售机构的系统记录以及录音、录像构成对投资者操作行为（包括但不限于购买、赎回、撤单）的有效证据，并且在双方发生争议时可以作为合法有效的证据使用</w:t>
      </w:r>
      <w:r>
        <w:rPr>
          <w:rFonts w:hint="eastAsia" w:ascii="宋体" w:hAnsi="宋体"/>
        </w:rPr>
        <w:t>。</w:t>
      </w:r>
    </w:p>
    <w:p>
      <w:pPr>
        <w:widowControl/>
        <w:numPr>
          <w:ilvl w:val="0"/>
          <w:numId w:val="77"/>
        </w:numPr>
        <w:spacing w:line="360" w:lineRule="auto"/>
        <w:ind w:firstLine="480" w:firstLineChars="200"/>
        <w:contextualSpacing/>
        <w:outlineLvl w:val="2"/>
        <w:rPr>
          <w:rFonts w:hint="eastAsia" w:ascii="宋体" w:hAnsi="宋体"/>
        </w:rPr>
      </w:pPr>
      <w:r>
        <w:rPr>
          <w:rFonts w:hint="eastAsia" w:ascii="宋体" w:hAnsi="宋体"/>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销售机构对此不承担任何责任。 </w:t>
      </w:r>
    </w:p>
    <w:p>
      <w:pPr>
        <w:widowControl/>
        <w:numPr>
          <w:ilvl w:val="0"/>
          <w:numId w:val="77"/>
        </w:numPr>
        <w:spacing w:line="360" w:lineRule="auto"/>
        <w:ind w:firstLine="480" w:firstLineChars="200"/>
        <w:contextualSpacing/>
        <w:outlineLvl w:val="2"/>
        <w:rPr>
          <w:rFonts w:hint="eastAsia" w:ascii="宋体" w:hAnsi="宋体"/>
        </w:rPr>
      </w:pPr>
      <w:r>
        <w:rPr>
          <w:rFonts w:hint="eastAsia" w:ascii="宋体" w:hAnsi="宋体"/>
        </w:rPr>
        <w:t xml:space="preserve">在本理财计划存续期内，如有权机关要求销售机构配合对投资者理财份额、理财账户、授权指定账户进行查封、冻结或扣划的，销售机构有权根据实际情况采取相应措施。销售机构对上述后果不承担任何责任。 </w:t>
      </w:r>
    </w:p>
    <w:p>
      <w:pPr>
        <w:widowControl/>
        <w:numPr>
          <w:ilvl w:val="0"/>
          <w:numId w:val="77"/>
        </w:numPr>
        <w:spacing w:line="360" w:lineRule="auto"/>
        <w:ind w:firstLine="480" w:firstLineChars="200"/>
        <w:contextualSpacing/>
        <w:outlineLvl w:val="2"/>
        <w:rPr>
          <w:rFonts w:hint="eastAsia" w:ascii="宋体" w:hAnsi="宋体"/>
        </w:rPr>
      </w:pPr>
      <w:r>
        <w:rPr>
          <w:rFonts w:hint="eastAsia" w:ascii="宋体" w:hAnsi="宋体"/>
        </w:rPr>
        <w:t>本协议终止前，投资者不得将授权指定账户销户。若发生因投资者注销授权指定账户造成理财计划无法正常兑付的，销售机构不承担任何责任。</w:t>
      </w:r>
    </w:p>
    <w:p>
      <w:pPr>
        <w:widowControl/>
        <w:numPr>
          <w:ilvl w:val="0"/>
          <w:numId w:val="77"/>
        </w:numPr>
        <w:spacing w:line="360" w:lineRule="auto"/>
        <w:ind w:firstLine="480" w:firstLineChars="200"/>
        <w:contextualSpacing/>
        <w:outlineLvl w:val="2"/>
        <w:rPr>
          <w:rFonts w:hint="eastAsia" w:ascii="宋体" w:hAnsi="宋体"/>
        </w:rPr>
      </w:pPr>
      <w:r>
        <w:rPr>
          <w:rFonts w:hint="eastAsia" w:ascii="宋体" w:hAnsi="宋体"/>
        </w:rPr>
        <w:t xml:space="preserve">投资者应确保其提供的所有资料真实、完整、合法、有效，如果有任何变更，投资者应及时通知销售机构并办理变更手续。如因投资者未及时通知销售机构并办理相应的变更手续，由此导致的一切后果由投资者自行承担，销售机构对此不承担任何责任。 </w:t>
      </w:r>
    </w:p>
    <w:p>
      <w:pPr>
        <w:widowControl/>
        <w:numPr>
          <w:ilvl w:val="0"/>
          <w:numId w:val="77"/>
        </w:numPr>
        <w:spacing w:line="360" w:lineRule="auto"/>
        <w:ind w:firstLine="480" w:firstLineChars="200"/>
        <w:contextualSpacing/>
        <w:outlineLvl w:val="2"/>
        <w:rPr>
          <w:rFonts w:hint="eastAsia" w:ascii="宋体" w:hAnsi="宋体"/>
        </w:rPr>
      </w:pPr>
      <w:r>
        <w:rPr>
          <w:rFonts w:hint="eastAsia" w:ascii="宋体" w:hAnsi="宋体"/>
        </w:rPr>
        <w:t>投资者对本协议及其条款负有保密义务，未经销售机构书面许可，不得向任何组织、个人提供或泄露与销售机构有关的业务资料及信息，但法律、法规另有规定的除外。</w:t>
      </w:r>
    </w:p>
    <w:p>
      <w:pPr>
        <w:widowControl/>
        <w:numPr>
          <w:ilvl w:val="0"/>
          <w:numId w:val="77"/>
        </w:numPr>
        <w:spacing w:line="360" w:lineRule="auto"/>
        <w:ind w:firstLine="480" w:firstLineChars="200"/>
        <w:contextualSpacing/>
        <w:outlineLvl w:val="2"/>
        <w:rPr>
          <w:rFonts w:hint="eastAsia" w:ascii="宋体" w:hAnsi="宋体"/>
        </w:rPr>
      </w:pPr>
      <w:r>
        <w:rPr>
          <w:rFonts w:hint="eastAsia" w:ascii="宋体" w:hAnsi="宋体"/>
        </w:rPr>
        <w:t>投资者进行投资时，应严格遵守反洗钱相关法规的规定，切实履行反洗钱及反恐怖融资义务。</w:t>
      </w:r>
    </w:p>
    <w:p>
      <w:pPr>
        <w:widowControl/>
        <w:numPr>
          <w:ilvl w:val="0"/>
          <w:numId w:val="77"/>
        </w:numPr>
        <w:spacing w:line="360" w:lineRule="auto"/>
        <w:ind w:firstLine="482" w:firstLineChars="200"/>
        <w:contextualSpacing/>
        <w:outlineLvl w:val="2"/>
        <w:rPr>
          <w:rFonts w:hint="eastAsia" w:ascii="宋体" w:hAnsi="宋体"/>
          <w:b/>
          <w:bCs/>
        </w:rPr>
      </w:pPr>
      <w:r>
        <w:rPr>
          <w:rFonts w:hint="eastAsia" w:ascii="宋体" w:hAnsi="宋体"/>
          <w:b/>
          <w:bCs/>
        </w:rPr>
        <w:t>投资者个人信息授权</w:t>
      </w:r>
    </w:p>
    <w:p>
      <w:pPr>
        <w:widowControl/>
        <w:spacing w:line="360" w:lineRule="auto"/>
        <w:ind w:firstLine="482" w:firstLineChars="200"/>
        <w:contextualSpacing/>
        <w:rPr>
          <w:rFonts w:hint="eastAsia" w:ascii="宋体" w:hAnsi="宋体"/>
          <w:b/>
          <w:bCs/>
        </w:rPr>
      </w:pPr>
      <w:r>
        <w:rPr>
          <w:rFonts w:hint="eastAsia" w:ascii="宋体" w:hAnsi="宋体"/>
          <w:b/>
          <w:bCs/>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77"/>
        </w:numPr>
        <w:spacing w:line="360" w:lineRule="auto"/>
        <w:ind w:firstLine="482" w:firstLineChars="200"/>
        <w:contextualSpacing/>
        <w:outlineLvl w:val="2"/>
        <w:rPr>
          <w:rFonts w:hint="eastAsia" w:ascii="宋体" w:hAnsi="宋体"/>
          <w:b/>
          <w:bCs/>
        </w:rPr>
      </w:pPr>
      <w:r>
        <w:rPr>
          <w:rFonts w:hint="eastAsia" w:ascii="宋体" w:hAnsi="宋体"/>
          <w:b/>
          <w:bCs/>
        </w:rPr>
        <w:t>投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spacing w:line="360" w:lineRule="auto"/>
        <w:ind w:firstLine="482" w:firstLineChars="200"/>
        <w:contextualSpacing/>
        <w:rPr>
          <w:rFonts w:ascii="宋体" w:hAnsi="宋体"/>
          <w:b/>
          <w:bCs/>
        </w:rPr>
      </w:pPr>
    </w:p>
    <w:p>
      <w:pPr>
        <w:widowControl/>
        <w:spacing w:line="360" w:lineRule="auto"/>
        <w:ind w:firstLine="482" w:firstLineChars="200"/>
        <w:outlineLvl w:val="1"/>
        <w:rPr>
          <w:rFonts w:hint="eastAsia"/>
          <w:b/>
          <w:bCs/>
        </w:rPr>
      </w:pPr>
      <w:r>
        <w:rPr>
          <w:rFonts w:hint="eastAsia"/>
          <w:b/>
          <w:bCs/>
        </w:rPr>
        <w:t>第三条 销售机构的权利与义务</w:t>
      </w:r>
    </w:p>
    <w:p>
      <w:pPr>
        <w:widowControl/>
        <w:numPr>
          <w:ilvl w:val="0"/>
          <w:numId w:val="78"/>
        </w:numPr>
        <w:spacing w:line="360" w:lineRule="auto"/>
        <w:ind w:firstLine="480" w:firstLineChars="200"/>
        <w:contextualSpacing/>
        <w:jc w:val="left"/>
        <w:outlineLvl w:val="2"/>
        <w:rPr>
          <w:rFonts w:hint="eastAsia" w:ascii="宋体" w:hAnsi="宋体"/>
        </w:rPr>
      </w:pPr>
      <w:r>
        <w:rPr>
          <w:rFonts w:hint="eastAsia" w:ascii="宋体" w:hAnsi="宋体"/>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widowControl/>
        <w:numPr>
          <w:ilvl w:val="0"/>
          <w:numId w:val="78"/>
        </w:numPr>
        <w:spacing w:line="360" w:lineRule="auto"/>
        <w:ind w:firstLine="482" w:firstLineChars="200"/>
        <w:contextualSpacing/>
        <w:jc w:val="left"/>
        <w:outlineLvl w:val="2"/>
        <w:rPr>
          <w:rFonts w:hint="eastAsia" w:ascii="宋体" w:hAnsi="宋体"/>
        </w:rPr>
      </w:pPr>
      <w:r>
        <w:rPr>
          <w:rFonts w:hint="eastAsia" w:ascii="宋体" w:hAnsi="宋体"/>
          <w:b/>
          <w:bCs/>
        </w:rPr>
        <w:t>代理销售机构非本计划的发行、管理机构，对本计划的业绩不承担任何保证和其他经济责任，不承担本计划的投资、兑付和风险管理责任</w:t>
      </w:r>
      <w:r>
        <w:rPr>
          <w:rFonts w:hint="eastAsia" w:ascii="宋体" w:hAnsi="宋体"/>
        </w:rPr>
        <w:t>。</w:t>
      </w:r>
    </w:p>
    <w:p>
      <w:pPr>
        <w:widowControl/>
        <w:numPr>
          <w:ilvl w:val="0"/>
          <w:numId w:val="78"/>
        </w:numPr>
        <w:spacing w:line="360" w:lineRule="auto"/>
        <w:ind w:firstLine="480" w:firstLineChars="200"/>
        <w:contextualSpacing/>
        <w:outlineLvl w:val="2"/>
        <w:rPr>
          <w:rFonts w:hint="eastAsia" w:ascii="宋体" w:hAnsi="宋体"/>
        </w:rPr>
      </w:pPr>
      <w:r>
        <w:rPr>
          <w:rFonts w:hint="eastAsia" w:ascii="宋体" w:hAnsi="宋体"/>
        </w:rPr>
        <w:t>销售机构应定期对购买其代理销售的理财计划的非机构投资者进行有效风险承受能力评估，并保证向投资者推介及销售与其风险承受能力匹配的产品。</w:t>
      </w:r>
    </w:p>
    <w:p>
      <w:pPr>
        <w:widowControl/>
        <w:numPr>
          <w:ilvl w:val="0"/>
          <w:numId w:val="78"/>
        </w:numPr>
        <w:spacing w:line="360" w:lineRule="auto"/>
        <w:ind w:firstLine="480" w:firstLineChars="200"/>
        <w:contextualSpacing/>
        <w:jc w:val="left"/>
        <w:outlineLvl w:val="2"/>
        <w:rPr>
          <w:rFonts w:hint="eastAsia" w:ascii="宋体" w:hAnsi="宋体"/>
        </w:rPr>
      </w:pPr>
      <w:r>
        <w:rPr>
          <w:rFonts w:hint="eastAsia" w:ascii="宋体" w:hAnsi="宋体"/>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widowControl/>
        <w:numPr>
          <w:ilvl w:val="0"/>
          <w:numId w:val="78"/>
        </w:numPr>
        <w:spacing w:line="360" w:lineRule="auto"/>
        <w:ind w:firstLine="480" w:firstLineChars="200"/>
        <w:contextualSpacing/>
        <w:outlineLvl w:val="2"/>
        <w:rPr>
          <w:rFonts w:hint="eastAsia" w:ascii="宋体" w:hAnsi="宋体"/>
        </w:rPr>
      </w:pPr>
      <w:r>
        <w:rPr>
          <w:rFonts w:hint="eastAsia" w:ascii="宋体" w:hAnsi="宋体"/>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widowControl/>
        <w:numPr>
          <w:ilvl w:val="0"/>
          <w:numId w:val="78"/>
        </w:numPr>
        <w:spacing w:line="360" w:lineRule="auto"/>
        <w:ind w:firstLine="480" w:firstLineChars="200"/>
        <w:contextualSpacing/>
        <w:jc w:val="left"/>
        <w:outlineLvl w:val="2"/>
        <w:rPr>
          <w:rFonts w:hint="eastAsia" w:ascii="宋体" w:hAnsi="宋体"/>
        </w:rPr>
      </w:pPr>
      <w:r>
        <w:rPr>
          <w:rFonts w:hint="eastAsia" w:ascii="宋体" w:hAnsi="宋体"/>
        </w:rPr>
        <w:t>销售机构应建立健全上岗资格、持续培训、信息公示与查询核实等制度并有效执行。未经销售机构进行上岗资格认定并签订劳动合同，任何人员不得从事理财计划销售业务活动。</w:t>
      </w:r>
    </w:p>
    <w:p>
      <w:pPr>
        <w:widowControl/>
        <w:numPr>
          <w:ilvl w:val="0"/>
          <w:numId w:val="78"/>
        </w:numPr>
        <w:spacing w:line="360" w:lineRule="auto"/>
        <w:ind w:firstLine="480" w:firstLineChars="200"/>
        <w:contextualSpacing/>
        <w:jc w:val="left"/>
        <w:outlineLvl w:val="2"/>
        <w:rPr>
          <w:rFonts w:hint="eastAsia" w:ascii="宋体" w:hAnsi="宋体"/>
        </w:rPr>
      </w:pPr>
      <w:r>
        <w:rPr>
          <w:rFonts w:hint="eastAsia" w:ascii="宋体" w:hAnsi="宋体"/>
        </w:rPr>
        <w:t>销售机构应对所有销售人员信息进行登记和公示。销售人员在向投资者宣传销售理财计划前进行自我介绍并告知信息查询和核实渠道，便于投资者查询核实，防止伪冒身份和虚假宣传。</w:t>
      </w:r>
    </w:p>
    <w:p>
      <w:pPr>
        <w:widowControl/>
        <w:numPr>
          <w:ilvl w:val="0"/>
          <w:numId w:val="78"/>
        </w:numPr>
        <w:spacing w:line="360" w:lineRule="auto"/>
        <w:ind w:firstLine="480" w:firstLineChars="200"/>
        <w:contextualSpacing/>
        <w:jc w:val="left"/>
        <w:outlineLvl w:val="2"/>
        <w:rPr>
          <w:rFonts w:hint="eastAsia" w:ascii="宋体" w:hAnsi="宋体"/>
        </w:rPr>
      </w:pPr>
      <w:r>
        <w:rPr>
          <w:rFonts w:hint="eastAsia" w:ascii="宋体" w:hAnsi="宋体"/>
        </w:rPr>
        <w:t>销售机构对投资者负有信息保密义务，未经投资者书面许可，乙方不得向任何组织、个人提供或泄露与甲方有关的业务资料及信息，但法律、法规另有规定的除外。</w:t>
      </w:r>
    </w:p>
    <w:p>
      <w:pPr>
        <w:widowControl/>
        <w:numPr>
          <w:ilvl w:val="0"/>
          <w:numId w:val="78"/>
        </w:numPr>
        <w:spacing w:line="360" w:lineRule="auto"/>
        <w:ind w:firstLine="480" w:firstLineChars="200"/>
        <w:contextualSpacing/>
        <w:jc w:val="left"/>
        <w:outlineLvl w:val="2"/>
        <w:rPr>
          <w:rFonts w:hint="eastAsia" w:ascii="宋体" w:hAnsi="宋体"/>
        </w:rPr>
      </w:pPr>
      <w:r>
        <w:rPr>
          <w:rFonts w:hint="eastAsia" w:ascii="宋体" w:hAnsi="宋体"/>
        </w:rPr>
        <w:t>销售机构应按照法律法规、监管规定、理财计划合同的约定收取销售费用，并如实核算、记账。未经载明，不得对不同投资者适用不同费率。</w:t>
      </w:r>
    </w:p>
    <w:p>
      <w:pPr>
        <w:widowControl/>
        <w:numPr>
          <w:ilvl w:val="0"/>
          <w:numId w:val="72"/>
        </w:numPr>
        <w:spacing w:line="360" w:lineRule="auto"/>
        <w:ind w:firstLine="480" w:firstLineChars="200"/>
        <w:contextualSpacing/>
        <w:jc w:val="left"/>
        <w:outlineLvl w:val="2"/>
        <w:rPr>
          <w:rFonts w:hint="eastAsia" w:ascii="宋体" w:hAnsi="宋体"/>
        </w:rPr>
      </w:pPr>
      <w:r>
        <w:rPr>
          <w:rFonts w:hint="eastAsia" w:ascii="宋体" w:hAnsi="宋体"/>
        </w:rPr>
        <w:t>理财计划销售结算资金属于理财计划投资者，销售机构不得挪用理财计划销售结算资金或将理财计划销售结算资金归入自有资产。</w:t>
      </w:r>
    </w:p>
    <w:p>
      <w:pPr>
        <w:widowControl/>
        <w:numPr>
          <w:ilvl w:val="0"/>
          <w:numId w:val="72"/>
        </w:numPr>
        <w:spacing w:line="360" w:lineRule="auto"/>
        <w:ind w:firstLine="480" w:firstLineChars="200"/>
        <w:contextualSpacing/>
        <w:jc w:val="left"/>
        <w:outlineLvl w:val="2"/>
        <w:rPr>
          <w:rFonts w:hint="eastAsia" w:ascii="宋体" w:hAnsi="宋体"/>
        </w:rPr>
      </w:pPr>
      <w:r>
        <w:rPr>
          <w:rFonts w:hint="eastAsia" w:ascii="宋体" w:hAnsi="宋体"/>
        </w:rPr>
        <w:t>销售机构应遵守相关法律、法规、监管规定及理财计划合同约定，诚实守信、勤勉尽责，向购买理财计划的投资者充分传递管理人披露的产品相关信息并进行充分的风险揭示。</w:t>
      </w:r>
    </w:p>
    <w:p>
      <w:pPr>
        <w:widowControl/>
        <w:numPr>
          <w:ilvl w:val="0"/>
          <w:numId w:val="72"/>
        </w:numPr>
        <w:spacing w:line="360" w:lineRule="auto"/>
        <w:ind w:firstLine="480" w:firstLineChars="200"/>
        <w:contextualSpacing/>
        <w:jc w:val="left"/>
        <w:outlineLvl w:val="2"/>
        <w:rPr>
          <w:rFonts w:hint="eastAsia" w:ascii="宋体" w:hAnsi="宋体"/>
        </w:rPr>
      </w:pPr>
      <w:r>
        <w:rPr>
          <w:rFonts w:hint="eastAsia" w:ascii="宋体" w:hAnsi="宋体"/>
        </w:rPr>
        <w:t>销售机构应当充分利用科技手段，加强对伪冒网站、伪冒产品等监测，有效防范各类欺诈风险。</w:t>
      </w:r>
    </w:p>
    <w:p>
      <w:pPr>
        <w:widowControl/>
        <w:spacing w:line="360" w:lineRule="auto"/>
        <w:ind w:left="482"/>
        <w:contextualSpacing/>
        <w:jc w:val="left"/>
        <w:rPr>
          <w:rFonts w:hint="eastAsia" w:ascii="宋体" w:hAnsi="宋体"/>
          <w:b/>
          <w:bCs/>
        </w:rPr>
      </w:pPr>
    </w:p>
    <w:p>
      <w:pPr>
        <w:widowControl/>
        <w:spacing w:line="360" w:lineRule="auto"/>
        <w:ind w:firstLine="482" w:firstLineChars="200"/>
        <w:outlineLvl w:val="1"/>
        <w:rPr>
          <w:rFonts w:hint="eastAsia"/>
          <w:b/>
          <w:bCs/>
        </w:rPr>
      </w:pPr>
      <w:r>
        <w:rPr>
          <w:rFonts w:hint="eastAsia"/>
          <w:b/>
          <w:bCs/>
        </w:rPr>
        <w:t>第四条 理财计划认（申）购、赎回及终止</w:t>
      </w:r>
    </w:p>
    <w:p>
      <w:pPr>
        <w:widowControl/>
        <w:numPr>
          <w:ilvl w:val="0"/>
          <w:numId w:val="79"/>
        </w:numPr>
        <w:spacing w:line="360" w:lineRule="auto"/>
        <w:ind w:firstLine="480" w:firstLineChars="200"/>
        <w:contextualSpacing/>
        <w:outlineLvl w:val="2"/>
        <w:rPr>
          <w:rFonts w:hint="eastAsia" w:ascii="宋体" w:hAnsi="宋体"/>
        </w:rPr>
      </w:pPr>
      <w:r>
        <w:rPr>
          <w:rFonts w:hint="eastAsia" w:ascii="宋体" w:hAnsi="宋体"/>
        </w:rPr>
        <w:t xml:space="preserve">理财计划认/申购办理流程：参照投资者权益须知约定。 </w:t>
      </w:r>
    </w:p>
    <w:p>
      <w:pPr>
        <w:widowControl/>
        <w:numPr>
          <w:ilvl w:val="0"/>
          <w:numId w:val="79"/>
        </w:numPr>
        <w:spacing w:line="360" w:lineRule="auto"/>
        <w:ind w:firstLine="480" w:firstLineChars="200"/>
        <w:contextualSpacing/>
        <w:outlineLvl w:val="2"/>
        <w:rPr>
          <w:rFonts w:hint="eastAsia" w:ascii="宋体" w:hAnsi="宋体"/>
        </w:rPr>
      </w:pPr>
      <w:r>
        <w:rPr>
          <w:rFonts w:hint="eastAsia" w:ascii="宋体" w:hAnsi="宋体"/>
        </w:rPr>
        <w:t>理财计划认/申购确认：管理人根据销售渠道提供的交易信息及资金划付对投资者相应认/申购进行确认。</w:t>
      </w:r>
    </w:p>
    <w:p>
      <w:pPr>
        <w:widowControl/>
        <w:numPr>
          <w:ilvl w:val="0"/>
          <w:numId w:val="79"/>
        </w:numPr>
        <w:spacing w:line="360" w:lineRule="auto"/>
        <w:ind w:firstLine="480" w:firstLineChars="200"/>
        <w:contextualSpacing/>
        <w:outlineLvl w:val="2"/>
        <w:rPr>
          <w:rFonts w:hint="eastAsia" w:ascii="宋体" w:hAnsi="宋体"/>
        </w:rPr>
      </w:pPr>
      <w:r>
        <w:rPr>
          <w:rFonts w:hint="eastAsia" w:ascii="宋体" w:hAnsi="宋体"/>
        </w:rPr>
        <w:t xml:space="preserve">理财计划不成立：若在募集期结束日，本理财计划发行规模未能达到对应期次的理财计划产品说明书规定的要求，则本理财计划不成立，销售机构将按对应期次的理财计划产品说明书约定条款向投资者进行公告，并将及时解除对投资者授权指定账户中认购资金的冻结。 </w:t>
      </w:r>
    </w:p>
    <w:p>
      <w:pPr>
        <w:widowControl/>
        <w:numPr>
          <w:ilvl w:val="0"/>
          <w:numId w:val="79"/>
        </w:numPr>
        <w:spacing w:line="360" w:lineRule="auto"/>
        <w:ind w:firstLine="480" w:firstLineChars="200"/>
        <w:contextualSpacing/>
        <w:outlineLvl w:val="2"/>
        <w:rPr>
          <w:rFonts w:hint="eastAsia" w:ascii="宋体" w:hAnsi="宋体"/>
        </w:rPr>
      </w:pPr>
      <w:r>
        <w:rPr>
          <w:rFonts w:hint="eastAsia" w:ascii="宋体" w:hAnsi="宋体"/>
        </w:rPr>
        <w:t xml:space="preserve">理财计划投资品种、投资起点金额、收益支付方式：参照对应期次的理财计划产品说明书中的条款约定。 </w:t>
      </w:r>
    </w:p>
    <w:p>
      <w:pPr>
        <w:widowControl/>
        <w:numPr>
          <w:ilvl w:val="0"/>
          <w:numId w:val="79"/>
        </w:numPr>
        <w:spacing w:line="360" w:lineRule="auto"/>
        <w:ind w:firstLine="480" w:firstLineChars="200"/>
        <w:contextualSpacing/>
        <w:outlineLvl w:val="2"/>
        <w:rPr>
          <w:rFonts w:hint="eastAsia" w:ascii="宋体" w:hAnsi="宋体"/>
        </w:rPr>
      </w:pPr>
      <w:r>
        <w:rPr>
          <w:rFonts w:hint="eastAsia" w:ascii="宋体" w:hAnsi="宋体"/>
        </w:rPr>
        <w:t>理财计划赎回/终止兑付：在正常情况下，管理人和销售机构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理财计划产品说明书约定管理人对理财计划进行延期或转换时，销售机构将于原约定清算日前通过信息披露途径及时通知，并根据实际情况进行后续处理。</w:t>
      </w:r>
    </w:p>
    <w:p>
      <w:pPr>
        <w:widowControl/>
        <w:numPr>
          <w:ilvl w:val="0"/>
          <w:numId w:val="79"/>
        </w:numPr>
        <w:spacing w:line="360" w:lineRule="auto"/>
        <w:ind w:firstLine="480" w:firstLineChars="200"/>
        <w:contextualSpacing/>
        <w:outlineLvl w:val="2"/>
        <w:rPr>
          <w:rFonts w:hint="eastAsia" w:ascii="宋体" w:hAnsi="宋体"/>
        </w:rPr>
      </w:pPr>
      <w:r>
        <w:rPr>
          <w:rFonts w:hint="eastAsia" w:ascii="宋体" w:hAnsi="宋体"/>
        </w:rPr>
        <w:t>资金清算：理财计划终止或份额赎回时，管理人按理财计划合同约定划付至销售机构清算账户后，由销售机构向投资者划付投资者应得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widowControl/>
        <w:spacing w:line="360" w:lineRule="auto"/>
        <w:ind w:left="204" w:leftChars="85"/>
        <w:contextualSpacing/>
        <w:rPr>
          <w:rFonts w:hint="eastAsia" w:ascii="宋体" w:hAnsi="宋体"/>
          <w:b/>
          <w:bCs/>
        </w:rPr>
      </w:pPr>
    </w:p>
    <w:p>
      <w:pPr>
        <w:widowControl/>
        <w:spacing w:line="360" w:lineRule="auto"/>
        <w:ind w:firstLine="482" w:firstLineChars="200"/>
        <w:outlineLvl w:val="1"/>
        <w:rPr>
          <w:rFonts w:hint="eastAsia"/>
          <w:b/>
          <w:bCs/>
        </w:rPr>
      </w:pPr>
      <w:r>
        <w:rPr>
          <w:rFonts w:hint="eastAsia"/>
          <w:b/>
          <w:bCs/>
        </w:rPr>
        <w:t>第五条 违约责任及免责条款</w:t>
      </w:r>
    </w:p>
    <w:p>
      <w:pPr>
        <w:widowControl/>
        <w:numPr>
          <w:ilvl w:val="0"/>
          <w:numId w:val="80"/>
        </w:numPr>
        <w:spacing w:line="360" w:lineRule="auto"/>
        <w:ind w:firstLine="480" w:firstLineChars="200"/>
        <w:contextualSpacing/>
        <w:outlineLvl w:val="2"/>
        <w:rPr>
          <w:rFonts w:hint="eastAsia" w:ascii="宋体" w:hAnsi="宋体"/>
        </w:rPr>
      </w:pPr>
      <w:r>
        <w:rPr>
          <w:rFonts w:hint="eastAsia" w:ascii="宋体" w:hAnsi="宋体"/>
        </w:rPr>
        <w:t>若因投资者原因导致司法或行政等有权机关采取强制措施对其理财本金、收益进行部分或全部被扣划，均视投资者本人就全部理财本金进行了提前赎回，本协议自动终止。因提前终止而产生的损失及相关费用由投资者承担。本协议因前述情况终止的，理财本金不计付赎回日前的理财收益，也不计付存款利息。</w:t>
      </w:r>
    </w:p>
    <w:p>
      <w:pPr>
        <w:widowControl/>
        <w:numPr>
          <w:ilvl w:val="0"/>
          <w:numId w:val="80"/>
        </w:numPr>
        <w:spacing w:line="360" w:lineRule="auto"/>
        <w:ind w:firstLine="480" w:firstLineChars="200"/>
        <w:contextualSpacing/>
        <w:outlineLvl w:val="2"/>
        <w:rPr>
          <w:rFonts w:hint="eastAsia" w:ascii="宋体" w:hAnsi="宋体"/>
        </w:rPr>
      </w:pPr>
      <w:r>
        <w:rPr>
          <w:rFonts w:hint="eastAsia" w:ascii="宋体" w:hAnsi="宋体"/>
        </w:rPr>
        <w:t>投资者违反本协议第二条内容，应承担相应违约责任。销售机构对由此导致的理财业务交易延误、中断、终止及投资者损失不承担任何责任，并有权单方终止双方理财业务关系。因投资者违反双方约定给销售机构或全体投资者造成损失的，投资者应承担相应的赔偿责任。</w:t>
      </w:r>
    </w:p>
    <w:p>
      <w:pPr>
        <w:widowControl/>
        <w:numPr>
          <w:ilvl w:val="0"/>
          <w:numId w:val="80"/>
        </w:numPr>
        <w:spacing w:line="360" w:lineRule="auto"/>
        <w:ind w:firstLine="480" w:firstLineChars="200"/>
        <w:contextualSpacing/>
        <w:outlineLvl w:val="2"/>
        <w:rPr>
          <w:rFonts w:hint="eastAsia" w:ascii="宋体" w:hAnsi="宋体"/>
        </w:rPr>
      </w:pPr>
      <w:r>
        <w:rPr>
          <w:rFonts w:hint="eastAsia" w:ascii="宋体" w:hAnsi="宋体"/>
        </w:rPr>
        <w:t>若由于销售机构过错导致理财计划资产发生损失，销售机构应按其过错承担赔偿责任，销售机构赔偿的款项计入理财计划的资产和收益。</w:t>
      </w:r>
    </w:p>
    <w:p>
      <w:pPr>
        <w:widowControl/>
        <w:numPr>
          <w:ilvl w:val="0"/>
          <w:numId w:val="80"/>
        </w:numPr>
        <w:spacing w:line="360" w:lineRule="auto"/>
        <w:ind w:firstLine="480" w:firstLineChars="200"/>
        <w:contextualSpacing/>
        <w:outlineLvl w:val="2"/>
        <w:rPr>
          <w:rFonts w:hint="eastAsia" w:ascii="宋体" w:hAnsi="宋体"/>
        </w:rPr>
      </w:pPr>
      <w:r>
        <w:rPr>
          <w:rFonts w:hint="eastAsia" w:ascii="宋体" w:hAnsi="宋体"/>
        </w:rPr>
        <w:t>由于地震、火灾、战争等不可抗力或突发重大卫生公共事件等不可预测事件造成的交易中断、延误等风险及损失，销售机构不承担责任；但销售机构应在上述情况发生后在条件允许时及时通知投资者并采取一切必要且可能的措施阻止损失扩大。</w:t>
      </w:r>
    </w:p>
    <w:p>
      <w:pPr>
        <w:widowControl/>
        <w:numPr>
          <w:ilvl w:val="0"/>
          <w:numId w:val="80"/>
        </w:numPr>
        <w:spacing w:line="360" w:lineRule="auto"/>
        <w:ind w:firstLine="480" w:firstLineChars="200"/>
        <w:contextualSpacing/>
        <w:outlineLvl w:val="2"/>
        <w:rPr>
          <w:rFonts w:hint="eastAsia" w:ascii="宋体" w:hAnsi="宋体"/>
        </w:rPr>
      </w:pPr>
      <w:r>
        <w:rPr>
          <w:rFonts w:hint="eastAsia" w:ascii="宋体" w:hAnsi="宋体"/>
        </w:rPr>
        <w:t>因国家有关法律、法规、规章、政策的修改或新的法律、法规、规章、政策颁布以及紧急措施的出台导致的风险及损失，销售机构不承担责任。</w:t>
      </w:r>
    </w:p>
    <w:p>
      <w:pPr>
        <w:widowControl/>
        <w:spacing w:line="360" w:lineRule="auto"/>
        <w:contextualSpacing/>
        <w:rPr>
          <w:rFonts w:hint="eastAsia" w:ascii="宋体" w:hAnsi="宋体"/>
          <w:b/>
          <w:bCs/>
        </w:rPr>
      </w:pPr>
    </w:p>
    <w:p>
      <w:pPr>
        <w:widowControl/>
        <w:spacing w:line="360" w:lineRule="auto"/>
        <w:ind w:firstLine="482" w:firstLineChars="200"/>
        <w:outlineLvl w:val="1"/>
        <w:rPr>
          <w:rFonts w:hint="eastAsia"/>
          <w:b/>
          <w:bCs/>
        </w:rPr>
      </w:pPr>
      <w:r>
        <w:rPr>
          <w:rFonts w:hint="eastAsia"/>
          <w:b/>
          <w:bCs/>
        </w:rPr>
        <w:t>第六条 适用法律与争议解决</w:t>
      </w:r>
    </w:p>
    <w:p>
      <w:pPr>
        <w:widowControl/>
        <w:spacing w:line="360" w:lineRule="auto"/>
        <w:ind w:firstLine="480" w:firstLineChars="200"/>
        <w:contextualSpacing/>
        <w:rPr>
          <w:rFonts w:hint="eastAsia" w:ascii="宋体" w:hAnsi="宋体"/>
        </w:rPr>
      </w:pPr>
      <w:r>
        <w:rPr>
          <w:rFonts w:hint="eastAsia" w:ascii="宋体" w:hAnsi="宋体"/>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销售机构或管理人所在地人民法院诉讼解决。诉讼期间，未涉及争议的条款仍需继续履行。</w:t>
      </w:r>
    </w:p>
    <w:p>
      <w:pPr>
        <w:widowControl/>
        <w:spacing w:line="360" w:lineRule="auto"/>
        <w:ind w:firstLine="482" w:firstLineChars="200"/>
        <w:contextualSpacing/>
        <w:rPr>
          <w:rFonts w:hint="eastAsia" w:ascii="宋体" w:hAnsi="宋体"/>
          <w:b/>
          <w:bCs/>
        </w:rPr>
      </w:pPr>
    </w:p>
    <w:p>
      <w:pPr>
        <w:widowControl/>
        <w:spacing w:line="360" w:lineRule="auto"/>
        <w:ind w:firstLine="482" w:firstLineChars="200"/>
        <w:outlineLvl w:val="1"/>
        <w:rPr>
          <w:rFonts w:hint="eastAsia"/>
          <w:b/>
          <w:bCs/>
        </w:rPr>
      </w:pPr>
      <w:r>
        <w:rPr>
          <w:rFonts w:hint="eastAsia"/>
          <w:b/>
          <w:bCs/>
        </w:rPr>
        <w:t>第七条 协议生效和终止</w:t>
      </w:r>
    </w:p>
    <w:p>
      <w:pPr>
        <w:widowControl/>
        <w:numPr>
          <w:ilvl w:val="0"/>
          <w:numId w:val="81"/>
        </w:numPr>
        <w:spacing w:line="360" w:lineRule="auto"/>
        <w:ind w:firstLine="480" w:firstLineChars="200"/>
        <w:contextualSpacing/>
        <w:outlineLvl w:val="2"/>
        <w:rPr>
          <w:rFonts w:hint="eastAsia" w:ascii="宋体" w:hAnsi="宋体"/>
        </w:rPr>
      </w:pPr>
      <w:r>
        <w:rPr>
          <w:rFonts w:hint="eastAsia" w:ascii="宋体" w:hAnsi="宋体"/>
        </w:rPr>
        <w:t xml:space="preserve">投资者和销售机构双方认可本协议可以纸质或电子数据等形式提交、订立或确认。 </w:t>
      </w:r>
    </w:p>
    <w:p>
      <w:pPr>
        <w:widowControl/>
        <w:numPr>
          <w:ilvl w:val="0"/>
          <w:numId w:val="82"/>
        </w:numPr>
        <w:spacing w:line="360" w:lineRule="auto"/>
        <w:ind w:firstLine="480" w:firstLineChars="200"/>
        <w:contextualSpacing/>
        <w:outlineLvl w:val="2"/>
        <w:rPr>
          <w:rFonts w:hint="eastAsia" w:ascii="宋体" w:hAnsi="宋体"/>
        </w:rPr>
      </w:pPr>
      <w:r>
        <w:rPr>
          <w:rFonts w:hint="eastAsia" w:ascii="宋体" w:hAnsi="宋体"/>
        </w:rPr>
        <w:t xml:space="preserve">本协议书以纸质书面形式订立的，自投资者签字和销售机构签章之后立即生效。协议一式叁份，投资者、管理人和销售机构各执壹份，具有同等法律效力。 </w:t>
      </w:r>
    </w:p>
    <w:p>
      <w:pPr>
        <w:widowControl/>
        <w:numPr>
          <w:ilvl w:val="0"/>
          <w:numId w:val="82"/>
        </w:numPr>
        <w:spacing w:line="360" w:lineRule="auto"/>
        <w:ind w:firstLine="480" w:firstLineChars="200"/>
        <w:contextualSpacing/>
        <w:outlineLvl w:val="2"/>
        <w:rPr>
          <w:rFonts w:hint="eastAsia" w:ascii="宋体" w:hAnsi="宋体"/>
        </w:rPr>
      </w:pPr>
      <w:r>
        <w:rPr>
          <w:rFonts w:hint="eastAsia" w:ascii="宋体" w:hAnsi="宋体"/>
        </w:rPr>
        <w:t>本协议书以数据电文形式订立的，投资者在销售机构的电子银行渠道（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82"/>
        </w:numPr>
        <w:spacing w:line="360" w:lineRule="auto"/>
        <w:ind w:firstLine="480" w:firstLineChars="200"/>
        <w:contextualSpacing/>
        <w:outlineLvl w:val="2"/>
        <w:rPr>
          <w:rFonts w:hint="eastAsia" w:ascii="宋体" w:hAnsi="宋体"/>
        </w:rPr>
      </w:pPr>
      <w:r>
        <w:rPr>
          <w:rFonts w:hint="eastAsia" w:ascii="宋体" w:hAnsi="宋体"/>
        </w:rPr>
        <w:t>投资者和销售机构双方在本协议及对应期次的理财计划产品说明书项下权利义务履行完毕之日，本协议自动终止。</w:t>
      </w:r>
    </w:p>
    <w:p>
      <w:pPr>
        <w:widowControl/>
        <w:spacing w:line="360" w:lineRule="auto"/>
        <w:ind w:left="420"/>
        <w:contextualSpacing/>
        <w:rPr>
          <w:rFonts w:hint="eastAsia" w:ascii="宋体" w:hAnsi="宋体"/>
        </w:rPr>
      </w:pPr>
    </w:p>
    <w:p>
      <w:pPr>
        <w:widowControl/>
        <w:spacing w:line="360" w:lineRule="auto"/>
        <w:ind w:firstLine="482" w:firstLineChars="200"/>
        <w:outlineLvl w:val="1"/>
        <w:rPr>
          <w:rFonts w:hint="eastAsia"/>
          <w:b/>
        </w:rPr>
      </w:pPr>
      <w:r>
        <w:rPr>
          <w:rFonts w:hint="eastAsia"/>
          <w:b/>
        </w:rPr>
        <w:t xml:space="preserve">第八条 附则 </w:t>
      </w:r>
    </w:p>
    <w:p>
      <w:pPr>
        <w:widowControl/>
        <w:numPr>
          <w:ilvl w:val="0"/>
          <w:numId w:val="83"/>
        </w:numPr>
        <w:spacing w:line="360" w:lineRule="auto"/>
        <w:ind w:firstLine="480" w:firstLineChars="200"/>
        <w:contextualSpacing/>
        <w:outlineLvl w:val="2"/>
        <w:rPr>
          <w:rFonts w:hint="eastAsia" w:ascii="宋体" w:hAnsi="宋体"/>
        </w:rPr>
      </w:pPr>
      <w:r>
        <w:rPr>
          <w:rFonts w:hint="eastAsia" w:ascii="宋体" w:hAnsi="宋体"/>
        </w:rPr>
        <w:t>如果投资者与销售机构之间存在多份理财计划销售协议书，则每一协议书分别与其所对应的理财计划产品说明书等销售文本单独构成一个理财计划合同，各个合同之间互相独立，每一合同的效力及履行情况均独立于其他合同。</w:t>
      </w:r>
    </w:p>
    <w:p>
      <w:pPr>
        <w:widowControl/>
        <w:numPr>
          <w:ilvl w:val="0"/>
          <w:numId w:val="83"/>
        </w:numPr>
        <w:spacing w:line="360" w:lineRule="auto"/>
        <w:ind w:firstLine="480" w:firstLineChars="200"/>
        <w:contextualSpacing/>
        <w:outlineLvl w:val="2"/>
        <w:rPr>
          <w:rFonts w:hint="eastAsia" w:ascii="宋体" w:hAnsi="宋体"/>
        </w:rPr>
      </w:pPr>
      <w:r>
        <w:rPr>
          <w:rFonts w:hint="eastAsia" w:ascii="宋体" w:hAnsi="宋体"/>
        </w:rPr>
        <w:t>如果由于任何原因使本合同下的任何条款或内容成为无效或被依法撤销，本合同其他条款或内容的合法性、有效性和可执行性不受影响。</w:t>
      </w:r>
    </w:p>
    <w:p>
      <w:pPr>
        <w:widowControl/>
        <w:numPr>
          <w:ilvl w:val="0"/>
          <w:numId w:val="83"/>
        </w:numPr>
        <w:spacing w:line="360" w:lineRule="auto"/>
        <w:ind w:firstLine="480" w:firstLineChars="200"/>
        <w:contextualSpacing/>
        <w:outlineLvl w:val="2"/>
        <w:rPr>
          <w:rFonts w:hint="eastAsia" w:ascii="宋体" w:hAnsi="宋体"/>
        </w:rPr>
      </w:pPr>
      <w:r>
        <w:rPr>
          <w:rFonts w:hint="eastAsia" w:ascii="宋体" w:hAnsi="宋体"/>
        </w:rPr>
        <w:t>在理财计划存续期内，如因监管政策或法律法规发生变化，在不损害投资者利益的前提下，管理人有权单方对理财计划</w:t>
      </w:r>
      <w:r>
        <w:rPr>
          <w:rFonts w:ascii="宋体" w:hAnsi="宋体"/>
        </w:rPr>
        <w:t>合同</w:t>
      </w:r>
      <w:r>
        <w:rPr>
          <w:rFonts w:hint="eastAsia" w:ascii="宋体" w:hAnsi="宋体"/>
        </w:rPr>
        <w:t>销售文件进行修订。</w:t>
      </w:r>
    </w:p>
    <w:p>
      <w:pPr>
        <w:widowControl/>
        <w:spacing w:line="360" w:lineRule="auto"/>
        <w:contextualSpacing/>
        <w:rPr>
          <w:rFonts w:hint="eastAsia" w:ascii="宋体" w:hAnsi="宋体"/>
        </w:rPr>
      </w:pPr>
    </w:p>
    <w:p>
      <w:pPr>
        <w:spacing w:line="360" w:lineRule="auto"/>
      </w:pPr>
    </w:p>
    <w:p>
      <w:pPr>
        <w:spacing w:line="360" w:lineRule="auto"/>
      </w:pPr>
    </w:p>
    <w:p>
      <w:pPr>
        <w:widowControl/>
        <w:spacing w:line="360" w:lineRule="auto"/>
        <w:jc w:val="right"/>
        <w:rPr>
          <w:rFonts w:hint="eastAsia" w:ascii="宋体" w:hAnsi="Wingdings" w:cs="宋体"/>
          <w:color w:val="000000"/>
          <w:kern w:val="0"/>
        </w:rPr>
      </w:pPr>
      <w:r>
        <w:rPr>
          <w:rFonts w:hint="eastAsia" w:ascii="宋体" w:hAnsi="宋体" w:cs="宋体"/>
          <w:kern w:val="0"/>
        </w:rPr>
        <w:t>杭银理财有限责任公司</w:t>
      </w:r>
    </w:p>
    <w:p>
      <w:pPr>
        <w:spacing w:line="360" w:lineRule="auto"/>
      </w:pPr>
    </w:p>
    <w:p>
      <w:pPr>
        <w:spacing w:line="360" w:lineRule="auto"/>
      </w:pPr>
    </w:p>
    <w:p>
      <w:pPr>
        <w:spacing w:line="360" w:lineRule="auto"/>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ascii="宋体" w:hAnsi="宋体"/>
        </w:rPr>
      </w:pPr>
      <w:bookmarkStart w:id="0" w:name="_GoBack"/>
      <w:bookmarkEnd w:id="0"/>
      <w:r>
        <w:rPr>
          <w:rFonts w:hint="eastAsia" w:ascii="宋体" w:hAnsi="宋体"/>
        </w:rPr>
        <w:t>本页为纸质形式（如有）销售协议书签章页</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rPr>
          <w:rFonts w:hint="eastAsia" w:ascii="宋体" w:hAnsi="宋体"/>
          <w:b/>
          <w:bCs/>
        </w:rPr>
      </w:pPr>
      <w:r>
        <w:rPr>
          <w:rFonts w:hint="eastAsia" w:ascii="宋体" w:hAnsi="宋体"/>
          <w:b/>
          <w:bCs/>
        </w:rPr>
        <w:t>投资者（签字或签章）：</w:t>
      </w:r>
    </w:p>
    <w:p>
      <w:pPr>
        <w:spacing w:before="156" w:beforeLines="50" w:after="156" w:afterLines="50" w:line="360" w:lineRule="auto"/>
        <w:ind w:firstLine="4800" w:firstLineChars="2000"/>
        <w:jc w:val="right"/>
        <w:rPr>
          <w:rFonts w:hint="eastAsia" w:ascii="Arial" w:hAnsi="Arial"/>
        </w:rPr>
      </w:pPr>
      <w:r>
        <w:rPr>
          <w:rFonts w:hint="eastAsia" w:ascii="Arial" w:hAnsi="Arial"/>
        </w:rPr>
        <w:t xml:space="preserve">   年   月   日</w:t>
      </w:r>
    </w:p>
    <w:p>
      <w:pPr>
        <w:spacing w:line="360" w:lineRule="auto"/>
        <w:rPr>
          <w:rFonts w:hint="eastAsia" w:ascii="宋体" w:hAnsi="宋体"/>
          <w:b/>
          <w:bCs/>
        </w:rPr>
      </w:pPr>
    </w:p>
    <w:p>
      <w:pPr>
        <w:spacing w:line="360" w:lineRule="auto"/>
        <w:rPr>
          <w:rFonts w:hint="eastAsia" w:ascii="宋体" w:hAnsi="宋体"/>
          <w:b/>
          <w:bCs/>
        </w:rPr>
      </w:pPr>
    </w:p>
    <w:p>
      <w:pPr>
        <w:spacing w:line="360" w:lineRule="auto"/>
        <w:rPr>
          <w:rFonts w:hint="eastAsia" w:ascii="宋体" w:hAnsi="宋体"/>
          <w:b/>
          <w:bCs/>
        </w:rPr>
      </w:pPr>
    </w:p>
    <w:p>
      <w:pPr>
        <w:spacing w:line="360" w:lineRule="auto"/>
        <w:rPr>
          <w:rFonts w:hint="eastAsia" w:ascii="宋体" w:hAnsi="宋体"/>
          <w:b/>
          <w:bCs/>
        </w:rPr>
      </w:pPr>
    </w:p>
    <w:p>
      <w:pPr>
        <w:spacing w:line="360" w:lineRule="auto"/>
        <w:rPr>
          <w:rFonts w:hint="eastAsia" w:ascii="宋体" w:hAnsi="宋体"/>
          <w:b/>
          <w:bCs/>
        </w:rPr>
      </w:pPr>
      <w:r>
        <w:rPr>
          <w:rFonts w:hint="eastAsia" w:ascii="宋体" w:hAnsi="宋体"/>
          <w:b/>
          <w:bCs/>
        </w:rPr>
        <w:t>销售机构签章：</w:t>
      </w:r>
    </w:p>
    <w:p>
      <w:pPr>
        <w:spacing w:line="360" w:lineRule="auto"/>
        <w:rPr>
          <w:rFonts w:hint="eastAsia" w:ascii="宋体" w:hAnsi="宋体"/>
          <w:b/>
          <w:bCs/>
        </w:rPr>
      </w:pPr>
    </w:p>
    <w:p>
      <w:pPr>
        <w:spacing w:line="360" w:lineRule="auto"/>
        <w:rPr>
          <w:rFonts w:hint="eastAsia" w:ascii="宋体" w:hAnsi="宋体"/>
          <w:b/>
          <w:bCs/>
        </w:rPr>
      </w:pPr>
    </w:p>
    <w:p>
      <w:pPr>
        <w:spacing w:before="156" w:beforeLines="50" w:after="156" w:afterLines="50" w:line="360" w:lineRule="auto"/>
        <w:ind w:firstLine="4800" w:firstLineChars="2000"/>
        <w:jc w:val="right"/>
        <w:rPr>
          <w:rFonts w:hint="eastAsia" w:ascii="Arial" w:hAnsi="Arial"/>
        </w:rPr>
      </w:pPr>
      <w:r>
        <w:rPr>
          <w:rFonts w:hint="eastAsia" w:ascii="Arial" w:hAnsi="Arial"/>
        </w:rPr>
        <w:t xml:space="preserve">   年   月   日</w:t>
      </w:r>
    </w:p>
    <w:p>
      <w:pPr>
        <w:spacing w:line="360" w:lineRule="auto"/>
        <w:rPr>
          <w:rFonts w:ascii="宋体" w:hAnsi="宋体" w:cs="宋体"/>
          <w:bCs/>
          <w:color w:val="000000"/>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lang/>
                            </w:rP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lang/>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4" w:space="1"/>
      </w:pBdr>
      <w:jc w:val="left"/>
      <w:rPr>
        <w:b/>
        <w:bCs/>
      </w:rPr>
    </w:pPr>
    <w:r>
      <w:rPr>
        <w:b/>
        <w:bCs/>
      </w:rPr>
      <w:drawing>
        <wp:anchor distT="0" distB="0" distL="114300" distR="114300" simplePos="0" relativeHeight="251659264" behindDoc="1" locked="0" layoutInCell="1" allowOverlap="1">
          <wp:simplePos x="0" y="0"/>
          <wp:positionH relativeFrom="column">
            <wp:posOffset>5181600</wp:posOffset>
          </wp:positionH>
          <wp:positionV relativeFrom="paragraph">
            <wp:posOffset>-585470</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b/>
        <w:bCs/>
      </w:rPr>
      <w:t>理财非存款 产品有风险 投资</w:t>
    </w:r>
    <w:r>
      <w:rPr>
        <w:rFonts w:hint="eastAsia"/>
        <w:b/>
        <w:bCs/>
        <w:lang w:val="en-US" w:eastAsia="zh-CN"/>
      </w:rPr>
      <w:t>须</w:t>
    </w:r>
    <w:r>
      <w:rPr>
        <w:rFonts w:hint="eastAsia"/>
        <w:b/>
        <w:bCs/>
      </w:rPr>
      <w:t>谨慎</w:t>
    </w:r>
    <w:r>
      <w:rPr>
        <w:rFonts w:hint="eastAsia"/>
        <w:b/>
        <w:bCs/>
        <w:color w:val="FF0000"/>
      </w:rPr>
      <w:t xml:space="preserve">  </w:t>
    </w:r>
    <w:r>
      <w:rPr>
        <w:rFonts w:hint="eastAsia"/>
        <w:b/>
        <w:bC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5460E80"/>
    <w:multiLevelType w:val="singleLevel"/>
    <w:tmpl w:val="85460E80"/>
    <w:lvl w:ilvl="0" w:tentative="0">
      <w:start w:val="1"/>
      <w:numFmt w:val="decimal"/>
      <w:suff w:val="nothing"/>
      <w:lvlText w:val="（%1）"/>
      <w:lvlJc w:val="left"/>
      <w:rPr>
        <w:rFonts w:hint="default"/>
        <w:b w:val="0"/>
        <w:bCs w:val="0"/>
      </w:rPr>
    </w:lvl>
  </w:abstractNum>
  <w:abstractNum w:abstractNumId="3">
    <w:nsid w:val="8690E7AE"/>
    <w:multiLevelType w:val="singleLevel"/>
    <w:tmpl w:val="8690E7AE"/>
    <w:lvl w:ilvl="0" w:tentative="0">
      <w:start w:val="1"/>
      <w:numFmt w:val="decimal"/>
      <w:suff w:val="nothing"/>
      <w:lvlText w:val="（%1）"/>
      <w:lvlJc w:val="left"/>
    </w:lvl>
  </w:abstractNum>
  <w:abstractNum w:abstractNumId="4">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5">
    <w:nsid w:val="8906C252"/>
    <w:multiLevelType w:val="singleLevel"/>
    <w:tmpl w:val="8906C252"/>
    <w:lvl w:ilvl="0" w:tentative="0">
      <w:start w:val="1"/>
      <w:numFmt w:val="decimal"/>
      <w:suff w:val="nothing"/>
      <w:lvlText w:val="（%1）"/>
      <w:lvlJc w:val="left"/>
      <w:rPr>
        <w:rFonts w:hint="default"/>
        <w:b w:val="0"/>
        <w:bCs w:val="0"/>
      </w:rPr>
    </w:lvl>
  </w:abstractNum>
  <w:abstractNum w:abstractNumId="6">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7">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8">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9">
    <w:nsid w:val="8D2AB5FD"/>
    <w:multiLevelType w:val="singleLevel"/>
    <w:tmpl w:val="8D2AB5FD"/>
    <w:lvl w:ilvl="0" w:tentative="0">
      <w:start w:val="1"/>
      <w:numFmt w:val="chineseCounting"/>
      <w:suff w:val="nothing"/>
      <w:lvlText w:val="（%1）"/>
      <w:lvlJc w:val="left"/>
      <w:pPr>
        <w:ind w:left="0" w:firstLine="420"/>
      </w:pPr>
      <w:rPr>
        <w:rFonts w:hint="eastAsia"/>
        <w:highlight w:val="none"/>
      </w:rPr>
    </w:lvl>
  </w:abstractNum>
  <w:abstractNum w:abstractNumId="10">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11">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2">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3">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4">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5">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6">
    <w:nsid w:val="AC0D39FA"/>
    <w:multiLevelType w:val="singleLevel"/>
    <w:tmpl w:val="AC0D39FA"/>
    <w:lvl w:ilvl="0" w:tentative="0">
      <w:start w:val="1"/>
      <w:numFmt w:val="decimal"/>
      <w:suff w:val="nothing"/>
      <w:lvlText w:val="%1．"/>
      <w:lvlJc w:val="left"/>
      <w:pPr>
        <w:ind w:left="0" w:firstLine="400"/>
      </w:pPr>
      <w:rPr>
        <w:rFonts w:hint="default"/>
      </w:rPr>
    </w:lvl>
  </w:abstractNum>
  <w:abstractNum w:abstractNumId="17">
    <w:nsid w:val="AC40BB97"/>
    <w:multiLevelType w:val="singleLevel"/>
    <w:tmpl w:val="AC40BB97"/>
    <w:lvl w:ilvl="0" w:tentative="0">
      <w:start w:val="1"/>
      <w:numFmt w:val="chineseCounting"/>
      <w:suff w:val="nothing"/>
      <w:lvlText w:val="%1、"/>
      <w:lvlJc w:val="left"/>
      <w:rPr>
        <w:rFonts w:hint="eastAsia"/>
      </w:rPr>
    </w:lvl>
  </w:abstractNum>
  <w:abstractNum w:abstractNumId="18">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9">
    <w:nsid w:val="B08226EF"/>
    <w:multiLevelType w:val="singleLevel"/>
    <w:tmpl w:val="B08226EF"/>
    <w:lvl w:ilvl="0" w:tentative="0">
      <w:start w:val="1"/>
      <w:numFmt w:val="chineseCounting"/>
      <w:suff w:val="space"/>
      <w:lvlText w:val="第%1条"/>
      <w:lvlJc w:val="left"/>
      <w:rPr>
        <w:rFonts w:hint="eastAsia"/>
      </w:rPr>
    </w:lvl>
  </w:abstractNum>
  <w:abstractNum w:abstractNumId="20">
    <w:nsid w:val="B74CE87F"/>
    <w:multiLevelType w:val="singleLevel"/>
    <w:tmpl w:val="B74CE87F"/>
    <w:lvl w:ilvl="0" w:tentative="0">
      <w:start w:val="1"/>
      <w:numFmt w:val="decimal"/>
      <w:suff w:val="nothing"/>
      <w:lvlText w:val="%1．"/>
      <w:lvlJc w:val="left"/>
      <w:pPr>
        <w:ind w:left="0" w:firstLine="400"/>
      </w:pPr>
      <w:rPr>
        <w:rFonts w:hint="default"/>
      </w:rPr>
    </w:lvl>
  </w:abstractNum>
  <w:abstractNum w:abstractNumId="21">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22">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23">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4">
    <w:nsid w:val="D86C2766"/>
    <w:multiLevelType w:val="singleLevel"/>
    <w:tmpl w:val="D86C2766"/>
    <w:lvl w:ilvl="0" w:tentative="0">
      <w:start w:val="5"/>
      <w:numFmt w:val="decimal"/>
      <w:suff w:val="nothing"/>
      <w:lvlText w:val="%1．"/>
      <w:lvlJc w:val="left"/>
      <w:pPr>
        <w:ind w:left="0" w:firstLine="403"/>
      </w:pPr>
      <w:rPr>
        <w:rFonts w:hint="default"/>
      </w:rPr>
    </w:lvl>
  </w:abstractNum>
  <w:abstractNum w:abstractNumId="25">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6">
    <w:nsid w:val="D8D75090"/>
    <w:multiLevelType w:val="singleLevel"/>
    <w:tmpl w:val="D8D75090"/>
    <w:lvl w:ilvl="0" w:tentative="0">
      <w:start w:val="1"/>
      <w:numFmt w:val="decimal"/>
      <w:suff w:val="nothing"/>
      <w:lvlText w:val="（%1）"/>
      <w:lvlJc w:val="left"/>
      <w:rPr>
        <w:rFonts w:hint="default"/>
        <w:b w:val="0"/>
        <w:bCs w:val="0"/>
      </w:rPr>
    </w:lvl>
  </w:abstractNum>
  <w:abstractNum w:abstractNumId="27">
    <w:nsid w:val="DD2251DF"/>
    <w:multiLevelType w:val="singleLevel"/>
    <w:tmpl w:val="DD2251DF"/>
    <w:lvl w:ilvl="0" w:tentative="0">
      <w:start w:val="1"/>
      <w:numFmt w:val="decimal"/>
      <w:suff w:val="nothing"/>
      <w:lvlText w:val="（%1）"/>
      <w:lvlJc w:val="left"/>
      <w:rPr>
        <w:rFonts w:hint="default"/>
        <w:b w:val="0"/>
        <w:bCs w:val="0"/>
      </w:rPr>
    </w:lvl>
  </w:abstractNum>
  <w:abstractNum w:abstractNumId="28">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9">
    <w:nsid w:val="E70DF796"/>
    <w:multiLevelType w:val="singleLevel"/>
    <w:tmpl w:val="E70DF796"/>
    <w:lvl w:ilvl="0" w:tentative="0">
      <w:start w:val="1"/>
      <w:numFmt w:val="decimal"/>
      <w:suff w:val="nothing"/>
      <w:lvlText w:val="（%1）"/>
      <w:lvlJc w:val="left"/>
    </w:lvl>
  </w:abstractNum>
  <w:abstractNum w:abstractNumId="30">
    <w:nsid w:val="EFF37F09"/>
    <w:multiLevelType w:val="singleLevel"/>
    <w:tmpl w:val="EFF37F09"/>
    <w:lvl w:ilvl="0" w:tentative="0">
      <w:start w:val="1"/>
      <w:numFmt w:val="decimal"/>
      <w:suff w:val="nothing"/>
      <w:lvlText w:val="（%1）"/>
      <w:lvlJc w:val="left"/>
      <w:rPr>
        <w:rFonts w:hint="default"/>
        <w:b w:val="0"/>
        <w:bCs w:val="0"/>
      </w:rPr>
    </w:lvl>
  </w:abstractNum>
  <w:abstractNum w:abstractNumId="31">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32">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33">
    <w:nsid w:val="F44DF26E"/>
    <w:multiLevelType w:val="singleLevel"/>
    <w:tmpl w:val="F44DF26E"/>
    <w:lvl w:ilvl="0" w:tentative="0">
      <w:start w:val="1"/>
      <w:numFmt w:val="decimal"/>
      <w:suff w:val="nothing"/>
      <w:lvlText w:val="%1．"/>
      <w:lvlJc w:val="left"/>
      <w:pPr>
        <w:ind w:left="0" w:firstLine="400"/>
      </w:pPr>
      <w:rPr>
        <w:rFonts w:hint="default"/>
      </w:rPr>
    </w:lvl>
  </w:abstractNum>
  <w:abstractNum w:abstractNumId="34">
    <w:nsid w:val="F574F5B6"/>
    <w:multiLevelType w:val="singleLevel"/>
    <w:tmpl w:val="F574F5B6"/>
    <w:lvl w:ilvl="0" w:tentative="0">
      <w:start w:val="1"/>
      <w:numFmt w:val="decimal"/>
      <w:suff w:val="nothing"/>
      <w:lvlText w:val="（%1）"/>
      <w:lvlJc w:val="left"/>
    </w:lvl>
  </w:abstractNum>
  <w:abstractNum w:abstractNumId="35">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36">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7">
    <w:nsid w:val="07239BE5"/>
    <w:multiLevelType w:val="singleLevel"/>
    <w:tmpl w:val="07239BE5"/>
    <w:lvl w:ilvl="0" w:tentative="0">
      <w:start w:val="1"/>
      <w:numFmt w:val="decimal"/>
      <w:suff w:val="nothing"/>
      <w:lvlText w:val="（%1）"/>
      <w:lvlJc w:val="left"/>
    </w:lvl>
  </w:abstractNum>
  <w:abstractNum w:abstractNumId="38">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9">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40">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41">
    <w:nsid w:val="167B0BB4"/>
    <w:multiLevelType w:val="singleLevel"/>
    <w:tmpl w:val="167B0BB4"/>
    <w:lvl w:ilvl="0" w:tentative="0">
      <w:start w:val="1"/>
      <w:numFmt w:val="decimal"/>
      <w:suff w:val="nothing"/>
      <w:lvlText w:val="（%1）"/>
      <w:lvlJc w:val="left"/>
    </w:lvl>
  </w:abstractNum>
  <w:abstractNum w:abstractNumId="42">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highlight w:val="none"/>
      </w:rPr>
    </w:lvl>
  </w:abstractNum>
  <w:abstractNum w:abstractNumId="43">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44">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45">
    <w:nsid w:val="2CB63BE6"/>
    <w:multiLevelType w:val="singleLevel"/>
    <w:tmpl w:val="2CB63BE6"/>
    <w:lvl w:ilvl="0" w:tentative="0">
      <w:start w:val="1"/>
      <w:numFmt w:val="decimal"/>
      <w:suff w:val="nothing"/>
      <w:lvlText w:val="（%1）"/>
      <w:lvlJc w:val="left"/>
      <w:rPr>
        <w:rFonts w:hint="default"/>
        <w:b w:val="0"/>
        <w:bCs w:val="0"/>
      </w:rPr>
    </w:lvl>
  </w:abstractNum>
  <w:abstractNum w:abstractNumId="46">
    <w:nsid w:val="3775F290"/>
    <w:multiLevelType w:val="singleLevel"/>
    <w:tmpl w:val="3775F290"/>
    <w:lvl w:ilvl="0" w:tentative="0">
      <w:start w:val="7"/>
      <w:numFmt w:val="decimal"/>
      <w:suff w:val="nothing"/>
      <w:lvlText w:val="%1．"/>
      <w:lvlJc w:val="left"/>
      <w:pPr>
        <w:ind w:left="0" w:firstLine="403"/>
      </w:pPr>
      <w:rPr>
        <w:rFonts w:hint="default"/>
      </w:rPr>
    </w:lvl>
  </w:abstractNum>
  <w:abstractNum w:abstractNumId="47">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8">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9">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50">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51">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52">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53">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54">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55">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56">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57">
    <w:nsid w:val="5BA91325"/>
    <w:multiLevelType w:val="singleLevel"/>
    <w:tmpl w:val="5BA91325"/>
    <w:lvl w:ilvl="0" w:tentative="0">
      <w:start w:val="1"/>
      <w:numFmt w:val="decimal"/>
      <w:suff w:val="nothing"/>
      <w:lvlText w:val="（%1）"/>
      <w:lvlJc w:val="left"/>
    </w:lvl>
  </w:abstractNum>
  <w:abstractNum w:abstractNumId="58">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9">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60">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61">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62">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63">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64">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65">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66">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67">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8">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9">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70">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71">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72">
    <w:nsid w:val="61CBC088"/>
    <w:multiLevelType w:val="singleLevel"/>
    <w:tmpl w:val="61CBC088"/>
    <w:lvl w:ilvl="0" w:tentative="0">
      <w:start w:val="1"/>
      <w:numFmt w:val="chineseCounting"/>
      <w:suff w:val="nothing"/>
      <w:lvlText w:val="（%1）"/>
      <w:lvlJc w:val="left"/>
      <w:pPr>
        <w:ind w:left="0" w:firstLine="420"/>
      </w:pPr>
      <w:rPr>
        <w:rFonts w:hint="eastAsia"/>
      </w:rPr>
    </w:lvl>
  </w:abstractNum>
  <w:abstractNum w:abstractNumId="73">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74">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75">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76">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77">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8">
    <w:nsid w:val="61F30F62"/>
    <w:multiLevelType w:val="singleLevel"/>
    <w:tmpl w:val="61F30F62"/>
    <w:lvl w:ilvl="0" w:tentative="0">
      <w:start w:val="1"/>
      <w:numFmt w:val="decimal"/>
      <w:suff w:val="nothing"/>
      <w:lvlText w:val="（%1）"/>
      <w:lvlJc w:val="left"/>
      <w:rPr>
        <w:rFonts w:hint="default"/>
        <w:b w:val="0"/>
        <w:bCs w:val="0"/>
      </w:rPr>
    </w:lvl>
  </w:abstractNum>
  <w:abstractNum w:abstractNumId="79">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80">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81">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abstractNum w:abstractNumId="82">
    <w:nsid w:val="7E072F1A"/>
    <w:multiLevelType w:val="singleLevel"/>
    <w:tmpl w:val="7E072F1A"/>
    <w:lvl w:ilvl="0" w:tentative="0">
      <w:start w:val="1"/>
      <w:numFmt w:val="decimal"/>
      <w:suff w:val="space"/>
      <w:lvlText w:val="%1."/>
      <w:lvlJc w:val="left"/>
    </w:lvl>
  </w:abstractNum>
  <w:num w:numId="1">
    <w:abstractNumId w:val="17"/>
  </w:num>
  <w:num w:numId="2">
    <w:abstractNumId w:val="0"/>
  </w:num>
  <w:num w:numId="3">
    <w:abstractNumId w:val="50"/>
  </w:num>
  <w:num w:numId="4">
    <w:abstractNumId w:val="43"/>
  </w:num>
  <w:num w:numId="5">
    <w:abstractNumId w:val="80"/>
  </w:num>
  <w:num w:numId="6">
    <w:abstractNumId w:val="38"/>
  </w:num>
  <w:num w:numId="7">
    <w:abstractNumId w:val="81"/>
  </w:num>
  <w:num w:numId="8">
    <w:abstractNumId w:val="55"/>
  </w:num>
  <w:num w:numId="9">
    <w:abstractNumId w:val="52"/>
  </w:num>
  <w:num w:numId="10">
    <w:abstractNumId w:val="35"/>
  </w:num>
  <w:num w:numId="11">
    <w:abstractNumId w:val="32"/>
  </w:num>
  <w:num w:numId="12">
    <w:abstractNumId w:val="39"/>
  </w:num>
  <w:num w:numId="13">
    <w:abstractNumId w:val="31"/>
  </w:num>
  <w:num w:numId="14">
    <w:abstractNumId w:val="23"/>
  </w:num>
  <w:num w:numId="15">
    <w:abstractNumId w:val="13"/>
  </w:num>
  <w:num w:numId="16">
    <w:abstractNumId w:val="21"/>
  </w:num>
  <w:num w:numId="17">
    <w:abstractNumId w:val="10"/>
  </w:num>
  <w:num w:numId="18">
    <w:abstractNumId w:val="82"/>
  </w:num>
  <w:num w:numId="19">
    <w:abstractNumId w:val="11"/>
  </w:num>
  <w:num w:numId="20">
    <w:abstractNumId w:val="9"/>
  </w:num>
  <w:num w:numId="21">
    <w:abstractNumId w:val="37"/>
  </w:num>
  <w:num w:numId="22">
    <w:abstractNumId w:val="7"/>
  </w:num>
  <w:num w:numId="23">
    <w:abstractNumId w:val="1"/>
  </w:num>
  <w:num w:numId="24">
    <w:abstractNumId w:val="51"/>
  </w:num>
  <w:num w:numId="25">
    <w:abstractNumId w:val="3"/>
  </w:num>
  <w:num w:numId="26">
    <w:abstractNumId w:val="34"/>
  </w:num>
  <w:num w:numId="27">
    <w:abstractNumId w:val="57"/>
  </w:num>
  <w:num w:numId="28">
    <w:abstractNumId w:val="44"/>
  </w:num>
  <w:num w:numId="29">
    <w:abstractNumId w:val="25"/>
  </w:num>
  <w:num w:numId="30">
    <w:abstractNumId w:val="8"/>
  </w:num>
  <w:num w:numId="31">
    <w:abstractNumId w:val="54"/>
  </w:num>
  <w:num w:numId="32">
    <w:abstractNumId w:val="6"/>
  </w:num>
  <w:num w:numId="33">
    <w:abstractNumId w:val="42"/>
  </w:num>
  <w:num w:numId="34">
    <w:abstractNumId w:val="79"/>
  </w:num>
  <w:num w:numId="35">
    <w:abstractNumId w:val="36"/>
  </w:num>
  <w:num w:numId="36">
    <w:abstractNumId w:val="24"/>
  </w:num>
  <w:num w:numId="37">
    <w:abstractNumId w:val="46"/>
  </w:num>
  <w:num w:numId="38">
    <w:abstractNumId w:val="27"/>
  </w:num>
  <w:num w:numId="39">
    <w:abstractNumId w:val="49"/>
  </w:num>
  <w:num w:numId="40">
    <w:abstractNumId w:val="4"/>
  </w:num>
  <w:num w:numId="41">
    <w:abstractNumId w:val="28"/>
  </w:num>
  <w:num w:numId="42">
    <w:abstractNumId w:val="20"/>
  </w:num>
  <w:num w:numId="43">
    <w:abstractNumId w:val="16"/>
  </w:num>
  <w:num w:numId="44">
    <w:abstractNumId w:val="53"/>
  </w:num>
  <w:num w:numId="45">
    <w:abstractNumId w:val="40"/>
  </w:num>
  <w:num w:numId="46">
    <w:abstractNumId w:val="22"/>
  </w:num>
  <w:num w:numId="47">
    <w:abstractNumId w:val="33"/>
  </w:num>
  <w:num w:numId="48">
    <w:abstractNumId w:val="29"/>
  </w:num>
  <w:num w:numId="49">
    <w:abstractNumId w:val="30"/>
  </w:num>
  <w:num w:numId="50">
    <w:abstractNumId w:val="78"/>
  </w:num>
  <w:num w:numId="51">
    <w:abstractNumId w:val="45"/>
  </w:num>
  <w:num w:numId="52">
    <w:abstractNumId w:val="2"/>
  </w:num>
  <w:num w:numId="53">
    <w:abstractNumId w:val="56"/>
  </w:num>
  <w:num w:numId="54">
    <w:abstractNumId w:val="14"/>
  </w:num>
  <w:num w:numId="55">
    <w:abstractNumId w:val="12"/>
  </w:num>
  <w:num w:numId="56">
    <w:abstractNumId w:val="15"/>
  </w:num>
  <w:num w:numId="57">
    <w:abstractNumId w:val="41"/>
  </w:num>
  <w:num w:numId="58">
    <w:abstractNumId w:val="26"/>
  </w:num>
  <w:num w:numId="59">
    <w:abstractNumId w:val="5"/>
  </w:num>
  <w:num w:numId="60">
    <w:abstractNumId w:val="48"/>
  </w:num>
  <w:num w:numId="61">
    <w:abstractNumId w:val="65"/>
  </w:num>
  <w:num w:numId="62">
    <w:abstractNumId w:val="64"/>
  </w:num>
  <w:num w:numId="63">
    <w:abstractNumId w:val="66"/>
  </w:num>
  <w:num w:numId="64">
    <w:abstractNumId w:val="67"/>
  </w:num>
  <w:num w:numId="65">
    <w:abstractNumId w:val="68"/>
  </w:num>
  <w:num w:numId="66">
    <w:abstractNumId w:val="69"/>
  </w:num>
  <w:num w:numId="67">
    <w:abstractNumId w:val="70"/>
  </w:num>
  <w:num w:numId="68">
    <w:abstractNumId w:val="71"/>
  </w:num>
  <w:num w:numId="69">
    <w:abstractNumId w:val="47"/>
  </w:num>
  <w:num w:numId="70">
    <w:abstractNumId w:val="19"/>
  </w:num>
  <w:num w:numId="71">
    <w:abstractNumId w:val="58"/>
  </w:num>
  <w:num w:numId="72">
    <w:abstractNumId w:val="59"/>
  </w:num>
  <w:num w:numId="73">
    <w:abstractNumId w:val="60"/>
  </w:num>
  <w:num w:numId="74">
    <w:abstractNumId w:val="61"/>
  </w:num>
  <w:num w:numId="75">
    <w:abstractNumId w:val="62"/>
  </w:num>
  <w:num w:numId="76">
    <w:abstractNumId w:val="63"/>
  </w:num>
  <w:num w:numId="77">
    <w:abstractNumId w:val="72"/>
  </w:num>
  <w:num w:numId="78">
    <w:abstractNumId w:val="73"/>
  </w:num>
  <w:num w:numId="79">
    <w:abstractNumId w:val="18"/>
  </w:num>
  <w:num w:numId="80">
    <w:abstractNumId w:val="74"/>
  </w:num>
  <w:num w:numId="81">
    <w:abstractNumId w:val="75"/>
  </w:num>
  <w:num w:numId="82">
    <w:abstractNumId w:val="76"/>
  </w:num>
  <w:num w:numId="83">
    <w:abstractNumId w:val="7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jOWZhYjNhMDcwZTUwMzk1N2Q1ZTljMmJlZmYyNzcifQ=="/>
  </w:docVars>
  <w:rsids>
    <w:rsidRoot w:val="00172A27"/>
    <w:rsid w:val="000178B4"/>
    <w:rsid w:val="00021BE6"/>
    <w:rsid w:val="0004098C"/>
    <w:rsid w:val="00042468"/>
    <w:rsid w:val="00045100"/>
    <w:rsid w:val="00047907"/>
    <w:rsid w:val="000877EC"/>
    <w:rsid w:val="000C0172"/>
    <w:rsid w:val="00100E5A"/>
    <w:rsid w:val="0011018A"/>
    <w:rsid w:val="00123D4B"/>
    <w:rsid w:val="00130957"/>
    <w:rsid w:val="0013303A"/>
    <w:rsid w:val="00140631"/>
    <w:rsid w:val="00151ECC"/>
    <w:rsid w:val="00156D18"/>
    <w:rsid w:val="00162EB5"/>
    <w:rsid w:val="001851F1"/>
    <w:rsid w:val="001A1328"/>
    <w:rsid w:val="001B6B29"/>
    <w:rsid w:val="0025303E"/>
    <w:rsid w:val="002632D1"/>
    <w:rsid w:val="00297145"/>
    <w:rsid w:val="002A54C7"/>
    <w:rsid w:val="002C2C8D"/>
    <w:rsid w:val="002D02A6"/>
    <w:rsid w:val="002D5AC8"/>
    <w:rsid w:val="002F61C5"/>
    <w:rsid w:val="003158E5"/>
    <w:rsid w:val="00343831"/>
    <w:rsid w:val="00347E96"/>
    <w:rsid w:val="003672B2"/>
    <w:rsid w:val="00375767"/>
    <w:rsid w:val="003A3E69"/>
    <w:rsid w:val="003C4216"/>
    <w:rsid w:val="003E58AC"/>
    <w:rsid w:val="004178FF"/>
    <w:rsid w:val="00453BD7"/>
    <w:rsid w:val="004605B1"/>
    <w:rsid w:val="0046352D"/>
    <w:rsid w:val="00480C66"/>
    <w:rsid w:val="0048601A"/>
    <w:rsid w:val="004A3039"/>
    <w:rsid w:val="004A3A51"/>
    <w:rsid w:val="004A5D04"/>
    <w:rsid w:val="004F79A4"/>
    <w:rsid w:val="00510FDF"/>
    <w:rsid w:val="005330F5"/>
    <w:rsid w:val="00542EB4"/>
    <w:rsid w:val="00546D0F"/>
    <w:rsid w:val="0055786D"/>
    <w:rsid w:val="00576D4B"/>
    <w:rsid w:val="00584815"/>
    <w:rsid w:val="005968F9"/>
    <w:rsid w:val="005B013E"/>
    <w:rsid w:val="005B1B23"/>
    <w:rsid w:val="005C4155"/>
    <w:rsid w:val="005D09A4"/>
    <w:rsid w:val="005D25FF"/>
    <w:rsid w:val="005D59CE"/>
    <w:rsid w:val="005D7FD8"/>
    <w:rsid w:val="005E00F7"/>
    <w:rsid w:val="005E0C13"/>
    <w:rsid w:val="005E7C2B"/>
    <w:rsid w:val="0060037C"/>
    <w:rsid w:val="00605011"/>
    <w:rsid w:val="00610026"/>
    <w:rsid w:val="00621B0B"/>
    <w:rsid w:val="00622129"/>
    <w:rsid w:val="006229B3"/>
    <w:rsid w:val="00644CDB"/>
    <w:rsid w:val="00686DDD"/>
    <w:rsid w:val="006B3E04"/>
    <w:rsid w:val="006C61AA"/>
    <w:rsid w:val="006E572E"/>
    <w:rsid w:val="00736F65"/>
    <w:rsid w:val="0074692F"/>
    <w:rsid w:val="00772BF5"/>
    <w:rsid w:val="00834591"/>
    <w:rsid w:val="00864495"/>
    <w:rsid w:val="008A206D"/>
    <w:rsid w:val="008B32E6"/>
    <w:rsid w:val="008C4316"/>
    <w:rsid w:val="008C4F31"/>
    <w:rsid w:val="00964F17"/>
    <w:rsid w:val="009952A1"/>
    <w:rsid w:val="009B44C2"/>
    <w:rsid w:val="009B4EEC"/>
    <w:rsid w:val="009D297F"/>
    <w:rsid w:val="009F11F1"/>
    <w:rsid w:val="009F2238"/>
    <w:rsid w:val="00A304D3"/>
    <w:rsid w:val="00A36A7B"/>
    <w:rsid w:val="00A66DA5"/>
    <w:rsid w:val="00A801BC"/>
    <w:rsid w:val="00A9377E"/>
    <w:rsid w:val="00AB05B7"/>
    <w:rsid w:val="00AC6F91"/>
    <w:rsid w:val="00AE24E4"/>
    <w:rsid w:val="00AF6666"/>
    <w:rsid w:val="00B04CE0"/>
    <w:rsid w:val="00B34D3B"/>
    <w:rsid w:val="00B946CD"/>
    <w:rsid w:val="00BB196A"/>
    <w:rsid w:val="00C01306"/>
    <w:rsid w:val="00C35C9E"/>
    <w:rsid w:val="00C518AB"/>
    <w:rsid w:val="00C51B22"/>
    <w:rsid w:val="00C723BD"/>
    <w:rsid w:val="00C7272E"/>
    <w:rsid w:val="00C748E6"/>
    <w:rsid w:val="00C83394"/>
    <w:rsid w:val="00C86327"/>
    <w:rsid w:val="00CB411D"/>
    <w:rsid w:val="00CB5BDC"/>
    <w:rsid w:val="00CD1EE3"/>
    <w:rsid w:val="00CD6702"/>
    <w:rsid w:val="00D019F4"/>
    <w:rsid w:val="00D02DAB"/>
    <w:rsid w:val="00D04564"/>
    <w:rsid w:val="00D07A21"/>
    <w:rsid w:val="00D20CD0"/>
    <w:rsid w:val="00D32EDE"/>
    <w:rsid w:val="00D3556B"/>
    <w:rsid w:val="00D537BB"/>
    <w:rsid w:val="00D564BF"/>
    <w:rsid w:val="00D66B9B"/>
    <w:rsid w:val="00D76188"/>
    <w:rsid w:val="00D76E37"/>
    <w:rsid w:val="00D9525E"/>
    <w:rsid w:val="00D96A1B"/>
    <w:rsid w:val="00D96A4F"/>
    <w:rsid w:val="00DE6A66"/>
    <w:rsid w:val="00E24992"/>
    <w:rsid w:val="00E30F71"/>
    <w:rsid w:val="00E37572"/>
    <w:rsid w:val="00E93B67"/>
    <w:rsid w:val="00EB36B6"/>
    <w:rsid w:val="00EE5183"/>
    <w:rsid w:val="00EF02E9"/>
    <w:rsid w:val="00F01F00"/>
    <w:rsid w:val="00F21A02"/>
    <w:rsid w:val="00F25702"/>
    <w:rsid w:val="00F265D6"/>
    <w:rsid w:val="00F4769C"/>
    <w:rsid w:val="00F61BEE"/>
    <w:rsid w:val="00FB08BD"/>
    <w:rsid w:val="00FC0FC8"/>
    <w:rsid w:val="00FD10B4"/>
    <w:rsid w:val="00FD2910"/>
    <w:rsid w:val="01364432"/>
    <w:rsid w:val="01523B8E"/>
    <w:rsid w:val="01E60817"/>
    <w:rsid w:val="03D14B4D"/>
    <w:rsid w:val="048C214F"/>
    <w:rsid w:val="056B17EF"/>
    <w:rsid w:val="056C133C"/>
    <w:rsid w:val="05E05E4D"/>
    <w:rsid w:val="05E31C0B"/>
    <w:rsid w:val="06420CFA"/>
    <w:rsid w:val="06503B59"/>
    <w:rsid w:val="06AB349F"/>
    <w:rsid w:val="06BA3213"/>
    <w:rsid w:val="0752555A"/>
    <w:rsid w:val="07E45984"/>
    <w:rsid w:val="0828699A"/>
    <w:rsid w:val="087D1C06"/>
    <w:rsid w:val="097E3F67"/>
    <w:rsid w:val="0A1347F5"/>
    <w:rsid w:val="0A2A32B9"/>
    <w:rsid w:val="0B0A5C5E"/>
    <w:rsid w:val="0B8E27E3"/>
    <w:rsid w:val="0BDE0A4F"/>
    <w:rsid w:val="0BF71AE2"/>
    <w:rsid w:val="0CA6603D"/>
    <w:rsid w:val="0D0B1B00"/>
    <w:rsid w:val="0E383496"/>
    <w:rsid w:val="0E4A4B6F"/>
    <w:rsid w:val="0E89341F"/>
    <w:rsid w:val="0EAE473F"/>
    <w:rsid w:val="0EF65480"/>
    <w:rsid w:val="0F190E6E"/>
    <w:rsid w:val="1052658C"/>
    <w:rsid w:val="10E7087B"/>
    <w:rsid w:val="10FA5463"/>
    <w:rsid w:val="10FA718D"/>
    <w:rsid w:val="119F69A6"/>
    <w:rsid w:val="11A84D8B"/>
    <w:rsid w:val="11BA058F"/>
    <w:rsid w:val="12081858"/>
    <w:rsid w:val="12B62B3B"/>
    <w:rsid w:val="13031153"/>
    <w:rsid w:val="13181417"/>
    <w:rsid w:val="14C57FED"/>
    <w:rsid w:val="150C5665"/>
    <w:rsid w:val="153D73AB"/>
    <w:rsid w:val="15B14B38"/>
    <w:rsid w:val="15C56302"/>
    <w:rsid w:val="160940BB"/>
    <w:rsid w:val="1659752C"/>
    <w:rsid w:val="16E43A7F"/>
    <w:rsid w:val="17AC2E32"/>
    <w:rsid w:val="17CF6B80"/>
    <w:rsid w:val="18235DC2"/>
    <w:rsid w:val="185A3DA1"/>
    <w:rsid w:val="18711387"/>
    <w:rsid w:val="198C4B50"/>
    <w:rsid w:val="19F13F4F"/>
    <w:rsid w:val="1A102675"/>
    <w:rsid w:val="1A3860E6"/>
    <w:rsid w:val="1A9B55D1"/>
    <w:rsid w:val="1AFD083A"/>
    <w:rsid w:val="1B280245"/>
    <w:rsid w:val="1B925DC3"/>
    <w:rsid w:val="1BBE4697"/>
    <w:rsid w:val="1BD772E4"/>
    <w:rsid w:val="1C446748"/>
    <w:rsid w:val="1C4B2805"/>
    <w:rsid w:val="1D552DD9"/>
    <w:rsid w:val="1D71653B"/>
    <w:rsid w:val="1DAB6D83"/>
    <w:rsid w:val="1E3173A3"/>
    <w:rsid w:val="1E6A3FAF"/>
    <w:rsid w:val="1E8B6C30"/>
    <w:rsid w:val="1EB16016"/>
    <w:rsid w:val="1EF32B89"/>
    <w:rsid w:val="1F015EF5"/>
    <w:rsid w:val="1F0F5A19"/>
    <w:rsid w:val="1F1D6E1F"/>
    <w:rsid w:val="1F3E7F7D"/>
    <w:rsid w:val="1F51312D"/>
    <w:rsid w:val="1FC9553A"/>
    <w:rsid w:val="20185399"/>
    <w:rsid w:val="204D3B12"/>
    <w:rsid w:val="205A2AB3"/>
    <w:rsid w:val="20B6224D"/>
    <w:rsid w:val="21025026"/>
    <w:rsid w:val="22A04AF7"/>
    <w:rsid w:val="22D3594B"/>
    <w:rsid w:val="22F12819"/>
    <w:rsid w:val="23753F06"/>
    <w:rsid w:val="238E1AAE"/>
    <w:rsid w:val="23AB33C0"/>
    <w:rsid w:val="24345B9A"/>
    <w:rsid w:val="245E14E1"/>
    <w:rsid w:val="24655F28"/>
    <w:rsid w:val="2483647E"/>
    <w:rsid w:val="25631299"/>
    <w:rsid w:val="256F076F"/>
    <w:rsid w:val="25CD6B90"/>
    <w:rsid w:val="26182DC9"/>
    <w:rsid w:val="26276A8B"/>
    <w:rsid w:val="26820AF7"/>
    <w:rsid w:val="28887DDA"/>
    <w:rsid w:val="288C3BCA"/>
    <w:rsid w:val="292668E3"/>
    <w:rsid w:val="297C267E"/>
    <w:rsid w:val="2A1B5D68"/>
    <w:rsid w:val="2A5975B6"/>
    <w:rsid w:val="2A991D32"/>
    <w:rsid w:val="2AB92324"/>
    <w:rsid w:val="2AD6555A"/>
    <w:rsid w:val="2B376BE0"/>
    <w:rsid w:val="2BF61F2D"/>
    <w:rsid w:val="2C1B1E9D"/>
    <w:rsid w:val="2C673924"/>
    <w:rsid w:val="2CAB68C5"/>
    <w:rsid w:val="2D242E79"/>
    <w:rsid w:val="2E141F09"/>
    <w:rsid w:val="2E701821"/>
    <w:rsid w:val="2EBC6D03"/>
    <w:rsid w:val="2EBF57B7"/>
    <w:rsid w:val="2EE40EF9"/>
    <w:rsid w:val="2F1F666C"/>
    <w:rsid w:val="2FD32A37"/>
    <w:rsid w:val="30551FFC"/>
    <w:rsid w:val="311F702A"/>
    <w:rsid w:val="315E22B4"/>
    <w:rsid w:val="316354EE"/>
    <w:rsid w:val="31A82883"/>
    <w:rsid w:val="31C27A3E"/>
    <w:rsid w:val="320E3E15"/>
    <w:rsid w:val="32C937E9"/>
    <w:rsid w:val="3315435F"/>
    <w:rsid w:val="333859A2"/>
    <w:rsid w:val="333F6AA7"/>
    <w:rsid w:val="33702146"/>
    <w:rsid w:val="34016892"/>
    <w:rsid w:val="3480359E"/>
    <w:rsid w:val="34BE4ED5"/>
    <w:rsid w:val="35476F5E"/>
    <w:rsid w:val="36631FD8"/>
    <w:rsid w:val="36E72D9B"/>
    <w:rsid w:val="3734371B"/>
    <w:rsid w:val="37613660"/>
    <w:rsid w:val="379F2ED6"/>
    <w:rsid w:val="37C93E17"/>
    <w:rsid w:val="37CA172C"/>
    <w:rsid w:val="37D84FAF"/>
    <w:rsid w:val="38071350"/>
    <w:rsid w:val="38224FD0"/>
    <w:rsid w:val="3A2E3E15"/>
    <w:rsid w:val="3A3E2041"/>
    <w:rsid w:val="3B131EF6"/>
    <w:rsid w:val="3B490D86"/>
    <w:rsid w:val="3C2F2290"/>
    <w:rsid w:val="3C980D44"/>
    <w:rsid w:val="3CA71260"/>
    <w:rsid w:val="3DBB1D7A"/>
    <w:rsid w:val="3DFF0FFD"/>
    <w:rsid w:val="3EA67C14"/>
    <w:rsid w:val="3EAD1B36"/>
    <w:rsid w:val="3F056B9E"/>
    <w:rsid w:val="3F35243F"/>
    <w:rsid w:val="3F354A62"/>
    <w:rsid w:val="3FF54C55"/>
    <w:rsid w:val="406370BC"/>
    <w:rsid w:val="40C878EE"/>
    <w:rsid w:val="40FB7670"/>
    <w:rsid w:val="41B60000"/>
    <w:rsid w:val="422E7B02"/>
    <w:rsid w:val="423C06E2"/>
    <w:rsid w:val="4254593A"/>
    <w:rsid w:val="42815397"/>
    <w:rsid w:val="42C94634"/>
    <w:rsid w:val="431306AF"/>
    <w:rsid w:val="43DD7224"/>
    <w:rsid w:val="45540446"/>
    <w:rsid w:val="45BB5620"/>
    <w:rsid w:val="45F127ED"/>
    <w:rsid w:val="46263D02"/>
    <w:rsid w:val="46A20063"/>
    <w:rsid w:val="46BC428B"/>
    <w:rsid w:val="46BF1509"/>
    <w:rsid w:val="46CD66A0"/>
    <w:rsid w:val="46DC2632"/>
    <w:rsid w:val="472803B7"/>
    <w:rsid w:val="472F1C30"/>
    <w:rsid w:val="488B59A4"/>
    <w:rsid w:val="494502E1"/>
    <w:rsid w:val="4A0228AF"/>
    <w:rsid w:val="4A7F0ADF"/>
    <w:rsid w:val="4A874A92"/>
    <w:rsid w:val="4AA612F0"/>
    <w:rsid w:val="4AC240FE"/>
    <w:rsid w:val="4B0D3113"/>
    <w:rsid w:val="4B2511E6"/>
    <w:rsid w:val="4BAF0E40"/>
    <w:rsid w:val="4C4F6CB6"/>
    <w:rsid w:val="4C6B0DDA"/>
    <w:rsid w:val="4C6E1306"/>
    <w:rsid w:val="4D607131"/>
    <w:rsid w:val="4DAC2014"/>
    <w:rsid w:val="4E186164"/>
    <w:rsid w:val="4E2F1033"/>
    <w:rsid w:val="4E8274B0"/>
    <w:rsid w:val="4EFC1B31"/>
    <w:rsid w:val="4F2836A5"/>
    <w:rsid w:val="4FF363B3"/>
    <w:rsid w:val="501216FC"/>
    <w:rsid w:val="50B73634"/>
    <w:rsid w:val="51504FE6"/>
    <w:rsid w:val="52773339"/>
    <w:rsid w:val="52EC1D28"/>
    <w:rsid w:val="54D5479D"/>
    <w:rsid w:val="54E91D9C"/>
    <w:rsid w:val="551536F3"/>
    <w:rsid w:val="55995FB6"/>
    <w:rsid w:val="55A47BB4"/>
    <w:rsid w:val="56CB1B5C"/>
    <w:rsid w:val="57BB6218"/>
    <w:rsid w:val="57FF3AAA"/>
    <w:rsid w:val="58DD2EEE"/>
    <w:rsid w:val="58E96C7A"/>
    <w:rsid w:val="599613CD"/>
    <w:rsid w:val="59AD3C67"/>
    <w:rsid w:val="59C233CC"/>
    <w:rsid w:val="5A245D75"/>
    <w:rsid w:val="5AB470A7"/>
    <w:rsid w:val="5B0D630F"/>
    <w:rsid w:val="5C3C3DDC"/>
    <w:rsid w:val="5D160516"/>
    <w:rsid w:val="5D204720"/>
    <w:rsid w:val="5D7D0F36"/>
    <w:rsid w:val="5DB61BFF"/>
    <w:rsid w:val="5DEF454B"/>
    <w:rsid w:val="5E5A6C63"/>
    <w:rsid w:val="5EB26079"/>
    <w:rsid w:val="5F3C6712"/>
    <w:rsid w:val="5F4B58F3"/>
    <w:rsid w:val="5F8A152B"/>
    <w:rsid w:val="602071F1"/>
    <w:rsid w:val="603570AA"/>
    <w:rsid w:val="6053481F"/>
    <w:rsid w:val="60541CA4"/>
    <w:rsid w:val="605C31B9"/>
    <w:rsid w:val="60AB2000"/>
    <w:rsid w:val="61023345"/>
    <w:rsid w:val="611975D3"/>
    <w:rsid w:val="61D85325"/>
    <w:rsid w:val="61F4710A"/>
    <w:rsid w:val="62096A76"/>
    <w:rsid w:val="62860AAA"/>
    <w:rsid w:val="629D5796"/>
    <w:rsid w:val="65352C54"/>
    <w:rsid w:val="653A3E9D"/>
    <w:rsid w:val="65EC2DE4"/>
    <w:rsid w:val="66C12522"/>
    <w:rsid w:val="671E2162"/>
    <w:rsid w:val="67274D12"/>
    <w:rsid w:val="684A0366"/>
    <w:rsid w:val="68D8721E"/>
    <w:rsid w:val="68F4269B"/>
    <w:rsid w:val="6925055B"/>
    <w:rsid w:val="69541EE2"/>
    <w:rsid w:val="6AE15D69"/>
    <w:rsid w:val="6B5C0D49"/>
    <w:rsid w:val="6B610D05"/>
    <w:rsid w:val="6BAC21D5"/>
    <w:rsid w:val="6BDE6E57"/>
    <w:rsid w:val="6CED1CB3"/>
    <w:rsid w:val="6D3B42C3"/>
    <w:rsid w:val="6E7232F1"/>
    <w:rsid w:val="6E7E575F"/>
    <w:rsid w:val="6ECA4D4A"/>
    <w:rsid w:val="6EF15941"/>
    <w:rsid w:val="6F0D0497"/>
    <w:rsid w:val="6F9921A1"/>
    <w:rsid w:val="70241E90"/>
    <w:rsid w:val="70ED5A1D"/>
    <w:rsid w:val="72266E6B"/>
    <w:rsid w:val="72BB119D"/>
    <w:rsid w:val="73407EBD"/>
    <w:rsid w:val="73EF4563"/>
    <w:rsid w:val="74175679"/>
    <w:rsid w:val="744124AA"/>
    <w:rsid w:val="74664F47"/>
    <w:rsid w:val="7566433B"/>
    <w:rsid w:val="764958B9"/>
    <w:rsid w:val="765D0BDD"/>
    <w:rsid w:val="76D14B12"/>
    <w:rsid w:val="76FF57FE"/>
    <w:rsid w:val="775A02A3"/>
    <w:rsid w:val="77E0572E"/>
    <w:rsid w:val="77ED4104"/>
    <w:rsid w:val="78847B81"/>
    <w:rsid w:val="78EF4372"/>
    <w:rsid w:val="79771B00"/>
    <w:rsid w:val="7980282D"/>
    <w:rsid w:val="798F6426"/>
    <w:rsid w:val="799103D8"/>
    <w:rsid w:val="7ACA272A"/>
    <w:rsid w:val="7B0E7C70"/>
    <w:rsid w:val="7B3B27CC"/>
    <w:rsid w:val="7BC66B36"/>
    <w:rsid w:val="7D286515"/>
    <w:rsid w:val="7DDB06E0"/>
    <w:rsid w:val="7E6F339A"/>
    <w:rsid w:val="7E810662"/>
    <w:rsid w:val="7EE564F9"/>
    <w:rsid w:val="7F590AE3"/>
    <w:rsid w:val="7F615972"/>
    <w:rsid w:val="7FDF456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cs="黑体"/>
      <w:kern w:val="2"/>
      <w:sz w:val="24"/>
      <w:szCs w:val="24"/>
      <w:lang w:val="en-US" w:eastAsia="zh-CN" w:bidi="ar-SA"/>
    </w:rPr>
  </w:style>
  <w:style w:type="paragraph" w:styleId="2">
    <w:name w:val="heading 1"/>
    <w:basedOn w:val="1"/>
    <w:next w:val="1"/>
    <w:link w:val="23"/>
    <w:qFormat/>
    <w:uiPriority w:val="0"/>
    <w:pPr>
      <w:keepNext/>
      <w:keepLines/>
      <w:spacing w:before="100" w:beforeLines="0" w:beforeAutospacing="0" w:after="90" w:afterLines="0" w:afterAutospacing="0" w:line="240" w:lineRule="auto"/>
      <w:jc w:val="center"/>
      <w:outlineLvl w:val="0"/>
    </w:pPr>
    <w:rPr>
      <w:rFonts w:eastAsia="宋体"/>
      <w:b/>
      <w:kern w:val="44"/>
      <w:sz w:val="44"/>
    </w:rPr>
  </w:style>
  <w:style w:type="paragraph" w:styleId="3">
    <w:name w:val="heading 2"/>
    <w:basedOn w:val="1"/>
    <w:next w:val="1"/>
    <w:link w:val="20"/>
    <w:qFormat/>
    <w:uiPriority w:val="0"/>
    <w:pPr>
      <w:keepNext/>
      <w:keepLines/>
      <w:spacing w:before="20" w:beforeLines="0" w:beforeAutospacing="0" w:after="20" w:afterLines="0" w:afterAutospacing="0" w:line="240" w:lineRule="auto"/>
      <w:outlineLvl w:val="1"/>
    </w:pPr>
    <w:rPr>
      <w:rFonts w:ascii="Arial" w:hAnsi="Arial" w:eastAsia="宋体"/>
      <w:b/>
      <w:sz w:val="24"/>
    </w:rPr>
  </w:style>
  <w:style w:type="paragraph" w:styleId="4">
    <w:name w:val="heading 3"/>
    <w:basedOn w:val="1"/>
    <w:next w:val="1"/>
    <w:link w:val="19"/>
    <w:qFormat/>
    <w:uiPriority w:val="0"/>
    <w:pPr>
      <w:keepNext/>
      <w:keepLines/>
      <w:spacing w:before="20" w:beforeLines="0" w:beforeAutospacing="0" w:after="20" w:afterLines="0" w:afterAutospacing="0" w:line="360" w:lineRule="auto"/>
      <w:outlineLvl w:val="2"/>
    </w:pPr>
    <w:rPr>
      <w:rFonts w:hAnsi="Calibri" w:eastAsia="宋体"/>
      <w:b/>
      <w:sz w:val="24"/>
    </w:rPr>
  </w:style>
  <w:style w:type="character" w:default="1" w:styleId="13">
    <w:name w:val="Default Paragraph Font"/>
    <w:semiHidden/>
    <w:qFormat/>
    <w:uiPriority w:val="0"/>
  </w:style>
  <w:style w:type="table" w:default="1" w:styleId="11">
    <w:name w:val="Normal Table"/>
    <w:unhideWhenUsed/>
    <w:uiPriority w:val="99"/>
    <w:tblPr>
      <w:tblStyle w:val="11"/>
      <w:tblLayout w:type="fixed"/>
      <w:tblCellMar>
        <w:top w:w="0" w:type="dxa"/>
        <w:left w:w="108" w:type="dxa"/>
        <w:bottom w:w="0" w:type="dxa"/>
        <w:right w:w="108" w:type="dxa"/>
      </w:tblCellMar>
    </w:tblPr>
  </w:style>
  <w:style w:type="paragraph" w:styleId="5">
    <w:name w:val="annotation text"/>
    <w:basedOn w:val="1"/>
    <w:link w:val="24"/>
    <w:uiPriority w:val="0"/>
    <w:pPr>
      <w:jc w:val="left"/>
    </w:pPr>
  </w:style>
  <w:style w:type="paragraph" w:styleId="6">
    <w:name w:val="Balloon Text"/>
    <w:basedOn w:val="1"/>
    <w:link w:val="21"/>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uiPriority w:val="0"/>
    <w:rPr>
      <w:sz w:val="24"/>
    </w:rPr>
  </w:style>
  <w:style w:type="paragraph" w:styleId="10">
    <w:name w:val="annotation subject"/>
    <w:basedOn w:val="5"/>
    <w:next w:val="5"/>
    <w:link w:val="22"/>
    <w:uiPriority w:val="0"/>
    <w:rPr>
      <w:b/>
      <w:bCs/>
    </w:rPr>
  </w:style>
  <w:style w:type="table" w:styleId="12">
    <w:name w:val="Table Grid"/>
    <w:basedOn w:val="11"/>
    <w:unhideWhenUsed/>
    <w:uiPriority w:val="99"/>
    <w:pPr>
      <w:widowControl w:val="0"/>
      <w:jc w:val="both"/>
    </w:p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Hyperlink"/>
    <w:qFormat/>
    <w:uiPriority w:val="0"/>
    <w:rPr>
      <w:color w:val="0000FF"/>
      <w:u w:val="single"/>
    </w:rPr>
  </w:style>
  <w:style w:type="character" w:styleId="15">
    <w:name w:val="annotation reference"/>
    <w:uiPriority w:val="0"/>
    <w:rPr>
      <w:sz w:val="21"/>
      <w:szCs w:val="21"/>
    </w:rPr>
  </w:style>
  <w:style w:type="paragraph" w:customStyle="1" w:styleId="16">
    <w:name w:val="样式1"/>
    <w:basedOn w:val="1"/>
    <w:next w:val="1"/>
    <w:uiPriority w:val="0"/>
    <w:pPr>
      <w:keepNext/>
      <w:keepLines/>
      <w:spacing w:before="340" w:beforeLines="0" w:after="330" w:afterLines="0" w:line="576" w:lineRule="auto"/>
      <w:outlineLvl w:val="0"/>
    </w:pPr>
    <w:rPr>
      <w:rFonts w:hint="eastAsia"/>
      <w:b/>
      <w:kern w:val="44"/>
      <w:sz w:val="44"/>
    </w:rPr>
  </w:style>
  <w:style w:type="paragraph" w:customStyle="1" w:styleId="17">
    <w:name w:val="Default"/>
    <w:qFormat/>
    <w:uiPriority w:val="0"/>
    <w:pPr>
      <w:widowControl w:val="0"/>
      <w:autoSpaceDE w:val="0"/>
      <w:autoSpaceDN w:val="0"/>
      <w:adjustRightInd w:val="0"/>
    </w:pPr>
    <w:rPr>
      <w:color w:val="000000"/>
      <w:sz w:val="24"/>
      <w:szCs w:val="24"/>
      <w:lang w:val="en-US" w:eastAsia="zh-CN" w:bidi="ar-SA"/>
    </w:rPr>
  </w:style>
  <w:style w:type="paragraph" w:customStyle="1" w:styleId="18">
    <w:name w:val="List Paragraph"/>
    <w:basedOn w:val="1"/>
    <w:unhideWhenUsed/>
    <w:uiPriority w:val="99"/>
    <w:pPr>
      <w:ind w:firstLine="420" w:firstLineChars="200"/>
    </w:pPr>
  </w:style>
  <w:style w:type="character" w:customStyle="1" w:styleId="19">
    <w:name w:val="标题 3 字符"/>
    <w:link w:val="4"/>
    <w:uiPriority w:val="0"/>
    <w:rPr>
      <w:rFonts w:hAnsi="Calibri" w:eastAsia="宋体"/>
      <w:b/>
      <w:sz w:val="24"/>
    </w:rPr>
  </w:style>
  <w:style w:type="character" w:customStyle="1" w:styleId="20">
    <w:name w:val="标题 2 字符"/>
    <w:link w:val="3"/>
    <w:uiPriority w:val="0"/>
    <w:rPr>
      <w:rFonts w:ascii="Arial" w:hAnsi="Arial" w:eastAsia="宋体"/>
      <w:b/>
      <w:sz w:val="24"/>
    </w:rPr>
  </w:style>
  <w:style w:type="character" w:customStyle="1" w:styleId="21">
    <w:name w:val="批注框文本 字符"/>
    <w:link w:val="6"/>
    <w:uiPriority w:val="0"/>
    <w:rPr>
      <w:rFonts w:ascii="Calibri" w:hAnsi="Calibri" w:cs="黑体"/>
      <w:kern w:val="2"/>
      <w:sz w:val="18"/>
      <w:szCs w:val="18"/>
    </w:rPr>
  </w:style>
  <w:style w:type="character" w:customStyle="1" w:styleId="22">
    <w:name w:val="批注主题 字符"/>
    <w:link w:val="10"/>
    <w:uiPriority w:val="0"/>
    <w:rPr>
      <w:rFonts w:ascii="Calibri" w:hAnsi="Calibri" w:cs="黑体"/>
      <w:b/>
      <w:bCs/>
      <w:kern w:val="2"/>
      <w:sz w:val="21"/>
      <w:szCs w:val="24"/>
    </w:rPr>
  </w:style>
  <w:style w:type="character" w:customStyle="1" w:styleId="23">
    <w:name w:val="标题 1 字符"/>
    <w:link w:val="2"/>
    <w:uiPriority w:val="0"/>
    <w:rPr>
      <w:rFonts w:eastAsia="宋体"/>
      <w:b/>
      <w:kern w:val="44"/>
      <w:sz w:val="44"/>
    </w:rPr>
  </w:style>
  <w:style w:type="character" w:customStyle="1" w:styleId="24">
    <w:name w:val="批注文字 字符"/>
    <w:link w:val="5"/>
    <w:uiPriority w:val="0"/>
    <w:rPr>
      <w:rFonts w:ascii="Calibri" w:hAnsi="Calibri" w:cs="黑体"/>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2.bin"/><Relationship Id="rId7" Type="http://schemas.openxmlformats.org/officeDocument/2006/relationships/image" Target="media/image2.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wmf"/><Relationship Id="rId12" Type="http://schemas.openxmlformats.org/officeDocument/2006/relationships/oleObject" Target="embeddings/oleObject4.bin"/><Relationship Id="rId11" Type="http://schemas.openxmlformats.org/officeDocument/2006/relationships/image" Target="media/image4.wmf"/><Relationship Id="rId10" Type="http://schemas.openxmlformats.org/officeDocument/2006/relationships/oleObject" Target="embeddings/oleObject3.bin"/><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36060</Words>
  <Characters>37783</Characters>
  <Lines>269</Lines>
  <Paragraphs>75</Paragraphs>
  <TotalTime>44</TotalTime>
  <ScaleCrop>false</ScaleCrop>
  <LinksUpToDate>false</LinksUpToDate>
  <CharactersWithSpaces>38035</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2022-12-13T07:40:00Z</dcterms:created>
  <dc:creator>Administrator</dc:creator>
  <cp:lastModifiedBy>hccb</cp:lastModifiedBy>
  <dcterms:modified xsi:type="dcterms:W3CDTF">2025-12-02T03:26:53Z</dcterms:modified>
  <dc:title>杭银理财幸福99零钱包理财D款合同</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06A49D61929F4201B4ADB8DA4C945300</vt:lpwstr>
  </property>
</Properties>
</file>