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幸福99丰裕固收386天25223期理财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幸福99丰裕固收386天25223期理财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幸福99丰裕固收386天25223期理财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幸福99丰裕固收386天25223期理财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幸福99丰裕固收386天25223期理财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幸福99丰裕固收386天25223期理财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Z7002225000452</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幸福99丰裕固收386天25223期理财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幸福99丰裕固收386天25223期理财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幸福99丰裕固收386天25223期理财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幸福99丰裕固收386天25223期理财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幸福99丰裕固收386天25223期理财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幸福99丰裕固收386天25223期理财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幸福99丰裕固收386天25223期理财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丰裕固收25223期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FYG25223</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Z7002225000452</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A份额（普惠款）（销售代码〖FYG25223A〗）：普通个人投资者和机构客户。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B份额（普惠款）（销售代码〖FYG25223B〗）：普通个人投资者和机构客户。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C份额（普惠款）（销售代码〖FYG25223C〗）：普通个人投资者和机构客户。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D份额（普惠款）（销售代码〖FYG25223D〗）：普通个人投资者和机构客户。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E份额（公司专属）（销售代码〖FYG25223E〗）：机构客户。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F份额（普惠款）（销售代码〖FYG25223F〗）：普通个人投资者和机构客户。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G份额（汉口银行行庆专属）（销售代码〖FYG25223G〗）：普通个人投资者和机构客户。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H份额（北行专属）（销售代码〖FYG25223H〗）：普通个人投资者和机构客户。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I份额（爽盈优选）（销售代码〖FYG25223I〗）：普通个人投资者和机构客户。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J份额（普惠款）（销售代码〖FYG25223J〗）：普通个人投资者和机构客户。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K份额（鲲鹏优选）（销售代码〖FYG25223K〗）：普通个人投资者和机构客户。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L份额（东农专属）（销售代码〖FYG25223L〗）：普通个人投资者和机构客户。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M份额（天府·优选）（销售代码〖FYG25223M〗）：普通个人投资者和机构客户。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N份额惠享款（长长财富·专属）（销售代码〖FYG25223N〗）：普通个人投资者和机构客户。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O份额（销售代码〖FYG25223O〗）：普通个人投资者和机构客户。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P份额（芙蓉锦程·优选）（销售代码〖FYG25223P〗）：普通个人投资者和机构客户。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Q份额（兰州银行开门红专属）（销售代码〖FYG25223Q〗）：普通个人投资者和机构客户。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R份额惠享款（吉行十二号）（销售代码〖FYG25223R〗）：普通个人投资者和机构客户。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S份额惠享款（齐鲁-逢六有约）（销售代码〖FYG25223S〗）：普通个人投资者和机构客户。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U份额惠享款（销售代码〖FYG25223U〗）：普通个人投资者和机构客户。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V份额（金芙蓉专属）（销售代码〖FYG25223V〗）：普通个人投资者和机构客户。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W份额惠享款（普惠款）（销售代码〖FYG25223W〗）：普通个人投资者和机构客户。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X份额（销售代码〖FYG25223X〗）：普通个人投资者。</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Y份额惠享款（普惠款）（销售代码〖FYG25223Y〗）：普通个人投资者和机构客户。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Z份额惠享款（普惠款）（销售代码〖FYG25223Z〗）：普通个人投资者和机构客户。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9</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15</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16</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6</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〖A份额〗起点〖0.01〗元整，超过认购起点部分，应为〖0.01〗元的整数倍。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〖B份额〗起点〖0.01〗元整，超过认购起点部分，应为〖0.01〗元的整数倍。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〖C份额〗起点〖0.01〗元整，超过认购起点部分，应为〖0.01〗元的整数倍。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〖D份额〗起点〖0.01〗元整，超过认购起点部分，应为〖0.01〗元的整数倍。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〖E份额〗起点〖0.01〗元整，超过认购起点部分，应为〖0.01〗元的整数倍。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〖F份额〗起点〖0.01〗元整，超过认购起点部分，应为〖0.01〗元的整数倍。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〖J份额〗起点〖0.01〗元整，超过认购起点部分，应为〖0.01〗元的整数倍。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〖K份额〗起点〖1〗元整，超过认购起点部分，应为〖1〗元的整数倍。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〖L份额〗起点〖1〗元整，超过认购起点部分，应为〖1〗元的整数倍。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〖O份额〗起点〖1〗元整，超过认购起点部分，应为〖1〗元的整数倍。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〖Q份额〗起点〖20〗万元整，超过认购起点部分，应为〖0.01〗元的整数倍。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〖S份额〗起点〖1〗元整，超过认购起点部分，应为〖1〗元的整数倍。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〖U份额〗起点〖10〗万元整，超过认购起点部分，应为〖1〗元的整数倍。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〖V份额〗起点〖100〗万元整，超过认购起点部分，应为〖1〗元的整数倍。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〖W份额〗起点〖0.01〗元整，超过认购起点部分，应为〖0.01〗元的整数倍。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〖X份额〗起点〖1〗元整，超过认购起点部分，应为〖1〗元的整数倍。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〖Y份额〗起点〖0.01〗元整，超过认购起点部分，应为〖0.01〗元的整数倍。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〖Z份额〗起点〖0.01〗元整，超过认购起点部分，应为〖0.01〗元的整数倍。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本理财计划〖E份额〗业绩比较基准为〖2.35%-2.55%〗（年化）。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本理财计划〖G份额〗业绩比较基准为〖2.83%-3.03%〗（年化）。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本理财计划〖K份额〗业绩比较基准为〖2.50%-2.70%〗（年化）。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本理财计划〖L份额〗业绩比较基准为〖2.70%-2.90%〗（年化）。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本理财计划〖O份额〗业绩比较基准为〖2.60%-2.80%〗（年化）。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本理财计划〖S份额〗业绩比较基准为〖2.66%-2.86%〗（年化）。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本理财计划〖U份额〗业绩比较基准为〖2.60%-2.80%〗（年化）。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本理财计划〖V份额〗业绩比较基准为〖2.70%-2.90%〗（年化）。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本理财计划〖X份额〗业绩比较基准为〖2.75%-2.95%〗（年化）。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本理财计划〖Z份额〗业绩比较基准为〖2.70%-2.90%〗（年化）。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〖E份额〗收取年化〖0.40%〗的销售服务费, 〖F份额〗收取年化〖0.25%〗的销售服务费, 〖G份额〗收取年化〖0.01%〗的销售服务费, 〖H份额〗收取年化〖0.20%〗的销售服务费, 〖I份额〗收取年化〖0.30%〗的销售服务费, 〖J份额〗收取年化〖0.05%〗的销售服务费, 〖K份额〗收取年化〖0.30%〗的销售服务费, 〖L份额〗收取年化〖0.13%〗的销售服务费, 〖M份额〗收取年化〖0.15%〗的销售服务费, 〖N份额〗收取年化〖0.20%〗的销售服务费, 〖O份额〗收取年化〖0.20%〗的销售服务费, 〖P份额〗收取年化〖0.15%〗的销售服务费, 〖Q份额〗收取年化〖0.15%〗的销售服务费, 〖R份额〗收取年化〖0.10%〗的销售服务费, 〖S份额〗收取年化〖0.15%〗的销售服务费, 〖U份额〗收取年化〖0.20%〗的销售服务费, 〖V份额〗收取年化〖0.10%〗的销售服务费, 〖W份额〗收取年化〖0.30%〗的销售服务费, 〖X份额〗收取年化〖0.05%〗的销售服务费,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〖E份额〗收取年化〖0.10%〗的固定管理费, 〖F份额〗收取年化〖0.05%〗的固定管理费, 〖G份额〗收取年化〖0.01%〗的固定管理费, 〖H份额〗收取年化〖0.05%〗的固定管理费, 〖I份额〗收取年化〖0.05%〗的固定管理费, 〖J份额〗收取年化〖0.05%〗的固定管理费, 〖K份额〗收取年化〖0.05%〗的固定管理费, 〖L份额〗收取年化〖0.02%〗的固定管理费, 〖M份额〗收取年化〖0.05%〗的固定管理费, 〖N份额〗收取年化〖0.05%〗的固定管理费, 〖O份额〗收取年化〖0.05%〗的固定管理费, 〖P份额〗收取年化〖0.05%〗的固定管理费, 〖Q份额〗收取年化〖0.05%〗的固定管理费, 〖R份额〗收取年化〖0.05%〗的固定管理费, 〖S份额〗收取年化〖0.04%〗的固定管理费, 〖U份额〗收取年化〖0.05%〗的固定管理费, 〖V份额〗收取年化〖0.05%〗的固定管理费, 〖W份额〗收取年化〖0.05%〗的固定管理费, 〖X份额〗收取年化〖0.05%〗的固定管理费, 〖Y份额〗收取年化〖0.05%〗的固定管理费,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除O份额）到期日（提前终止日）的折合年化收益率在〖业绩比较基准下限（含）至业绩比较基准上限（含）〗的部分，管理人提取〖50%〗作为浮动管理费，在折合年化收益率超过〖业绩比较基准上限〗的部分，管理人提取〖80%〗作为浮动管理费；〖O份额〗到期日（提前终止日）的折合年化收益率在〖业绩比较基准下限（含）至业绩比较基准中枢（含）〗的部分，管理人提取〖50%〗作为浮动管理费，在折合年化收益率超过〖业绩比较基准中枢〗的部分，管理人提取〖60%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J份额〗、〖K份额〗、〖L份额〗、〖M份额〗、〖O份额〗、〖P份额〗、〖Q份额〗、〖V份额〗、〖X份额〗和销售服务费于产品成立日一次性收取的〖N份额〗、〖R份额〗、〖S份额〗、〖U份额〗、〖W份额〗、〖Y份额〗、〖Z份额〗。A份额的年化销售服务费率为〖0.30%〗, B份额的年化销售服务费率为〖0.20%〗, C份额的年化销售服务费率为〖0.10%〗, D份额的年化销售服务费率为〖0.15%〗, E份额的年化销售服务费率为〖0.40%〗, F份额的年化销售服务费率为〖0.25%〗, G份额的年化销售服务费率为〖0.01%〗, H份额的年化销售服务费率为〖0.20%〗, I份额的年化销售服务费率为〖0.30%〗, J份额的年化销售服务费率为〖0.05%〗, K份额的年化销售服务费率为〖0.30%〗, L份额的年化销售服务费率为〖0.13%〗, M份额的年化销售服务费率为〖0.15%〗, N份额的年化销售服务费率为〖0.20%〗, O份额的年化销售服务费率为〖0.20%〗, P份额的年化销售服务费率为〖0.15%〗, Q份额的年化销售服务费率为〖0.15%〗, R份额的年化销售服务费率为〖0.10%〗, S份额的年化销售服务费率为〖0.15%〗, U份额的年化销售服务费率为〖0.20%〗, V份额的年化销售服务费率为〖0.10%〗, W份额的年化销售服务费率为〖0.30%〗, X份额的年化销售服务费率为〖0.05%〗,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A份额的年化固定管理费率为〖0.05%〗, B份额的年化固定管理费率为〖0.05%〗, C份额的年化固定管理费率为〖0.05%〗, D份额的年化固定管理费率为〖0.05%〗, E份额的年化固定管理费率为〖0.10%〗, F份额的年化固定管理费率为〖0.05%〗, G份额的年化固定管理费率为〖0.01%〗, H份额的年化固定管理费率为〖0.05%〗, I份额的年化固定管理费率为〖0.05%〗, J份额的年化固定管理费率为〖0.05%〗, K份额的年化固定管理费率为〖0.05%〗, L份额的年化固定管理费率为〖0.02%〗, M份额的年化固定管理费率为〖0.05%〗, N份额的年化固定管理费率为〖0.05%〗, O份额的年化固定管理费率为〖0.05%〗, P份额的年化固定管理费率为〖0.05%〗, Q份额的年化固定管理费率为〖0.05%〗, R份额的年化固定管理费率为〖0.05%〗, S份额的年化固定管理费率为〖0.04%〗, U份额的年化固定管理费率为〖0.05%〗, V份额的年化固定管理费率为〖0.05%〗, W份额的年化固定管理费率为〖0.05%〗, X份额的年化固定管理费率为〖0.05%〗, Y份额的年化固定管理费率为〖0.05%〗,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43193E"/>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53A2081"/>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9BD0DC5"/>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E1A0C5A"/>
    <w:rsid w:val="7E3212D3"/>
    <w:rsid w:val="7E7F7BE9"/>
    <w:rsid w:val="7F5F887D"/>
    <w:rsid w:val="7F9FC635"/>
    <w:rsid w:val="7FCC7D05"/>
    <w:rsid w:val="7FEF42B8"/>
    <w:rsid w:val="7FEFE414"/>
    <w:rsid w:val="9FD01BC3"/>
    <w:rsid w:val="9FDF7357"/>
    <w:rsid w:val="B3FE25BF"/>
    <w:rsid w:val="BE6E0F8F"/>
    <w:rsid w:val="C679D4D5"/>
    <w:rsid w:val="C7EFAC2C"/>
    <w:rsid w:val="CFBD1285"/>
    <w:rsid w:val="D3FFF2E3"/>
    <w:rsid w:val="D4B948F0"/>
    <w:rsid w:val="D7BE90C3"/>
    <w:rsid w:val="DEFF5130"/>
    <w:rsid w:val="DFFBF81E"/>
    <w:rsid w:val="E2F2C526"/>
    <w:rsid w:val="E7F7B356"/>
    <w:rsid w:val="F3F331A4"/>
    <w:rsid w:val="F3FF81F7"/>
    <w:rsid w:val="F6D74091"/>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qFormat/>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59</Pages>
  <Words>38683</Words>
  <Characters>41729</Characters>
  <Lines>1</Lines>
  <Paragraphs>1</Paragraphs>
  <TotalTime>0</TotalTime>
  <ScaleCrop>false</ScaleCrop>
  <LinksUpToDate>false</LinksUpToDate>
  <CharactersWithSpaces>42236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2014-11-04T12:08:00Z</dcterms:created>
  <dc:creator>Administrator</dc:creator>
  <cp:lastModifiedBy>hccb</cp:lastModifiedBy>
  <dcterms:modified xsi:type="dcterms:W3CDTF">2025-12-04T05:51:29Z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