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b/>
                <w:kern w:val="0"/>
                <w:szCs w:val="21"/>
              </w:rPr>
            </w:pPr>
            <w:r>
              <w:rPr>
                <w:rFonts w:hint="eastAsia" w:ascii="宋体" w:hAnsi="宋体"/>
                <w:b/>
                <w:kern w:val="0"/>
                <w:sz w:val="20"/>
                <w:szCs w:val="21"/>
              </w:rPr>
              <w:t>序号</w:t>
            </w:r>
          </w:p>
        </w:tc>
        <w:tc>
          <w:tcPr>
            <w:tcW w:w="5689"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kern w:val="0"/>
                <w:szCs w:val="21"/>
              </w:rPr>
            </w:pPr>
            <w:r>
              <w:rPr>
                <w:rFonts w:hint="default" w:ascii="宋体" w:hAnsi="宋体"/>
                <w:kern w:val="0"/>
                <w:sz w:val="20"/>
                <w:szCs w:val="21"/>
              </w:rPr>
              <w:t>1</w:t>
            </w:r>
          </w:p>
        </w:tc>
        <w:tc>
          <w:tcPr>
            <w:tcW w:w="5689" w:type="dxa"/>
          </w:tcPr>
          <w:p>
            <w:pPr>
              <w:keepNext w:val="0"/>
              <w:keepLines w:val="0"/>
              <w:widowControl/>
              <w:suppressLineNumbers w:val="0"/>
              <w:spacing w:before="0" w:beforeAutospacing="0" w:after="0" w:afterAutospacing="0" w:line="360" w:lineRule="auto"/>
              <w:ind w:left="0" w:right="0"/>
              <w:rPr>
                <w:rFonts w:hint="default"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hint="default" w:ascii="宋体" w:hAnsi="宋体"/>
                <w:kern w:val="0"/>
                <w:sz w:val="20"/>
                <w:szCs w:val="21"/>
              </w:rPr>
              <w:t xml:space="preserve"> </w:t>
            </w:r>
          </w:p>
        </w:tc>
        <w:tc>
          <w:tcPr>
            <w:tcW w:w="2107" w:type="dxa"/>
          </w:tcPr>
          <w:p>
            <w:pPr>
              <w:keepNext w:val="0"/>
              <w:keepLines w:val="0"/>
              <w:widowControl/>
              <w:suppressLineNumbers w:val="0"/>
              <w:spacing w:before="0" w:beforeAutospacing="0" w:after="0" w:afterAutospacing="0" w:line="360" w:lineRule="auto"/>
              <w:ind w:left="0" w:right="0"/>
              <w:jc w:val="center"/>
              <w:rPr>
                <w:rFonts w:hint="default"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kern w:val="0"/>
                <w:szCs w:val="21"/>
              </w:rPr>
            </w:pPr>
            <w:r>
              <w:rPr>
                <w:rFonts w:hint="default" w:ascii="宋体" w:hAnsi="宋体"/>
                <w:kern w:val="0"/>
                <w:sz w:val="20"/>
                <w:szCs w:val="21"/>
              </w:rPr>
              <w:t>2</w:t>
            </w:r>
          </w:p>
        </w:tc>
        <w:tc>
          <w:tcPr>
            <w:tcW w:w="5689" w:type="dxa"/>
          </w:tcPr>
          <w:p>
            <w:pPr>
              <w:keepNext w:val="0"/>
              <w:keepLines w:val="0"/>
              <w:widowControl/>
              <w:suppressLineNumbers w:val="0"/>
              <w:spacing w:before="0" w:beforeAutospacing="0" w:after="0" w:afterAutospacing="0" w:line="360" w:lineRule="auto"/>
              <w:ind w:left="0" w:right="0"/>
              <w:rPr>
                <w:rFonts w:hint="default"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kern w:val="0"/>
                <w:sz w:val="20"/>
                <w:szCs w:val="21"/>
              </w:rPr>
            </w:pPr>
            <w:r>
              <w:rPr>
                <w:rFonts w:hint="default" w:ascii="宋体" w:hAnsi="宋体"/>
                <w:kern w:val="0"/>
                <w:sz w:val="20"/>
                <w:szCs w:val="21"/>
              </w:rPr>
              <w:t>3</w:t>
            </w:r>
          </w:p>
        </w:tc>
        <w:tc>
          <w:tcPr>
            <w:tcW w:w="5689" w:type="dxa"/>
          </w:tcPr>
          <w:p>
            <w:pPr>
              <w:keepNext w:val="0"/>
              <w:keepLines w:val="0"/>
              <w:widowControl/>
              <w:suppressLineNumbers w:val="0"/>
              <w:spacing w:before="0" w:beforeAutospacing="0" w:after="0" w:afterAutospacing="0" w:line="360" w:lineRule="auto"/>
              <w:ind w:left="0" w:right="0"/>
              <w:rPr>
                <w:rFonts w:hint="default"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kern w:val="0"/>
                <w:sz w:val="20"/>
                <w:szCs w:val="21"/>
              </w:rPr>
            </w:pPr>
            <w:r>
              <w:rPr>
                <w:rFonts w:hint="eastAsia" w:ascii="宋体" w:hAnsi="宋体"/>
                <w:kern w:val="0"/>
                <w:sz w:val="20"/>
                <w:szCs w:val="21"/>
              </w:rPr>
              <w:t>（代理）销售</w:t>
            </w:r>
            <w:r>
              <w:rPr>
                <w:rFonts w:hint="default"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kern w:val="0"/>
                <w:szCs w:val="21"/>
              </w:rPr>
            </w:pPr>
            <w:r>
              <w:rPr>
                <w:rFonts w:hint="default" w:ascii="宋体" w:hAnsi="宋体"/>
                <w:kern w:val="0"/>
                <w:sz w:val="20"/>
                <w:szCs w:val="21"/>
              </w:rPr>
              <w:t>4</w:t>
            </w:r>
          </w:p>
        </w:tc>
        <w:tc>
          <w:tcPr>
            <w:tcW w:w="5689" w:type="dxa"/>
          </w:tcPr>
          <w:p>
            <w:pPr>
              <w:keepNext w:val="0"/>
              <w:keepLines w:val="0"/>
              <w:widowControl/>
              <w:suppressLineNumbers w:val="0"/>
              <w:spacing w:before="0" w:beforeAutospacing="0" w:after="0" w:afterAutospacing="0" w:line="360" w:lineRule="auto"/>
              <w:ind w:left="0" w:right="0"/>
              <w:rPr>
                <w:rFonts w:hint="default"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keepNext w:val="0"/>
              <w:keepLines w:val="0"/>
              <w:widowControl/>
              <w:suppressLineNumbers w:val="0"/>
              <w:spacing w:before="0" w:beforeAutospacing="0" w:after="0" w:afterAutospacing="0" w:line="360" w:lineRule="auto"/>
              <w:ind w:left="0" w:right="0"/>
              <w:jc w:val="center"/>
              <w:rPr>
                <w:rFonts w:hint="default"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keepNext w:val="0"/>
              <w:keepLines w:val="0"/>
              <w:widowControl/>
              <w:suppressLineNumbers w:val="0"/>
              <w:spacing w:before="0" w:beforeAutospacing="0" w:after="0" w:afterAutospacing="0" w:line="360" w:lineRule="auto"/>
              <w:ind w:left="0" w:right="0" w:firstLine="0" w:firstLineChars="0"/>
              <w:jc w:val="center"/>
              <w:rPr>
                <w:rFonts w:hint="default" w:ascii="宋体" w:hAnsi="宋体"/>
                <w:kern w:val="0"/>
                <w:szCs w:val="21"/>
              </w:rPr>
            </w:pPr>
            <w:r>
              <w:rPr>
                <w:rFonts w:hint="default" w:ascii="宋体" w:hAnsi="宋体"/>
                <w:kern w:val="0"/>
                <w:sz w:val="20"/>
                <w:szCs w:val="21"/>
              </w:rPr>
              <w:t>5</w:t>
            </w:r>
          </w:p>
        </w:tc>
        <w:tc>
          <w:tcPr>
            <w:tcW w:w="5689" w:type="dxa"/>
          </w:tcPr>
          <w:p>
            <w:pPr>
              <w:keepNext w:val="0"/>
              <w:keepLines w:val="0"/>
              <w:widowControl/>
              <w:suppressLineNumbers w:val="0"/>
              <w:spacing w:before="0" w:beforeAutospacing="0" w:after="0" w:afterAutospacing="0" w:line="360" w:lineRule="auto"/>
              <w:ind w:left="0" w:right="0"/>
              <w:rPr>
                <w:rFonts w:hint="default"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keepNext w:val="0"/>
              <w:keepLines w:val="0"/>
              <w:widowControl/>
              <w:suppressLineNumbers w:val="0"/>
              <w:spacing w:before="0" w:beforeAutospacing="0" w:after="0" w:afterAutospacing="0" w:line="360" w:lineRule="auto"/>
              <w:ind w:left="0" w:right="0"/>
              <w:jc w:val="center"/>
              <w:rPr>
                <w:rFonts w:hint="default"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24"/>
      <w:bookmarkStart w:id="1" w:name="_Toc123112263"/>
      <w:bookmarkStart w:id="2" w:name="_Toc139991726"/>
      <w:bookmarkStart w:id="3" w:name="_Toc123701383"/>
      <w:bookmarkStart w:id="4" w:name="_Toc139992301"/>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1727"/>
      <w:bookmarkStart w:id="6" w:name="_Toc123112264"/>
      <w:bookmarkStart w:id="7" w:name="_Toc123701384"/>
      <w:bookmarkStart w:id="8" w:name="_Toc139992302"/>
      <w:bookmarkStart w:id="9" w:name="_Toc123112225"/>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【2025】年【12】月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keepNext w:val="0"/>
              <w:keepLines w:val="0"/>
              <w:suppressLineNumbers w:val="0"/>
              <w:tabs>
                <w:tab w:val="left" w:pos="8070"/>
                <w:tab w:val="right" w:pos="8306"/>
              </w:tabs>
              <w:autoSpaceDE w:val="0"/>
              <w:autoSpaceDN w:val="0"/>
              <w:adjustRightInd w:val="0"/>
              <w:snapToGrid w:val="0"/>
              <w:spacing w:before="156" w:beforeLines="50" w:beforeAutospacing="0" w:after="0" w:afterAutospacing="0" w:line="360" w:lineRule="auto"/>
              <w:ind w:left="0" w:right="0"/>
              <w:jc w:val="center"/>
              <w:rPr>
                <w:rFonts w:hint="default"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default" w:ascii="黑体" w:hAnsi="黑体" w:eastAsia="黑体"/>
                <w:bCs/>
                <w:sz w:val="18"/>
                <w:szCs w:val="18"/>
              </w:rPr>
              <w:t xml:space="preserve"> </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hint="default" w:ascii="黑体" w:hAnsi="黑体" w:eastAsia="黑体"/>
                <w:bCs/>
                <w:sz w:val="18"/>
                <w:szCs w:val="18"/>
              </w:rPr>
              <w:t>收益</w:t>
            </w:r>
            <w:r>
              <w:rPr>
                <w:rFonts w:hint="eastAsia" w:ascii="黑体" w:hAnsi="黑体" w:eastAsia="黑体"/>
                <w:bCs/>
                <w:sz w:val="18"/>
                <w:szCs w:val="18"/>
              </w:rPr>
              <w:t>，投资须谨慎。</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p>
          <w:p>
            <w:pPr>
              <w:pStyle w:val="6"/>
              <w:keepNext w:val="0"/>
              <w:keepLines w:val="0"/>
              <w:suppressLineNumbers w:val="0"/>
              <w:snapToGrid w:val="0"/>
              <w:spacing w:before="0" w:beforeAutospacing="0" w:after="0" w:afterAutospacing="0" w:line="360" w:lineRule="auto"/>
              <w:ind w:left="271" w:right="0" w:hanging="271"/>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本产品的业绩比较基准或业绩</w:t>
            </w:r>
            <w:r>
              <w:rPr>
                <w:rFonts w:hint="default"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default" w:ascii="黑体" w:hAnsi="黑体" w:eastAsia="黑体"/>
                <w:bCs/>
                <w:sz w:val="18"/>
                <w:szCs w:val="18"/>
              </w:rPr>
              <w:t>1.</w:t>
            </w:r>
            <w:r>
              <w:rPr>
                <w:rFonts w:hint="eastAsia" w:ascii="黑体" w:hAnsi="黑体" w:eastAsia="黑体"/>
                <w:bCs/>
                <w:sz w:val="18"/>
                <w:szCs w:val="18"/>
              </w:rPr>
              <w:t>销售文件的组成</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《投资协议书》《产品说明书》《（代理）销售协议</w:t>
            </w:r>
            <w:r>
              <w:rPr>
                <w:rFonts w:hint="default"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default" w:ascii="黑体" w:hAnsi="黑体" w:eastAsia="黑体"/>
                <w:bCs/>
                <w:sz w:val="18"/>
                <w:szCs w:val="18"/>
              </w:rPr>
              <w:t>2.</w:t>
            </w:r>
            <w:r>
              <w:rPr>
                <w:rFonts w:hint="eastAsia" w:ascii="黑体" w:hAnsi="黑体" w:eastAsia="黑体"/>
                <w:bCs/>
                <w:sz w:val="18"/>
                <w:szCs w:val="18"/>
              </w:rPr>
              <w:t>销售文件的编制</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根据《理财公司理财产品销售管理暂行办法》（</w:t>
            </w:r>
            <w:r>
              <w:rPr>
                <w:rFonts w:hint="default"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 xml:space="preserve"> </w:t>
            </w:r>
            <w:r>
              <w:rPr>
                <w:rFonts w:hint="eastAsia" w:ascii="黑体" w:hAnsi="黑体" w:eastAsia="黑体"/>
                <w:bCs/>
                <w:sz w:val="18"/>
                <w:szCs w:val="18"/>
              </w:rPr>
              <w:t>关于投资者适当性的提示</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default" w:ascii="黑体" w:hAnsi="黑体" w:eastAsia="黑体"/>
                <w:bCs/>
                <w:sz w:val="18"/>
                <w:szCs w:val="18"/>
              </w:rPr>
              <w:t xml:space="preserve"> </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 xml:space="preserve"> </w:t>
            </w:r>
            <w:r>
              <w:rPr>
                <w:rFonts w:hint="eastAsia" w:ascii="黑体" w:hAnsi="黑体" w:eastAsia="黑体"/>
                <w:bCs/>
                <w:sz w:val="18"/>
                <w:szCs w:val="18"/>
              </w:rPr>
              <w:t>关于投资者信息的提示</w:t>
            </w:r>
          </w:p>
          <w:p>
            <w:pPr>
              <w:keepNext w:val="0"/>
              <w:keepLines w:val="0"/>
              <w:suppressLineNumbers w:val="0"/>
              <w:tabs>
                <w:tab w:val="left" w:pos="704"/>
                <w:tab w:val="left" w:pos="1995"/>
              </w:tabs>
              <w:autoSpaceDE w:val="0"/>
              <w:autoSpaceDN w:val="0"/>
              <w:adjustRightInd w:val="0"/>
              <w:snapToGrid w:val="0"/>
              <w:spacing w:before="0" w:beforeAutospacing="0" w:after="0" w:afterAutospacing="0" w:line="360" w:lineRule="auto"/>
              <w:ind w:left="0" w:right="0"/>
              <w:rPr>
                <w:rFonts w:hint="default"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hint="default"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keepNext w:val="0"/>
              <w:keepLines w:val="0"/>
              <w:suppressLineNumbers w:val="0"/>
              <w:snapToGrid w:val="0"/>
              <w:spacing w:before="0" w:beforeAutospacing="0" w:after="0" w:afterAutospacing="0" w:line="360" w:lineRule="auto"/>
              <w:ind w:left="0" w:right="0"/>
              <w:jc w:val="both"/>
              <w:rPr>
                <w:rFonts w:hint="default" w:ascii="黑体" w:hAnsi="黑体" w:eastAsia="黑体"/>
                <w:bCs/>
                <w:sz w:val="18"/>
                <w:szCs w:val="18"/>
              </w:rPr>
            </w:pPr>
          </w:p>
          <w:p>
            <w:pPr>
              <w:keepNext w:val="0"/>
              <w:keepLines w:val="0"/>
              <w:suppressLineNumbers w:val="0"/>
              <w:spacing w:before="0" w:beforeAutospacing="0" w:after="0" w:afterAutospacing="0"/>
              <w:ind w:left="0" w:right="0"/>
              <w:rPr>
                <w:rFonts w:hint="default" w:ascii="黑体" w:hAnsi="黑体" w:eastAsia="黑体"/>
                <w:bCs/>
                <w:kern w:val="0"/>
                <w:sz w:val="18"/>
                <w:szCs w:val="18"/>
              </w:rPr>
            </w:pPr>
            <w:r>
              <w:rPr>
                <w:rFonts w:hint="eastAsia" w:ascii="黑体" w:hAnsi="黑体" w:eastAsia="黑体"/>
                <w:bCs/>
                <w:kern w:val="0"/>
                <w:sz w:val="18"/>
                <w:szCs w:val="18"/>
              </w:rPr>
              <w:t>★</w:t>
            </w:r>
            <w:r>
              <w:rPr>
                <w:rFonts w:hint="default"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keepNext w:val="0"/>
              <w:keepLines w:val="0"/>
              <w:suppressLineNumbers w:val="0"/>
              <w:spacing w:before="0" w:beforeAutospacing="0" w:after="0" w:afterAutospacing="0"/>
              <w:ind w:left="0" w:right="0"/>
              <w:rPr>
                <w:rFonts w:hint="default"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keepNext w:val="0"/>
              <w:keepLines w:val="0"/>
              <w:suppressLineNumbers w:val="0"/>
              <w:snapToGrid w:val="0"/>
              <w:spacing w:before="0" w:beforeAutospacing="0" w:after="0" w:afterAutospacing="0"/>
              <w:ind w:left="0" w:right="0"/>
              <w:jc w:val="both"/>
              <w:rPr>
                <w:rFonts w:hint="default" w:ascii="黑体" w:hAnsi="黑体" w:eastAsia="黑体"/>
                <w:bCs/>
                <w:sz w:val="18"/>
                <w:szCs w:val="18"/>
              </w:rPr>
            </w:pPr>
          </w:p>
          <w:p>
            <w:pPr>
              <w:pStyle w:val="6"/>
              <w:keepNext w:val="0"/>
              <w:keepLines w:val="0"/>
              <w:numPr>
                <w:ilvl w:val="255"/>
                <w:numId w:val="0"/>
              </w:numPr>
              <w:suppressLineNumbers w:val="0"/>
              <w:snapToGrid w:val="0"/>
              <w:spacing w:before="0" w:beforeAutospacing="0" w:after="0" w:afterAutospacing="0"/>
              <w:ind w:left="0" w:right="0"/>
              <w:jc w:val="both"/>
              <w:rPr>
                <w:rFonts w:hint="default" w:ascii="黑体" w:hAnsi="黑体" w:eastAsia="黑体"/>
                <w:bCs/>
                <w:sz w:val="18"/>
                <w:szCs w:val="18"/>
              </w:rPr>
            </w:pPr>
            <w:r>
              <w:rPr>
                <w:rFonts w:hint="eastAsia" w:ascii="黑体" w:hAnsi="黑体" w:eastAsia="黑体"/>
                <w:bCs/>
                <w:sz w:val="18"/>
                <w:szCs w:val="18"/>
              </w:rPr>
              <w:t>★</w:t>
            </w:r>
            <w:r>
              <w:rPr>
                <w:rFonts w:hint="default" w:ascii="黑体" w:hAnsi="黑体" w:eastAsia="黑体"/>
                <w:bCs/>
                <w:sz w:val="18"/>
                <w:szCs w:val="18"/>
              </w:rPr>
              <w:t xml:space="preserve"> </w:t>
            </w:r>
            <w:r>
              <w:rPr>
                <w:rFonts w:hint="eastAsia" w:ascii="黑体" w:hAnsi="黑体" w:eastAsia="黑体"/>
                <w:bCs/>
                <w:sz w:val="18"/>
                <w:szCs w:val="18"/>
              </w:rPr>
              <w:t>关于理财产品咨询的提示</w:t>
            </w:r>
          </w:p>
          <w:p>
            <w:pPr>
              <w:keepNext w:val="0"/>
              <w:keepLines w:val="0"/>
              <w:suppressLineNumbers w:val="0"/>
              <w:tabs>
                <w:tab w:val="left" w:pos="8070"/>
                <w:tab w:val="right" w:pos="8306"/>
              </w:tabs>
              <w:autoSpaceDE w:val="0"/>
              <w:autoSpaceDN w:val="0"/>
              <w:adjustRightInd w:val="0"/>
              <w:snapToGrid w:val="0"/>
              <w:spacing w:before="156" w:beforeLines="50" w:beforeAutospacing="0" w:after="0" w:afterAutospacing="0"/>
              <w:ind w:left="0" w:right="0"/>
              <w:rPr>
                <w:rFonts w:hint="default"/>
                <w:bCs/>
                <w:sz w:val="32"/>
                <w:szCs w:val="20"/>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39991729"/>
      <w:bookmarkStart w:id="12" w:name="_Toc123112227"/>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keepNext w:val="0"/>
              <w:keepLines w:val="0"/>
              <w:suppressLineNumbers w:val="0"/>
              <w:pBdr>
                <w:bottom w:val="single" w:color="auto" w:sz="6" w:space="1"/>
              </w:pBdr>
              <w:snapToGrid w:val="0"/>
              <w:spacing w:before="0" w:beforeAutospacing="0" w:after="0" w:afterAutospacing="0" w:line="360" w:lineRule="auto"/>
              <w:ind w:left="0" w:right="0"/>
              <w:jc w:val="center"/>
              <w:rPr>
                <w:rFonts w:hint="default" w:ascii="宋体" w:hAnsi="宋体"/>
                <w:b/>
                <w:bCs/>
                <w:sz w:val="28"/>
                <w:szCs w:val="28"/>
              </w:rPr>
            </w:pPr>
            <w:r>
              <w:rPr>
                <w:rFonts w:hint="eastAsia" w:ascii="宋体" w:hAnsi="宋体"/>
                <w:b/>
                <w:bCs/>
                <w:sz w:val="28"/>
                <w:szCs w:val="28"/>
              </w:rPr>
              <w:t>信息栏</w:t>
            </w:r>
          </w:p>
          <w:p>
            <w:pPr>
              <w:pStyle w:val="4"/>
              <w:keepNext w:val="0"/>
              <w:keepLines w:val="0"/>
              <w:suppressLineNumbers w:val="0"/>
              <w:spacing w:before="0" w:beforeAutospacing="0" w:after="0" w:afterAutospacing="0" w:line="360" w:lineRule="auto"/>
              <w:ind w:left="0" w:right="0"/>
              <w:rPr>
                <w:rFonts w:hint="default"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keepNext w:val="0"/>
              <w:keepLines w:val="0"/>
              <w:suppressLineNumbers w:val="0"/>
              <w:spacing w:before="0" w:beforeAutospacing="0" w:after="0" w:afterAutospacing="0" w:line="360" w:lineRule="auto"/>
              <w:ind w:left="0" w:right="0"/>
              <w:rPr>
                <w:rFonts w:hint="default"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982"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1417"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982"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1417"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982"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982" w:type="dxa"/>
            <w:tcBorders>
              <w:bottom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restart"/>
            <w:tcBorders>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机构</w:t>
            </w:r>
            <w:r>
              <w:rPr>
                <w:rFonts w:hint="default"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continue"/>
            <w:tcBorders>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continue"/>
            <w:tcBorders>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continue"/>
            <w:tcBorders>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continue"/>
            <w:tcBorders>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keepNext w:val="0"/>
              <w:keepLines w:val="0"/>
              <w:suppressLineNumbers w:val="0"/>
              <w:pBdr>
                <w:bottom w:val="none" w:color="auto" w:sz="0" w:space="0"/>
              </w:pBdr>
              <w:spacing w:before="0" w:beforeAutospacing="0" w:after="0" w:afterAutospacing="0" w:line="360" w:lineRule="auto"/>
              <w:ind w:left="0" w:right="0"/>
              <w:rPr>
                <w:rFonts w:hint="default"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1690" w:type="dxa"/>
            <w:gridSpan w:val="2"/>
            <w:tcBorders>
              <w:bottom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hint="default" w:ascii="宋体" w:hAnsi="宋体"/>
                <w:bCs/>
                <w:sz w:val="18"/>
                <w:szCs w:val="18"/>
              </w:rPr>
              <w:t>CIB Wealth Management Co.,Ltd. ”</w:t>
            </w:r>
            <w:r>
              <w:rPr>
                <w:rFonts w:hint="eastAsia" w:ascii="宋体" w:hAnsi="宋体"/>
                <w:bCs/>
                <w:sz w:val="18"/>
                <w:szCs w:val="18"/>
              </w:rPr>
              <w:t>。公司成立于</w:t>
            </w:r>
            <w:r>
              <w:rPr>
                <w:rFonts w:hint="default"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bCs/>
                <w:sz w:val="18"/>
                <w:szCs w:val="18"/>
              </w:rPr>
            </w:pPr>
            <w:r>
              <w:rPr>
                <w:rFonts w:hint="eastAsia" w:ascii="宋体" w:hAnsi="宋体" w:eastAsia="宋体" w:cs="宋体"/>
                <w:bCs/>
                <w:kern w:val="2"/>
                <w:sz w:val="18"/>
                <w:szCs w:val="18"/>
                <w:lang w:val="en-US" w:eastAsia="zh-CN" w:bidi="ar"/>
              </w:rPr>
              <w:t>【兴银理财稳利恒盈封闭式2025年583期固收类理财产品】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1690" w:type="dxa"/>
            <w:gridSpan w:val="2"/>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bCs/>
                <w:sz w:val="18"/>
                <w:szCs w:val="18"/>
              </w:rPr>
            </w:pPr>
            <w:r>
              <w:rPr>
                <w:rFonts w:hint="default" w:ascii="宋体" w:hAnsi="宋体" w:eastAsia="宋体" w:cs="宋体"/>
                <w:sz w:val="18"/>
                <w:szCs w:val="20"/>
              </w:rPr>
              <w:t>【稳利恒盈封闭2025年583期26M(纯盈颐养款)B】 (适用【B】类份额)</w:t>
            </w:r>
            <w:r>
              <w:rPr>
                <w:rFonts w:hint="default" w:ascii="宋体" w:hAnsi="宋体" w:eastAsia="宋体" w:cs="宋体"/>
                <w:sz w:val="18"/>
                <w:szCs w:val="20"/>
              </w:rPr>
              <w:br w:type="textWrapping"/>
            </w:r>
            <w:r>
              <w:rPr>
                <w:rFonts w:hint="default" w:ascii="宋体" w:hAnsi="宋体" w:eastAsia="宋体" w:cs="宋体"/>
                <w:sz w:val="18"/>
                <w:szCs w:val="20"/>
              </w:rPr>
              <w:t>【稳利恒盈封闭2025年583期26M(纯盈颐养款)C】 (适用【C】类份额)</w:t>
            </w:r>
            <w:r>
              <w:rPr>
                <w:rFonts w:hint="default" w:ascii="宋体" w:hAnsi="宋体" w:eastAsia="宋体" w:cs="宋体"/>
                <w:sz w:val="18"/>
                <w:szCs w:val="20"/>
              </w:rPr>
              <w:br w:type="textWrapping"/>
            </w:r>
            <w:r>
              <w:rPr>
                <w:rFonts w:hint="default" w:ascii="宋体" w:hAnsi="宋体" w:eastAsia="宋体" w:cs="宋体"/>
                <w:sz w:val="18"/>
                <w:szCs w:val="20"/>
              </w:rPr>
              <w:t>【稳利恒盈封闭2025年583期26M(纯盈颐养款)D】 (适用【D】类份额)</w:t>
            </w:r>
            <w:r>
              <w:rPr>
                <w:rFonts w:hint="default" w:ascii="宋体" w:hAnsi="宋体" w:eastAsia="宋体" w:cs="宋体"/>
                <w:sz w:val="18"/>
                <w:szCs w:val="20"/>
              </w:rPr>
              <w:br w:type="textWrapping"/>
            </w:r>
            <w:r>
              <w:rPr>
                <w:rFonts w:hint="default" w:ascii="宋体" w:hAnsi="宋体" w:eastAsia="宋体" w:cs="宋体"/>
                <w:sz w:val="18"/>
                <w:szCs w:val="20"/>
              </w:rPr>
              <w:t>【稳利恒盈封闭2025年583期26M(纯盈颐养款</w:t>
            </w:r>
            <w:r>
              <w:rPr>
                <w:rFonts w:hint="eastAsia" w:ascii="宋体" w:hAnsi="宋体" w:cs="宋体"/>
                <w:sz w:val="18"/>
                <w:szCs w:val="20"/>
                <w:lang w:val="en-US" w:eastAsia="zh-CN"/>
              </w:rPr>
              <w:t>)</w:t>
            </w:r>
            <w:r>
              <w:rPr>
                <w:rFonts w:hint="default" w:ascii="宋体" w:hAnsi="宋体" w:eastAsia="宋体" w:cs="宋体"/>
                <w:sz w:val="18"/>
                <w:szCs w:val="20"/>
              </w:rPr>
              <w:t>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1690" w:type="dxa"/>
            <w:gridSpan w:val="2"/>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ascii="宋体" w:hAnsi="宋体"/>
                <w:bCs/>
                <w:color w:val="auto"/>
                <w:sz w:val="18"/>
                <w:szCs w:val="18"/>
              </w:rPr>
              <w:t>【</w:t>
            </w:r>
            <w:r>
              <w:rPr>
                <w:rFonts w:hint="eastAsia" w:ascii="宋体" w:hAnsi="宋体"/>
                <w:bCs/>
                <w:color w:val="auto"/>
                <w:sz w:val="18"/>
                <w:szCs w:val="18"/>
                <w:lang w:val="en-US" w:eastAsia="zh-CN"/>
              </w:rPr>
              <w:t>Z7002025001686</w:t>
            </w:r>
            <w:r>
              <w:rPr>
                <w:rFonts w:hint="eastAsia" w:ascii="宋体" w:hAnsi="宋体"/>
                <w:bCs/>
                <w:color w:val="auto"/>
                <w:sz w:val="18"/>
                <w:szCs w:val="18"/>
              </w:rPr>
              <w:t>】注：投资者可依据理财产品登记编码在中国理财网查询产品信息</w:t>
            </w:r>
            <w:r>
              <w:rPr>
                <w:rFonts w:hint="default"/>
                <w:color w:val="auto"/>
                <w:szCs w:val="20"/>
              </w:rPr>
              <w:fldChar w:fldCharType="begin"/>
            </w:r>
            <w:r>
              <w:rPr>
                <w:rFonts w:hint="default"/>
                <w:color w:val="auto"/>
                <w:szCs w:val="20"/>
              </w:rPr>
              <w:instrText xml:space="preserve"> HYPERLINK "http://www.chinawealth.com.cn" </w:instrText>
            </w:r>
            <w:r>
              <w:rPr>
                <w:rFonts w:hint="default"/>
                <w:color w:val="auto"/>
                <w:szCs w:val="20"/>
              </w:rPr>
              <w:fldChar w:fldCharType="separate"/>
            </w:r>
            <w:r>
              <w:rPr>
                <w:rFonts w:hint="default" w:ascii="宋体" w:hAnsi="宋体"/>
                <w:bCs/>
                <w:color w:val="auto"/>
                <w:sz w:val="18"/>
                <w:szCs w:val="18"/>
              </w:rPr>
              <w:t>www.chinawealth.com.cn</w:t>
            </w:r>
            <w:r>
              <w:rPr>
                <w:rFonts w:hint="default"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1690" w:type="dxa"/>
            <w:gridSpan w:val="2"/>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eastAsia" w:hAnsi="宋体"/>
                <w:sz w:val="18"/>
                <w:szCs w:val="18"/>
              </w:rPr>
              <w:t>★</w:t>
            </w:r>
            <w:r>
              <w:rPr>
                <w:rFonts w:hint="eastAsia" w:ascii="宋体" w:hAnsi="宋体"/>
                <w:bCs/>
                <w:sz w:val="18"/>
                <w:szCs w:val="18"/>
              </w:rPr>
              <w:t>产品</w:t>
            </w:r>
            <w:r>
              <w:rPr>
                <w:rFonts w:hint="default"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bCs/>
                <w:sz w:val="18"/>
                <w:szCs w:val="18"/>
              </w:rPr>
            </w:pPr>
            <w:r>
              <w:rPr>
                <w:rFonts w:hint="eastAsia" w:ascii="宋体" w:hAnsi="宋体" w:eastAsia="宋体" w:cs="宋体"/>
                <w:bCs/>
                <w:color w:val="000000"/>
                <w:kern w:val="2"/>
                <w:sz w:val="18"/>
                <w:szCs w:val="18"/>
                <w:lang w:val="en-US" w:eastAsia="zh-CN" w:bidi="ar"/>
              </w:rPr>
              <w:t>【9N255830】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c>
          <w:tcPr>
            <w:tcW w:w="1690" w:type="dxa"/>
            <w:gridSpan w:val="2"/>
            <w:shd w:val="solid" w:color="FFFFFF" w:fill="FFFFFF"/>
            <w:vAlign w:val="center"/>
          </w:tcPr>
          <w:p>
            <w:pPr>
              <w:keepNext w:val="0"/>
              <w:keepLines w:val="0"/>
              <w:suppressLineNumbers w:val="0"/>
              <w:spacing w:before="0" w:beforeAutospacing="0" w:after="0" w:afterAutospacing="0" w:line="320" w:lineRule="exact"/>
              <w:ind w:left="0" w:right="0"/>
              <w:jc w:val="left"/>
              <w:rPr>
                <w:rFonts w:hint="default" w:hAnsi="宋体"/>
                <w:sz w:val="18"/>
                <w:szCs w:val="18"/>
              </w:rPr>
            </w:pPr>
            <w:r>
              <w:rPr>
                <w:rFonts w:hint="eastAsia" w:hAnsi="宋体"/>
                <w:sz w:val="18"/>
                <w:szCs w:val="18"/>
              </w:rPr>
              <w:t>★</w:t>
            </w:r>
            <w:r>
              <w:rPr>
                <w:rFonts w:hint="eastAsia" w:ascii="宋体" w:hAnsi="宋体"/>
                <w:bCs/>
                <w:sz w:val="18"/>
                <w:szCs w:val="18"/>
              </w:rPr>
              <w:t>销售</w:t>
            </w:r>
            <w:r>
              <w:rPr>
                <w:rFonts w:hint="default"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hint="default" w:ascii="宋体" w:hAnsi="宋体"/>
                <w:bCs/>
                <w:color w:val="000000" w:themeColor="text1"/>
                <w:sz w:val="18"/>
                <w:szCs w:val="18"/>
                <w14:textFill>
                  <w14:solidFill>
                    <w14:schemeClr w14:val="tx1"/>
                  </w14:solidFill>
                </w14:textFill>
              </w:rPr>
            </w:pPr>
            <w:r>
              <w:rPr>
                <w:rFonts w:hint="default" w:ascii="宋体" w:hAnsi="宋体" w:eastAsia="宋体" w:cs="宋体"/>
                <w:sz w:val="18"/>
                <w:szCs w:val="20"/>
              </w:rPr>
              <w:t>【9N25583B】 (适用【B】类份额)</w:t>
            </w:r>
            <w:r>
              <w:rPr>
                <w:rFonts w:hint="default" w:ascii="宋体" w:hAnsi="宋体" w:eastAsia="宋体" w:cs="宋体"/>
                <w:sz w:val="18"/>
                <w:szCs w:val="20"/>
              </w:rPr>
              <w:br w:type="textWrapping"/>
            </w:r>
            <w:r>
              <w:rPr>
                <w:rFonts w:hint="default" w:ascii="宋体" w:hAnsi="宋体" w:eastAsia="宋体" w:cs="宋体"/>
                <w:sz w:val="18"/>
                <w:szCs w:val="20"/>
              </w:rPr>
              <w:t>【9N25583C】 (适用【C】类份额)</w:t>
            </w:r>
            <w:r>
              <w:rPr>
                <w:rFonts w:hint="default" w:ascii="宋体" w:hAnsi="宋体" w:eastAsia="宋体" w:cs="宋体"/>
                <w:sz w:val="18"/>
                <w:szCs w:val="20"/>
              </w:rPr>
              <w:br w:type="textWrapping"/>
            </w:r>
            <w:r>
              <w:rPr>
                <w:rFonts w:hint="default" w:ascii="宋体" w:hAnsi="宋体" w:eastAsia="宋体" w:cs="宋体"/>
                <w:sz w:val="18"/>
                <w:szCs w:val="20"/>
              </w:rPr>
              <w:t>【9N25583D】 (适用【D】类份额)</w:t>
            </w:r>
            <w:r>
              <w:rPr>
                <w:rFonts w:hint="default" w:ascii="宋体" w:hAnsi="宋体" w:eastAsia="宋体" w:cs="宋体"/>
                <w:sz w:val="18"/>
                <w:szCs w:val="20"/>
              </w:rPr>
              <w:br w:type="textWrapping"/>
            </w:r>
            <w:r>
              <w:rPr>
                <w:rFonts w:hint="default" w:ascii="宋体" w:hAnsi="宋体" w:eastAsia="宋体" w:cs="宋体"/>
                <w:sz w:val="18"/>
                <w:szCs w:val="20"/>
              </w:rPr>
              <w:t>【9N25583E】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keepNext w:val="0"/>
              <w:keepLines w:val="0"/>
              <w:suppressLineNumbers w:val="0"/>
              <w:pBdr>
                <w:bottom w:val="none" w:color="auto" w:sz="0" w:space="0"/>
              </w:pBdr>
              <w:tabs>
                <w:tab w:val="clear" w:pos="4153"/>
                <w:tab w:val="clear" w:pos="8306"/>
              </w:tabs>
              <w:snapToGrid/>
              <w:spacing w:before="0" w:beforeAutospacing="0" w:after="0" w:afterAutospacing="0" w:line="360" w:lineRule="auto"/>
              <w:ind w:left="0" w:right="0"/>
              <w:rPr>
                <w:rFonts w:hint="default"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keepNext w:val="0"/>
              <w:keepLines w:val="0"/>
              <w:suppressLineNumbers w:val="0"/>
              <w:pBdr>
                <w:bottom w:val="none" w:color="auto" w:sz="0" w:space="0"/>
              </w:pBdr>
              <w:tabs>
                <w:tab w:val="clear" w:pos="4153"/>
                <w:tab w:val="clear" w:pos="8306"/>
              </w:tabs>
              <w:snapToGrid/>
              <w:spacing w:before="0" w:beforeAutospacing="0" w:after="0" w:afterAutospacing="0" w:line="360" w:lineRule="auto"/>
              <w:ind w:left="0" w:right="0"/>
              <w:jc w:val="left"/>
              <w:rPr>
                <w:rFonts w:hint="default" w:ascii="宋体" w:hAnsi="宋体"/>
                <w:b/>
                <w:szCs w:val="18"/>
              </w:rPr>
            </w:pPr>
            <w:r>
              <w:rPr>
                <w:rFonts w:hint="eastAsia" w:ascii="宋体" w:hAnsi="宋体"/>
                <w:szCs w:val="18"/>
              </w:rPr>
              <w:t>投资者</w:t>
            </w:r>
            <w:r>
              <w:rPr>
                <w:rFonts w:hint="default"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hint="default" w:ascii="宋体" w:hAnsi="宋体"/>
                <w:szCs w:val="18"/>
              </w:rPr>
              <w:t>用于</w:t>
            </w:r>
            <w:r>
              <w:rPr>
                <w:rFonts w:hint="eastAsia" w:ascii="宋体" w:hAnsi="宋体"/>
                <w:szCs w:val="18"/>
              </w:rPr>
              <w:t>本产品的</w:t>
            </w:r>
            <w:r>
              <w:rPr>
                <w:rFonts w:hint="default" w:ascii="宋体" w:hAnsi="宋体"/>
                <w:szCs w:val="18"/>
              </w:rPr>
              <w:t>资金划转及</w:t>
            </w:r>
            <w:r>
              <w:rPr>
                <w:rFonts w:hint="eastAsia" w:ascii="宋体" w:hAnsi="宋体"/>
                <w:szCs w:val="18"/>
              </w:rPr>
              <w:t>产品分配，账号：</w:t>
            </w:r>
            <w:r>
              <w:rPr>
                <w:rFonts w:hint="default"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3386"/>
      <w:bookmarkStart w:id="15" w:name="_Toc6306"/>
      <w:bookmarkStart w:id="16" w:name="_Toc29629"/>
      <w:bookmarkStart w:id="17" w:name="_Toc4867"/>
      <w:bookmarkStart w:id="18" w:name="_Toc139991730"/>
      <w:bookmarkStart w:id="19" w:name="_Toc123701389"/>
      <w:bookmarkStart w:id="20" w:name="_Toc123112268"/>
      <w:bookmarkStart w:id="21" w:name="_Toc123112229"/>
      <w:bookmarkStart w:id="22" w:name="_Toc32639"/>
      <w:bookmarkStart w:id="23" w:name="_Toc4966"/>
      <w:bookmarkStart w:id="24" w:name="_Toc30935"/>
      <w:bookmarkStart w:id="25" w:name="_Toc26897"/>
      <w:bookmarkStart w:id="26" w:name="_Toc15517"/>
      <w:bookmarkStart w:id="27" w:name="_Toc141703880"/>
      <w:bookmarkStart w:id="28" w:name="_Toc872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2864"/>
      <w:bookmarkStart w:id="33" w:name="_Toc13020"/>
      <w:bookmarkStart w:id="34" w:name="_Toc6617"/>
      <w:bookmarkStart w:id="35" w:name="_Toc819"/>
      <w:bookmarkStart w:id="36" w:name="_Toc258829399"/>
      <w:bookmarkStart w:id="37" w:name="_Toc15067"/>
      <w:bookmarkStart w:id="38" w:name="_Toc19592"/>
      <w:bookmarkStart w:id="39" w:name="_Toc2465"/>
      <w:bookmarkStart w:id="40" w:name="_Toc21301"/>
      <w:bookmarkStart w:id="41" w:name="_Toc24860"/>
      <w:bookmarkStart w:id="42" w:name="_Toc3224"/>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4571"/>
      <w:bookmarkStart w:id="48" w:name="_Toc74065740"/>
      <w:bookmarkStart w:id="49" w:name="_Toc6683"/>
      <w:bookmarkStart w:id="50" w:name="_Toc20627"/>
      <w:bookmarkStart w:id="51" w:name="_Toc6149"/>
      <w:bookmarkStart w:id="52" w:name="_Toc733"/>
      <w:bookmarkStart w:id="53" w:name="_Toc20318"/>
      <w:bookmarkStart w:id="54" w:name="_Toc18631"/>
      <w:bookmarkStart w:id="55" w:name="_Toc545"/>
      <w:bookmarkStart w:id="56" w:name="_Toc22708"/>
      <w:bookmarkStart w:id="57" w:name="_Toc1328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
                <w:sz w:val="18"/>
                <w:szCs w:val="18"/>
              </w:rPr>
            </w:pPr>
            <w:r>
              <w:rPr>
                <w:rFonts w:hint="eastAsia" w:ascii="宋体" w:hAnsi="宋体"/>
                <w:b/>
                <w:sz w:val="18"/>
                <w:szCs w:val="18"/>
              </w:rPr>
              <w:t>理财产品名称</w:t>
            </w:r>
          </w:p>
        </w:tc>
        <w:tc>
          <w:tcPr>
            <w:tcW w:w="7121" w:type="dxa"/>
            <w:gridSpan w:val="3"/>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
                <w:sz w:val="18"/>
                <w:szCs w:val="18"/>
              </w:rPr>
            </w:pPr>
            <w:r>
              <w:rPr>
                <w:rFonts w:hint="eastAsia" w:ascii="宋体" w:hAnsi="宋体"/>
                <w:b/>
                <w:sz w:val="18"/>
                <w:szCs w:val="18"/>
              </w:rPr>
              <w:t>产品份额</w:t>
            </w:r>
            <w:r>
              <w:rPr>
                <w:rFonts w:hint="default" w:ascii="宋体" w:hAnsi="宋体"/>
                <w:b/>
                <w:sz w:val="18"/>
                <w:szCs w:val="18"/>
              </w:rPr>
              <w:t>类别</w:t>
            </w:r>
          </w:p>
        </w:tc>
        <w:tc>
          <w:tcPr>
            <w:tcW w:w="7121" w:type="dxa"/>
            <w:gridSpan w:val="3"/>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【】类</w:t>
            </w:r>
            <w:r>
              <w:rPr>
                <w:rFonts w:hint="default"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
                <w:sz w:val="18"/>
                <w:szCs w:val="18"/>
              </w:rPr>
            </w:pPr>
            <w:r>
              <w:rPr>
                <w:rFonts w:hint="eastAsia" w:ascii="宋体" w:hAnsi="宋体"/>
                <w:b/>
                <w:sz w:val="18"/>
                <w:szCs w:val="18"/>
              </w:rPr>
              <w:t>交易类型</w:t>
            </w:r>
          </w:p>
        </w:tc>
        <w:tc>
          <w:tcPr>
            <w:tcW w:w="1134" w:type="dxa"/>
            <w:gridSpan w:val="2"/>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sz w:val="18"/>
                <w:szCs w:val="18"/>
              </w:rPr>
            </w:pPr>
            <w:r>
              <w:rPr>
                <w:rFonts w:hint="eastAsia" w:ascii="宋体" w:hAnsi="宋体"/>
                <w:bCs/>
                <w:sz w:val="18"/>
                <w:szCs w:val="18"/>
              </w:rPr>
              <w:t>认购</w:t>
            </w:r>
          </w:p>
        </w:tc>
        <w:tc>
          <w:tcPr>
            <w:tcW w:w="5987"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宋体" w:hAnsi="宋体" w:cs="宋体"/>
                <w:sz w:val="18"/>
                <w:szCs w:val="18"/>
              </w:rPr>
            </w:pPr>
            <w:r>
              <w:rPr>
                <w:rFonts w:hint="default" w:ascii="宋体" w:hAnsi="宋体"/>
                <w:bCs/>
                <w:sz w:val="18"/>
                <w:szCs w:val="18"/>
              </w:rPr>
              <w:t>金额：</w:t>
            </w:r>
            <w:r>
              <w:rPr>
                <w:rFonts w:hint="eastAsia" w:ascii="宋体" w:hAnsi="宋体"/>
                <w:bCs/>
                <w:sz w:val="18"/>
                <w:szCs w:val="18"/>
              </w:rPr>
              <w:t>小写：</w:t>
            </w:r>
            <w:r>
              <w:rPr>
                <w:rFonts w:hint="default" w:ascii="宋体" w:hAnsi="宋体"/>
                <w:bCs/>
                <w:sz w:val="18"/>
                <w:szCs w:val="18"/>
                <w:u w:val="single"/>
              </w:rPr>
              <w:t xml:space="preserve">　          </w:t>
            </w:r>
            <w:r>
              <w:rPr>
                <w:rFonts w:hint="default" w:ascii="宋体" w:hAnsi="宋体"/>
                <w:bCs/>
                <w:sz w:val="18"/>
                <w:szCs w:val="18"/>
              </w:rPr>
              <w:t>，大写：</w:t>
            </w:r>
            <w:r>
              <w:rPr>
                <w:rFonts w:hint="default"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
                <w:sz w:val="18"/>
                <w:szCs w:val="18"/>
              </w:rPr>
            </w:pPr>
          </w:p>
        </w:tc>
        <w:tc>
          <w:tcPr>
            <w:tcW w:w="1134" w:type="dxa"/>
            <w:gridSpan w:val="2"/>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Cs/>
                <w:sz w:val="18"/>
                <w:szCs w:val="18"/>
              </w:rPr>
            </w:pPr>
            <w:r>
              <w:rPr>
                <w:rFonts w:hint="eastAsia" w:ascii="宋体" w:hAnsi="宋体"/>
                <w:bCs/>
                <w:sz w:val="18"/>
                <w:szCs w:val="18"/>
              </w:rPr>
              <w:t>申购</w:t>
            </w:r>
          </w:p>
        </w:tc>
        <w:tc>
          <w:tcPr>
            <w:tcW w:w="5987"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宋体" w:hAnsi="宋体"/>
                <w:bCs/>
                <w:sz w:val="18"/>
                <w:szCs w:val="18"/>
              </w:rPr>
            </w:pPr>
            <w:r>
              <w:rPr>
                <w:rFonts w:hint="default"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
                <w:sz w:val="18"/>
                <w:szCs w:val="18"/>
              </w:rPr>
            </w:pPr>
          </w:p>
        </w:tc>
        <w:tc>
          <w:tcPr>
            <w:tcW w:w="1134" w:type="dxa"/>
            <w:gridSpan w:val="2"/>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Cs/>
                <w:sz w:val="18"/>
                <w:szCs w:val="18"/>
              </w:rPr>
            </w:pPr>
            <w:r>
              <w:rPr>
                <w:rFonts w:hint="eastAsia" w:ascii="宋体" w:hAnsi="宋体"/>
                <w:bCs/>
                <w:sz w:val="18"/>
                <w:szCs w:val="18"/>
              </w:rPr>
              <w:t>赎回</w:t>
            </w:r>
          </w:p>
        </w:tc>
        <w:tc>
          <w:tcPr>
            <w:tcW w:w="5987"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宋体" w:hAnsi="宋体"/>
                <w:bCs/>
                <w:sz w:val="18"/>
                <w:szCs w:val="18"/>
              </w:rPr>
            </w:pPr>
            <w:r>
              <w:rPr>
                <w:rFonts w:hint="default"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
                <w:sz w:val="18"/>
                <w:szCs w:val="18"/>
              </w:rPr>
            </w:pPr>
            <w:r>
              <w:rPr>
                <w:rFonts w:hint="eastAsia" w:ascii="宋体" w:hAnsi="宋体"/>
                <w:b/>
                <w:sz w:val="18"/>
                <w:szCs w:val="18"/>
              </w:rPr>
              <w:t>交易时间</w:t>
            </w:r>
          </w:p>
        </w:tc>
        <w:tc>
          <w:tcPr>
            <w:tcW w:w="1134" w:type="dxa"/>
            <w:gridSpan w:val="2"/>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sz w:val="18"/>
                <w:szCs w:val="18"/>
              </w:rPr>
            </w:pPr>
            <w:r>
              <w:rPr>
                <w:rFonts w:hint="eastAsia" w:ascii="宋体" w:hAnsi="宋体"/>
                <w:sz w:val="18"/>
                <w:szCs w:val="18"/>
              </w:rPr>
              <w:t>交易申请日</w:t>
            </w:r>
          </w:p>
        </w:tc>
        <w:tc>
          <w:tcPr>
            <w:tcW w:w="5987"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sz w:val="18"/>
                <w:szCs w:val="18"/>
              </w:rPr>
            </w:pPr>
            <w:r>
              <w:rPr>
                <w:rFonts w:hint="eastAsia" w:asciiTheme="minorEastAsia" w:hAnsiTheme="minorEastAsia"/>
                <w:sz w:val="18"/>
                <w:szCs w:val="18"/>
              </w:rPr>
              <w:t>【</w:t>
            </w:r>
            <w:r>
              <w:rPr>
                <w:rFonts w:hint="default" w:asciiTheme="minorEastAsia" w:hAnsiTheme="minorEastAsia"/>
                <w:sz w:val="18"/>
                <w:szCs w:val="18"/>
              </w:rPr>
              <w:t xml:space="preserve"> 】年</w:t>
            </w:r>
            <w:r>
              <w:rPr>
                <w:rFonts w:hint="eastAsia" w:asciiTheme="minorEastAsia" w:hAnsiTheme="minorEastAsia"/>
                <w:sz w:val="18"/>
                <w:szCs w:val="18"/>
              </w:rPr>
              <w:t>【</w:t>
            </w:r>
            <w:r>
              <w:rPr>
                <w:rFonts w:hint="default" w:asciiTheme="minorEastAsia" w:hAnsiTheme="minorEastAsia"/>
                <w:sz w:val="18"/>
                <w:szCs w:val="18"/>
              </w:rPr>
              <w:t xml:space="preserve"> </w:t>
            </w:r>
            <w:r>
              <w:rPr>
                <w:rFonts w:hint="eastAsia" w:asciiTheme="minorEastAsia" w:hAnsiTheme="minorEastAsia"/>
                <w:sz w:val="18"/>
                <w:szCs w:val="18"/>
              </w:rPr>
              <w:t>】月【</w:t>
            </w:r>
            <w:r>
              <w:rPr>
                <w:rFonts w:hint="default"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keepNext w:val="0"/>
              <w:keepLines w:val="0"/>
              <w:suppressLineNumbers w:val="0"/>
              <w:tabs>
                <w:tab w:val="left" w:pos="8070"/>
                <w:tab w:val="right" w:pos="8306"/>
              </w:tabs>
              <w:autoSpaceDE w:val="0"/>
              <w:autoSpaceDN w:val="0"/>
              <w:adjustRightInd w:val="0"/>
              <w:snapToGrid w:val="0"/>
              <w:spacing w:before="0" w:beforeAutospacing="0" w:after="0" w:afterAutospacing="0" w:line="360" w:lineRule="auto"/>
              <w:ind w:left="0" w:right="0"/>
              <w:jc w:val="center"/>
              <w:rPr>
                <w:rFonts w:hint="default" w:ascii="黑体" w:hAnsi="黑体" w:eastAsia="黑体"/>
                <w:sz w:val="18"/>
                <w:szCs w:val="18"/>
              </w:rPr>
            </w:pPr>
            <w:r>
              <w:rPr>
                <w:rFonts w:hint="eastAsia" w:ascii="黑体" w:hAnsi="黑体" w:eastAsia="黑体"/>
                <w:sz w:val="18"/>
                <w:szCs w:val="18"/>
              </w:rPr>
              <w:t>★</w:t>
            </w:r>
          </w:p>
          <w:p>
            <w:pPr>
              <w:keepNext w:val="0"/>
              <w:keepLines w:val="0"/>
              <w:suppressLineNumbers w:val="0"/>
              <w:tabs>
                <w:tab w:val="left" w:pos="8070"/>
                <w:tab w:val="right" w:pos="8306"/>
              </w:tabs>
              <w:autoSpaceDE w:val="0"/>
              <w:autoSpaceDN w:val="0"/>
              <w:adjustRightInd w:val="0"/>
              <w:snapToGrid w:val="0"/>
              <w:spacing w:before="0" w:beforeAutospacing="0" w:after="0" w:afterAutospacing="0" w:line="360" w:lineRule="auto"/>
              <w:ind w:left="0" w:right="0"/>
              <w:jc w:val="center"/>
              <w:rPr>
                <w:rFonts w:hint="default" w:ascii="宋体" w:hAnsi="宋体" w:cs="宋体"/>
                <w:b/>
                <w:sz w:val="18"/>
                <w:szCs w:val="18"/>
              </w:rPr>
            </w:pPr>
            <w:r>
              <w:rPr>
                <w:rFonts w:hint="eastAsia" w:ascii="宋体" w:hAnsi="宋体"/>
                <w:b/>
                <w:sz w:val="18"/>
                <w:szCs w:val="18"/>
              </w:rPr>
              <w:t>签署声明</w:t>
            </w:r>
          </w:p>
        </w:tc>
        <w:tc>
          <w:tcPr>
            <w:tcW w:w="7849" w:type="dxa"/>
            <w:gridSpan w:val="4"/>
          </w:tcPr>
          <w:p>
            <w:pPr>
              <w:keepNext w:val="0"/>
              <w:keepLines w:val="0"/>
              <w:suppressLineNumbers w:val="0"/>
              <w:tabs>
                <w:tab w:val="left" w:pos="8070"/>
                <w:tab w:val="right" w:pos="8306"/>
              </w:tabs>
              <w:autoSpaceDE w:val="0"/>
              <w:autoSpaceDN w:val="0"/>
              <w:adjustRightInd w:val="0"/>
              <w:snapToGrid w:val="0"/>
              <w:spacing w:before="0" w:beforeAutospacing="0" w:after="0" w:afterAutospacing="0" w:line="360" w:lineRule="auto"/>
              <w:ind w:left="0" w:right="0"/>
              <w:rPr>
                <w:rFonts w:hint="default" w:ascii="黑体" w:hAnsi="黑体" w:eastAsia="黑体"/>
                <w:sz w:val="18"/>
                <w:szCs w:val="18"/>
              </w:rPr>
            </w:pPr>
            <w:r>
              <w:rPr>
                <w:rFonts w:hint="default" w:ascii="黑体" w:hAnsi="黑体" w:eastAsia="黑体"/>
                <w:sz w:val="18"/>
                <w:szCs w:val="18"/>
              </w:rPr>
              <w:t>1.在签署本《</w:t>
            </w:r>
            <w:r>
              <w:rPr>
                <w:rFonts w:hint="eastAsia" w:ascii="黑体" w:hAnsi="黑体" w:eastAsia="黑体"/>
                <w:sz w:val="18"/>
                <w:szCs w:val="18"/>
              </w:rPr>
              <w:t>投资</w:t>
            </w:r>
            <w:r>
              <w:rPr>
                <w:rFonts w:hint="default"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hint="default" w:ascii="黑体" w:hAnsi="黑体" w:eastAsia="黑体"/>
                <w:sz w:val="18"/>
                <w:szCs w:val="18"/>
              </w:rPr>
              <w:t>协议书》《产品说明书》《</w:t>
            </w:r>
            <w:r>
              <w:rPr>
                <w:rFonts w:hint="eastAsia" w:ascii="黑体" w:hAnsi="黑体" w:eastAsia="黑体"/>
                <w:sz w:val="18"/>
                <w:szCs w:val="18"/>
              </w:rPr>
              <w:t>（代理）销售</w:t>
            </w:r>
            <w:r>
              <w:rPr>
                <w:rFonts w:hint="default" w:ascii="黑体" w:hAnsi="黑体" w:eastAsia="黑体"/>
                <w:sz w:val="18"/>
                <w:szCs w:val="18"/>
              </w:rPr>
              <w:t>协议书</w:t>
            </w:r>
            <w:r>
              <w:rPr>
                <w:rFonts w:hint="eastAsia" w:ascii="黑体" w:hAnsi="黑体" w:eastAsia="黑体"/>
                <w:sz w:val="18"/>
                <w:szCs w:val="18"/>
              </w:rPr>
              <w:t>》《</w:t>
            </w:r>
            <w:r>
              <w:rPr>
                <w:rFonts w:hint="default"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keepNext w:val="0"/>
              <w:keepLines w:val="0"/>
              <w:suppressLineNumbers w:val="0"/>
              <w:tabs>
                <w:tab w:val="left" w:pos="8070"/>
                <w:tab w:val="right" w:pos="8306"/>
              </w:tabs>
              <w:autoSpaceDE w:val="0"/>
              <w:autoSpaceDN w:val="0"/>
              <w:adjustRightInd w:val="0"/>
              <w:snapToGrid w:val="0"/>
              <w:spacing w:before="0" w:beforeAutospacing="0" w:after="0" w:afterAutospacing="0" w:line="360" w:lineRule="auto"/>
              <w:ind w:left="0" w:right="0"/>
              <w:rPr>
                <w:rFonts w:hint="default" w:ascii="黑体" w:hAnsi="黑体" w:eastAsia="黑体"/>
                <w:sz w:val="18"/>
                <w:szCs w:val="18"/>
              </w:rPr>
            </w:pPr>
            <w:r>
              <w:rPr>
                <w:rFonts w:hint="default"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keepNext w:val="0"/>
              <w:keepLines w:val="0"/>
              <w:suppressLineNumbers w:val="0"/>
              <w:tabs>
                <w:tab w:val="left" w:pos="8070"/>
                <w:tab w:val="right" w:pos="8306"/>
              </w:tabs>
              <w:autoSpaceDE w:val="0"/>
              <w:autoSpaceDN w:val="0"/>
              <w:adjustRightInd w:val="0"/>
              <w:snapToGrid w:val="0"/>
              <w:spacing w:before="0" w:beforeAutospacing="0" w:after="0" w:afterAutospacing="0" w:line="360" w:lineRule="auto"/>
              <w:ind w:left="0" w:right="0"/>
              <w:rPr>
                <w:rFonts w:hint="default" w:ascii="黑体" w:hAnsi="黑体" w:eastAsia="黑体"/>
                <w:sz w:val="18"/>
                <w:szCs w:val="18"/>
              </w:rPr>
            </w:pPr>
            <w:r>
              <w:rPr>
                <w:rFonts w:hint="default" w:ascii="黑体" w:hAnsi="黑体" w:eastAsia="黑体"/>
                <w:sz w:val="18"/>
                <w:szCs w:val="18"/>
              </w:rPr>
              <w:t>3.投资者已认真阅读并充分理解包括但不限于《</w:t>
            </w:r>
            <w:r>
              <w:rPr>
                <w:rFonts w:hint="eastAsia" w:ascii="黑体" w:hAnsi="黑体" w:eastAsia="黑体"/>
                <w:sz w:val="18"/>
                <w:szCs w:val="18"/>
              </w:rPr>
              <w:t>投资</w:t>
            </w:r>
            <w:r>
              <w:rPr>
                <w:rFonts w:hint="default" w:ascii="黑体" w:hAnsi="黑体" w:eastAsia="黑体"/>
                <w:sz w:val="18"/>
                <w:szCs w:val="18"/>
              </w:rPr>
              <w:t>协议书》</w:t>
            </w:r>
            <w:r>
              <w:rPr>
                <w:rFonts w:hint="eastAsia" w:ascii="黑体" w:hAnsi="黑体" w:eastAsia="黑体"/>
                <w:sz w:val="18"/>
                <w:szCs w:val="18"/>
              </w:rPr>
              <w:t>等全套理财产品销售文件</w:t>
            </w:r>
            <w:r>
              <w:rPr>
                <w:rFonts w:hint="default"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hint="default"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hint="default"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keepNext w:val="0"/>
              <w:keepLines w:val="0"/>
              <w:suppressLineNumbers w:val="0"/>
              <w:spacing w:before="0" w:beforeAutospacing="0" w:after="0" w:afterAutospacing="0" w:line="360" w:lineRule="auto"/>
              <w:ind w:left="0" w:right="0"/>
              <w:jc w:val="center"/>
              <w:rPr>
                <w:rFonts w:hint="default"/>
                <w:b/>
                <w:sz w:val="18"/>
                <w:szCs w:val="18"/>
              </w:rPr>
            </w:pPr>
            <w:r>
              <w:rPr>
                <w:rFonts w:hint="eastAsia"/>
                <w:b/>
                <w:sz w:val="18"/>
                <w:szCs w:val="18"/>
              </w:rPr>
              <w:t>投资者签署栏</w:t>
            </w:r>
          </w:p>
        </w:tc>
        <w:tc>
          <w:tcPr>
            <w:tcW w:w="851" w:type="dxa"/>
            <w:gridSpan w:val="2"/>
          </w:tcPr>
          <w:p>
            <w:pPr>
              <w:keepNext w:val="0"/>
              <w:keepLines w:val="0"/>
              <w:suppressLineNumbers w:val="0"/>
              <w:spacing w:before="0" w:beforeAutospacing="0" w:after="0" w:afterAutospacing="0" w:line="360" w:lineRule="auto"/>
              <w:ind w:left="0" w:right="0"/>
              <w:rPr>
                <w:rFonts w:hint="default"/>
                <w:sz w:val="18"/>
                <w:szCs w:val="18"/>
              </w:rPr>
            </w:pPr>
            <w:r>
              <w:rPr>
                <w:rFonts w:hint="eastAsia"/>
                <w:sz w:val="18"/>
                <w:szCs w:val="18"/>
              </w:rPr>
              <w:t>个人投资者适用</w:t>
            </w:r>
          </w:p>
        </w:tc>
        <w:tc>
          <w:tcPr>
            <w:tcW w:w="6998" w:type="dxa"/>
            <w:gridSpan w:val="2"/>
          </w:tcPr>
          <w:p>
            <w:pPr>
              <w:keepNext w:val="0"/>
              <w:keepLines w:val="0"/>
              <w:suppressLineNumbers w:val="0"/>
              <w:spacing w:before="0" w:beforeAutospacing="0" w:after="0" w:afterAutospacing="0" w:line="360" w:lineRule="auto"/>
              <w:ind w:left="0" w:right="0"/>
              <w:rPr>
                <w:rFonts w:hint="default"/>
                <w:sz w:val="18"/>
                <w:szCs w:val="18"/>
              </w:rPr>
            </w:pPr>
            <w:r>
              <w:rPr>
                <w:rFonts w:hint="eastAsia"/>
                <w:sz w:val="18"/>
                <w:szCs w:val="18"/>
              </w:rPr>
              <w:t>投资者（签名</w:t>
            </w:r>
            <w:r>
              <w:rPr>
                <w:rFonts w:hint="default"/>
                <w:sz w:val="18"/>
                <w:szCs w:val="18"/>
              </w:rPr>
              <w:t>/</w:t>
            </w:r>
            <w:r>
              <w:rPr>
                <w:rFonts w:hint="eastAsia"/>
                <w:sz w:val="18"/>
                <w:szCs w:val="18"/>
              </w:rPr>
              <w:t>线上确认）：</w:t>
            </w:r>
          </w:p>
          <w:p>
            <w:pPr>
              <w:keepNext w:val="0"/>
              <w:keepLines w:val="0"/>
              <w:suppressLineNumbers w:val="0"/>
              <w:spacing w:before="0" w:beforeAutospacing="0" w:after="0" w:afterAutospacing="0" w:line="360" w:lineRule="auto"/>
              <w:ind w:left="0" w:right="0"/>
              <w:rPr>
                <w:rFonts w:hint="default"/>
                <w:b/>
                <w:sz w:val="18"/>
                <w:szCs w:val="18"/>
              </w:rPr>
            </w:pPr>
          </w:p>
          <w:p>
            <w:pPr>
              <w:keepNext w:val="0"/>
              <w:keepLines w:val="0"/>
              <w:suppressLineNumbers w:val="0"/>
              <w:spacing w:before="0" w:beforeAutospacing="0" w:after="0" w:afterAutospacing="0" w:line="360" w:lineRule="auto"/>
              <w:ind w:left="0" w:right="0"/>
              <w:rPr>
                <w:rFonts w:hint="default"/>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keepNext w:val="0"/>
              <w:keepLines w:val="0"/>
              <w:suppressLineNumbers w:val="0"/>
              <w:spacing w:before="0" w:beforeAutospacing="0" w:after="0" w:afterAutospacing="0" w:line="360" w:lineRule="auto"/>
              <w:ind w:left="0" w:right="0"/>
              <w:rPr>
                <w:rFonts w:hint="default"/>
                <w:b/>
                <w:sz w:val="18"/>
                <w:szCs w:val="18"/>
              </w:rPr>
            </w:pPr>
          </w:p>
        </w:tc>
        <w:tc>
          <w:tcPr>
            <w:tcW w:w="851" w:type="dxa"/>
            <w:gridSpan w:val="2"/>
          </w:tcPr>
          <w:p>
            <w:pPr>
              <w:keepNext w:val="0"/>
              <w:keepLines w:val="0"/>
              <w:suppressLineNumbers w:val="0"/>
              <w:spacing w:before="0" w:beforeAutospacing="0" w:after="0" w:afterAutospacing="0" w:line="360" w:lineRule="auto"/>
              <w:ind w:left="0" w:right="0"/>
              <w:rPr>
                <w:rFonts w:hint="default"/>
                <w:sz w:val="18"/>
                <w:szCs w:val="18"/>
              </w:rPr>
            </w:pPr>
            <w:r>
              <w:rPr>
                <w:rFonts w:hint="eastAsia"/>
                <w:sz w:val="18"/>
                <w:szCs w:val="18"/>
              </w:rPr>
              <w:t>机构投资者适用</w:t>
            </w:r>
          </w:p>
        </w:tc>
        <w:tc>
          <w:tcPr>
            <w:tcW w:w="6998" w:type="dxa"/>
            <w:gridSpan w:val="2"/>
          </w:tcPr>
          <w:p>
            <w:pPr>
              <w:keepNext w:val="0"/>
              <w:keepLines w:val="0"/>
              <w:suppressLineNumbers w:val="0"/>
              <w:spacing w:before="0" w:beforeAutospacing="0" w:after="0" w:afterAutospacing="0" w:line="360" w:lineRule="auto"/>
              <w:ind w:left="0" w:right="0"/>
              <w:rPr>
                <w:rFonts w:hint="default" w:cs="Arial"/>
                <w:sz w:val="18"/>
                <w:szCs w:val="18"/>
              </w:rPr>
            </w:pPr>
            <w:r>
              <w:rPr>
                <w:rFonts w:hint="eastAsia"/>
                <w:sz w:val="18"/>
                <w:szCs w:val="18"/>
              </w:rPr>
              <w:t>投资者</w:t>
            </w:r>
            <w:r>
              <w:rPr>
                <w:rFonts w:hint="eastAsia" w:cs="Arial"/>
                <w:sz w:val="18"/>
                <w:szCs w:val="18"/>
              </w:rPr>
              <w:t>（盖章</w:t>
            </w:r>
            <w:r>
              <w:rPr>
                <w:rFonts w:hint="default"/>
                <w:sz w:val="18"/>
                <w:szCs w:val="18"/>
              </w:rPr>
              <w:t>/</w:t>
            </w:r>
            <w:r>
              <w:rPr>
                <w:rFonts w:hint="eastAsia"/>
                <w:sz w:val="18"/>
                <w:szCs w:val="18"/>
              </w:rPr>
              <w:t>线上确认</w:t>
            </w:r>
            <w:r>
              <w:rPr>
                <w:rFonts w:hint="eastAsia" w:cs="Arial"/>
                <w:sz w:val="18"/>
                <w:szCs w:val="18"/>
              </w:rPr>
              <w:t>）：</w:t>
            </w:r>
          </w:p>
          <w:p>
            <w:pPr>
              <w:keepNext w:val="0"/>
              <w:keepLines w:val="0"/>
              <w:suppressLineNumbers w:val="0"/>
              <w:spacing w:before="0" w:beforeAutospacing="0" w:after="0" w:afterAutospacing="0" w:line="360" w:lineRule="auto"/>
              <w:ind w:left="0" w:right="0"/>
              <w:rPr>
                <w:rFonts w:hint="default" w:cs="Arial"/>
                <w:sz w:val="18"/>
                <w:szCs w:val="18"/>
              </w:rPr>
            </w:pPr>
          </w:p>
          <w:p>
            <w:pPr>
              <w:keepNext w:val="0"/>
              <w:keepLines w:val="0"/>
              <w:suppressLineNumbers w:val="0"/>
              <w:spacing w:before="0" w:beforeAutospacing="0" w:after="0" w:afterAutospacing="0" w:line="360" w:lineRule="auto"/>
              <w:ind w:left="0" w:right="0"/>
              <w:rPr>
                <w:rFonts w:hint="default"/>
                <w:b/>
                <w:sz w:val="18"/>
                <w:szCs w:val="18"/>
              </w:rPr>
            </w:pPr>
            <w:r>
              <w:rPr>
                <w:rFonts w:hint="eastAsia" w:cs="Arial"/>
                <w:sz w:val="18"/>
                <w:szCs w:val="18"/>
              </w:rPr>
              <w:t>投资者法定代表人或授权代理人（签名</w:t>
            </w:r>
            <w:r>
              <w:rPr>
                <w:rFonts w:hint="default" w:cs="Arial"/>
                <w:sz w:val="18"/>
                <w:szCs w:val="18"/>
              </w:rPr>
              <w:t>/</w:t>
            </w:r>
            <w:r>
              <w:rPr>
                <w:rFonts w:hint="eastAsia" w:cs="Arial"/>
                <w:sz w:val="18"/>
                <w:szCs w:val="18"/>
              </w:rPr>
              <w:t>盖章</w:t>
            </w:r>
            <w:r>
              <w:rPr>
                <w:rFonts w:hint="default" w:cs="Arial"/>
                <w:sz w:val="18"/>
                <w:szCs w:val="18"/>
              </w:rPr>
              <w:t>/</w:t>
            </w:r>
            <w:r>
              <w:rPr>
                <w:rFonts w:hint="eastAsia"/>
                <w:sz w:val="18"/>
                <w:szCs w:val="18"/>
              </w:rPr>
              <w:t>线上确认</w:t>
            </w:r>
            <w:r>
              <w:rPr>
                <w:rFonts w:hint="eastAsia" w:cs="Arial"/>
                <w:sz w:val="18"/>
                <w:szCs w:val="18"/>
              </w:rPr>
              <w:t>）：</w:t>
            </w:r>
          </w:p>
          <w:p>
            <w:pPr>
              <w:keepNext w:val="0"/>
              <w:keepLines w:val="0"/>
              <w:suppressLineNumbers w:val="0"/>
              <w:spacing w:before="0" w:beforeAutospacing="0" w:after="0" w:afterAutospacing="0" w:line="360" w:lineRule="auto"/>
              <w:ind w:left="0" w:right="0"/>
              <w:rPr>
                <w:rFonts w:hint="default"/>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val="en-US" w:eastAsia="zh-CN"/>
        </w:rPr>
        <w:t>稳利恒盈封闭式固收类</w:t>
      </w:r>
      <w:r>
        <w:rPr>
          <w:rFonts w:hint="eastAsia" w:ascii="黑体" w:hAnsi="黑体" w:eastAsia="黑体"/>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【2025】年【12】月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【兴银理财稳利恒盈封闭式2025年583期固收类理财产品】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【稳利恒盈封闭2025年583期26M(纯盈颐养款)B】 (适用【B】类份额)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【稳利恒盈封闭2025年583期26M(纯盈颐养款)C】 (适用【C】类份额)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【稳利恒盈封闭2025年583期26M(纯盈颐养款)D】 (适用【D】类份额)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【稳利恒盈封闭2025年583期26M(纯盈颐养款</w:t>
            </w:r>
            <w:r>
              <w:rPr>
                <w:rFonts w:hint="eastAsia" w:ascii="宋体" w:hAnsi="宋体" w:cs="宋体"/>
                <w:sz w:val="18"/>
                <w:szCs w:val="22"/>
                <w:lang w:val="en-US" w:eastAsia="zh-CN"/>
              </w:rPr>
              <w:t>)</w:t>
            </w:r>
            <w:r>
              <w:rPr>
                <w:rFonts w:hint="default" w:ascii="宋体" w:hAnsi="宋体" w:eastAsia="宋体" w:cs="宋体"/>
                <w:sz w:val="18"/>
                <w:szCs w:val="22"/>
              </w:rPr>
              <w:t>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Z7002025001686</w:t>
            </w:r>
            <w:r>
              <w:rPr>
                <w:rFonts w:hint="eastAsia" w:ascii="宋体" w:hAnsi="宋体" w:cs="宋体"/>
                <w:bCs/>
                <w:color w:val="auto"/>
                <w:sz w:val="18"/>
                <w:szCs w:val="18"/>
              </w:rPr>
              <w:t>】注：投资者可依据理财产品登记编码在中国理财网查询产品信息</w:t>
            </w:r>
            <w:r>
              <w:rPr>
                <w:rFonts w:hint="default" w:ascii="Calibri" w:hAnsi="Calibri" w:cs="宋体"/>
                <w:color w:val="auto"/>
                <w:szCs w:val="22"/>
              </w:rPr>
              <w:fldChar w:fldCharType="begin"/>
            </w:r>
            <w:r>
              <w:rPr>
                <w:rFonts w:hint="default" w:ascii="Calibri" w:hAnsi="Calibri" w:cs="宋体"/>
                <w:color w:val="auto"/>
                <w:szCs w:val="22"/>
              </w:rPr>
              <w:instrText xml:space="preserve"> HYPERLINK "http://www.chinawealth.com.cn" </w:instrText>
            </w:r>
            <w:r>
              <w:rPr>
                <w:rFonts w:hint="default" w:ascii="Calibri" w:hAnsi="Calibri" w:cs="宋体"/>
                <w:color w:val="auto"/>
                <w:szCs w:val="22"/>
              </w:rPr>
              <w:fldChar w:fldCharType="separate"/>
            </w:r>
            <w:r>
              <w:rPr>
                <w:rFonts w:hint="default" w:ascii="宋体" w:hAnsi="宋体" w:cs="宋体"/>
                <w:bCs/>
                <w:color w:val="auto"/>
                <w:sz w:val="18"/>
                <w:szCs w:val="18"/>
              </w:rPr>
              <w:t>www.chinawealth.com.cn</w:t>
            </w:r>
            <w:r>
              <w:rPr>
                <w:rFonts w:hint="default" w:ascii="宋体" w:hAnsi="宋体" w:cs="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【9N255830】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【9N25583B】 (适用【B】类份额)</w:t>
            </w:r>
            <w:r>
              <w:rPr>
                <w:rFonts w:hint="default" w:ascii="宋体" w:hAnsi="宋体" w:eastAsia="宋体" w:cs="宋体"/>
                <w:sz w:val="18"/>
                <w:szCs w:val="22"/>
              </w:rPr>
              <w:br w:type="textWrapping"/>
            </w:r>
            <w:r>
              <w:rPr>
                <w:rFonts w:hint="default" w:ascii="宋体" w:hAnsi="宋体" w:eastAsia="宋体" w:cs="宋体"/>
                <w:sz w:val="18"/>
                <w:szCs w:val="22"/>
              </w:rPr>
              <w:t>【9N25583C】 (适用【C】类份额)</w:t>
            </w:r>
            <w:r>
              <w:rPr>
                <w:rFonts w:hint="default" w:ascii="宋体" w:hAnsi="宋体" w:eastAsia="宋体" w:cs="宋体"/>
                <w:sz w:val="18"/>
                <w:szCs w:val="22"/>
              </w:rPr>
              <w:br w:type="textWrapping"/>
            </w:r>
            <w:r>
              <w:rPr>
                <w:rFonts w:hint="default" w:ascii="宋体" w:hAnsi="宋体" w:eastAsia="宋体" w:cs="宋体"/>
                <w:sz w:val="18"/>
                <w:szCs w:val="22"/>
              </w:rPr>
              <w:t>【9N25583D】 (适用【D】类份额)</w:t>
            </w:r>
            <w:r>
              <w:rPr>
                <w:rFonts w:hint="default" w:ascii="宋体" w:hAnsi="宋体" w:eastAsia="宋体" w:cs="宋体"/>
                <w:sz w:val="18"/>
                <w:szCs w:val="22"/>
              </w:rPr>
              <w:br w:type="textWrapping"/>
            </w:r>
            <w:r>
              <w:rPr>
                <w:rFonts w:hint="default" w:ascii="宋体" w:hAnsi="宋体" w:eastAsia="宋体" w:cs="宋体"/>
                <w:sz w:val="18"/>
                <w:szCs w:val="22"/>
              </w:rPr>
              <w:t>【9N25583E】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5</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■有固定期限:【796天】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【2025年12月10日】【09:00】至【2025年12月18日】【17:00】。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【2025年12月19日】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【2028年02月23日】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hint="default"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hint="default" w:ascii="黑体" w:hAnsi="黑体" w:eastAsia="黑体" w:cs="宋体"/>
                <w:color w:val="000000"/>
                <w:sz w:val="18"/>
                <w:szCs w:val="18"/>
                <w:lang w:val="en-US" w:eastAsia="zh-CN" w:bidi="ar-SA"/>
              </w:rPr>
              <w:t>50%。</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hint="default"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eastAsia" w:ascii="黑体" w:hAnsi="黑体" w:eastAsia="黑体" w:cs="宋体"/>
                <w:color w:val="000000"/>
                <w:sz w:val="18"/>
                <w:szCs w:val="18"/>
              </w:rPr>
              <w:t>（</w:t>
            </w:r>
            <w:r>
              <w:rPr>
                <w:rFonts w:hint="default"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（1）业绩比较基准的说明：【根据本产品各类资产的拟投资比例、资产信用利差、久期敞口以及流动性溢价，结合当前宏观环境和各类资产价格所处的位置，参考历史经验和回测结果，设定业绩基准】。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年化【2.57%】。（适用【B】类份额)</w:t>
            </w:r>
            <w:r>
              <w:rPr>
                <w:rFonts w:hint="default" w:ascii="宋体" w:hAnsi="宋体" w:eastAsia="宋体" w:cs="宋体"/>
                <w:sz w:val="18"/>
                <w:szCs w:val="22"/>
              </w:rPr>
              <w:br w:type="textWrapping"/>
            </w:r>
            <w:r>
              <w:rPr>
                <w:rFonts w:hint="default" w:ascii="宋体" w:hAnsi="宋体" w:eastAsia="宋体" w:cs="宋体"/>
                <w:sz w:val="18"/>
                <w:szCs w:val="22"/>
              </w:rPr>
              <w:t>年化【2.52%】。（适用【C】类份额)</w:t>
            </w:r>
            <w:r>
              <w:rPr>
                <w:rFonts w:hint="default" w:ascii="宋体" w:hAnsi="宋体" w:eastAsia="宋体" w:cs="宋体"/>
                <w:sz w:val="18"/>
                <w:szCs w:val="22"/>
              </w:rPr>
              <w:br w:type="textWrapping"/>
            </w:r>
            <w:r>
              <w:rPr>
                <w:rFonts w:hint="default" w:ascii="宋体" w:hAnsi="宋体" w:eastAsia="宋体" w:cs="宋体"/>
                <w:sz w:val="18"/>
                <w:szCs w:val="22"/>
              </w:rPr>
              <w:t>年化【2.42%】。（适用【D】类份额)</w:t>
            </w:r>
            <w:r>
              <w:rPr>
                <w:rFonts w:hint="default" w:ascii="宋体" w:hAnsi="宋体" w:eastAsia="宋体" w:cs="宋体"/>
                <w:sz w:val="18"/>
                <w:szCs w:val="22"/>
              </w:rPr>
              <w:br w:type="textWrapping"/>
            </w:r>
            <w:r>
              <w:rPr>
                <w:rFonts w:hint="default" w:ascii="宋体" w:hAnsi="宋体" w:eastAsia="宋体" w:cs="宋体"/>
                <w:sz w:val="18"/>
                <w:szCs w:val="22"/>
              </w:rPr>
              <w:t>年化【2.32%】。（适用【E】类份额)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年化【2.57%】。（适用【B】类份额)</w:t>
            </w:r>
            <w:r>
              <w:rPr>
                <w:rFonts w:hint="default" w:ascii="宋体" w:hAnsi="宋体" w:eastAsia="宋体" w:cs="宋体"/>
                <w:sz w:val="18"/>
                <w:szCs w:val="22"/>
              </w:rPr>
              <w:br w:type="textWrapping"/>
            </w:r>
            <w:r>
              <w:rPr>
                <w:rFonts w:hint="default" w:ascii="宋体" w:hAnsi="宋体" w:eastAsia="宋体" w:cs="宋体"/>
                <w:sz w:val="18"/>
                <w:szCs w:val="22"/>
              </w:rPr>
              <w:t>年化【2.52%】。（适用【C】类份额)</w:t>
            </w:r>
            <w:r>
              <w:rPr>
                <w:rFonts w:hint="default" w:ascii="宋体" w:hAnsi="宋体" w:eastAsia="宋体" w:cs="宋体"/>
                <w:sz w:val="18"/>
                <w:szCs w:val="22"/>
              </w:rPr>
              <w:br w:type="textWrapping"/>
            </w:r>
            <w:r>
              <w:rPr>
                <w:rFonts w:hint="default" w:ascii="宋体" w:hAnsi="宋体" w:eastAsia="宋体" w:cs="宋体"/>
                <w:sz w:val="18"/>
                <w:szCs w:val="22"/>
              </w:rPr>
              <w:t>年化【2.42%】。（适用【D】类份额)</w:t>
            </w:r>
            <w:r>
              <w:rPr>
                <w:rFonts w:hint="default" w:ascii="宋体" w:hAnsi="宋体" w:eastAsia="宋体" w:cs="宋体"/>
                <w:sz w:val="18"/>
                <w:szCs w:val="22"/>
              </w:rPr>
              <w:br w:type="textWrapping"/>
            </w:r>
            <w:r>
              <w:rPr>
                <w:rFonts w:hint="default" w:ascii="宋体" w:hAnsi="宋体" w:eastAsia="宋体" w:cs="宋体"/>
                <w:sz w:val="18"/>
                <w:szCs w:val="22"/>
              </w:rPr>
              <w:t>年化【2.32%】。（适用【E】类份额)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年化费率【0.3%】。（适用【E】类份额）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27226"/>
      <w:bookmarkStart w:id="78" w:name="_Toc16265"/>
      <w:bookmarkStart w:id="79" w:name="_Toc6714"/>
      <w:bookmarkStart w:id="80" w:name="_Toc90742390"/>
      <w:bookmarkStart w:id="81" w:name="_Toc90742321"/>
      <w:bookmarkStart w:id="82" w:name="_Toc79154668"/>
      <w:bookmarkStart w:id="83" w:name="_Toc29948"/>
      <w:bookmarkStart w:id="84" w:name="_Toc22074"/>
      <w:bookmarkStart w:id="85" w:name="_Toc90742688"/>
      <w:bookmarkStart w:id="86" w:name="_Toc29784"/>
      <w:bookmarkStart w:id="87" w:name="_Toc74065741"/>
      <w:bookmarkStart w:id="88" w:name="_Toc3266"/>
      <w:bookmarkStart w:id="89" w:name="_Toc7151"/>
      <w:bookmarkStart w:id="90" w:name="_Toc27189"/>
      <w:bookmarkStart w:id="91" w:name="_Toc1520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szCs w:val="22"/>
        </w:rPr>
        <w:br w:type="textWrapping"/>
      </w:r>
      <w:r>
        <w:rPr>
          <w:rFonts w:ascii="宋体" w:hAnsi="宋体" w:eastAsia="宋体" w:cs="宋体"/>
          <w:sz w:val="18"/>
          <w:szCs w:val="22"/>
        </w:rPr>
        <w:t>（3）符合监管要求的债权类资产。</w:t>
      </w:r>
      <w:r>
        <w:rPr>
          <w:rFonts w:ascii="宋体" w:hAnsi="宋体" w:eastAsia="宋体" w:cs="宋体"/>
          <w:sz w:val="18"/>
          <w:szCs w:val="22"/>
        </w:rPr>
        <w:br w:type="textWrapping"/>
      </w:r>
      <w:r>
        <w:rPr>
          <w:rFonts w:ascii="宋体" w:hAnsi="宋体" w:eastAsia="宋体" w:cs="宋体"/>
          <w:sz w:val="18"/>
          <w:szCs w:val="22"/>
        </w:rPr>
        <w:t>（4）以套期保值为目的的国债期货、利率互换、信用风险缓释工具、债券借贷。</w:t>
      </w:r>
      <w:r>
        <w:rPr>
          <w:rFonts w:ascii="宋体" w:hAnsi="宋体" w:eastAsia="宋体" w:cs="宋体"/>
          <w:sz w:val="18"/>
          <w:szCs w:val="22"/>
        </w:rPr>
        <w:br w:type="textWrapping"/>
      </w:r>
      <w:r>
        <w:rPr>
          <w:rFonts w:ascii="宋体" w:hAnsi="宋体" w:eastAsia="宋体" w:cs="宋体"/>
          <w:sz w:val="18"/>
          <w:szCs w:val="22"/>
        </w:rPr>
        <w:t>（5）优先股。</w:t>
      </w:r>
      <w:r>
        <w:rPr>
          <w:rFonts w:ascii="宋体" w:hAnsi="宋体" w:eastAsia="宋体" w:cs="宋体"/>
          <w:sz w:val="18"/>
          <w:szCs w:val="22"/>
        </w:rPr>
        <w:br w:type="textWrapping"/>
      </w:r>
      <w:r>
        <w:rPr>
          <w:rFonts w:ascii="宋体" w:hAnsi="宋体" w:eastAsia="宋体" w:cs="宋体"/>
          <w:sz w:val="18"/>
          <w:szCs w:val="22"/>
        </w:rPr>
        <w:t>（6）结构化资产管理产品的优先级份额。</w:t>
      </w:r>
      <w:r>
        <w:rPr>
          <w:rFonts w:ascii="宋体" w:hAnsi="宋体" w:eastAsia="宋体" w:cs="宋体"/>
          <w:sz w:val="18"/>
          <w:szCs w:val="22"/>
        </w:rPr>
        <w:br w:type="textWrapping"/>
      </w:r>
      <w:r>
        <w:rPr>
          <w:rFonts w:ascii="宋体" w:hAnsi="宋体" w:eastAsia="宋体" w:cs="宋体"/>
          <w:sz w:val="18"/>
          <w:szCs w:val="22"/>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（8）其他风险不高于前述资产的资产。</w:t>
      </w:r>
      <w:r>
        <w:rPr>
          <w:rFonts w:ascii="宋体" w:hAnsi="宋体" w:eastAsia="宋体" w:cs="宋体"/>
          <w:sz w:val="18"/>
          <w:szCs w:val="22"/>
        </w:rPr>
        <w:br w:type="textWrapping"/>
      </w: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（2）国债期货、利率互换、信用风险缓释工具等衍生品占产品总资产比例低于20%。</w:t>
      </w:r>
      <w:r>
        <w:rPr>
          <w:rFonts w:ascii="宋体" w:hAnsi="宋体" w:eastAsia="宋体" w:cs="宋体"/>
          <w:sz w:val="18"/>
          <w:szCs w:val="22"/>
        </w:rPr>
        <w:br w:type="textWrapping"/>
      </w:r>
      <w:r>
        <w:rPr>
          <w:rFonts w:ascii="宋体" w:hAnsi="宋体" w:eastAsia="宋体" w:cs="宋体"/>
          <w:sz w:val="18"/>
          <w:szCs w:val="22"/>
        </w:rPr>
        <w:t>（3）投资于权益类资产的比例不高于产品总资产的10%，权益类资产仅限于投资于优先股和结构化资产管理产品的优先级份额。</w:t>
      </w:r>
      <w:r>
        <w:rPr>
          <w:rFonts w:ascii="宋体" w:hAnsi="宋体" w:eastAsia="宋体" w:cs="宋体"/>
          <w:sz w:val="18"/>
          <w:szCs w:val="22"/>
        </w:rPr>
        <w:br w:type="textWrapping"/>
      </w:r>
      <w:r>
        <w:rPr>
          <w:rFonts w:ascii="宋体" w:hAnsi="宋体" w:eastAsia="宋体" w:cs="宋体"/>
          <w:sz w:val="18"/>
          <w:szCs w:val="22"/>
        </w:rPr>
        <w:t>（4）符合监管要求的非标准化债权类资产低于产品净资产的50%。</w:t>
      </w:r>
      <w:r>
        <w:rPr>
          <w:rFonts w:ascii="宋体" w:hAnsi="宋体" w:eastAsia="宋体" w:cs="宋体"/>
          <w:sz w:val="18"/>
          <w:szCs w:val="22"/>
        </w:rPr>
        <w:br w:type="textWrapping"/>
      </w:r>
      <w:r>
        <w:rPr>
          <w:rFonts w:ascii="宋体" w:hAnsi="宋体" w:eastAsia="宋体" w:cs="宋体"/>
          <w:b/>
          <w:bCs/>
          <w:sz w:val="18"/>
          <w:szCs w:val="22"/>
        </w:rPr>
        <w:t>注：本产品可能投资不存在活跃交易市场，并且需要采用估值技术确定公允价值的资产，且投资上述资产的比例达到理财产品净资产50%以上。</w:t>
      </w:r>
      <w:r>
        <w:rPr>
          <w:rFonts w:ascii="宋体" w:hAnsi="宋体" w:eastAsia="宋体" w:cs="宋体"/>
          <w:sz w:val="18"/>
          <w:szCs w:val="22"/>
        </w:rPr>
        <w:br w:type="textWrapping"/>
      </w:r>
      <w:r>
        <w:rPr>
          <w:rFonts w:ascii="宋体" w:hAnsi="宋体" w:eastAsia="宋体" w:cs="宋体"/>
          <w:sz w:val="18"/>
          <w:szCs w:val="22"/>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hint="eastAsia" w:ascii="宋体" w:hAnsi="宋体" w:eastAsia="宋体" w:cs="宋体"/>
          <w:bCs/>
          <w:sz w:val="18"/>
          <w:szCs w:val="18"/>
        </w:rPr>
      </w:pPr>
      <w:r>
        <w:rPr>
          <w:rFonts w:ascii="宋体" w:hAnsi="宋体" w:eastAsia="宋体" w:cs="宋体"/>
          <w:sz w:val="18"/>
          <w:szCs w:val="22"/>
        </w:rPr>
        <w:t>（1）每只公募理财产品投资单只证券或者单只公募证券投资基金的市值不得超过该理财产品净资产的10%。</w:t>
      </w:r>
      <w:r>
        <w:rPr>
          <w:rFonts w:ascii="宋体" w:hAnsi="宋体" w:eastAsia="宋体" w:cs="宋体"/>
          <w:sz w:val="18"/>
          <w:szCs w:val="22"/>
        </w:rPr>
        <w:br w:type="textWrapping"/>
      </w:r>
      <w:r>
        <w:rPr>
          <w:rFonts w:ascii="宋体" w:hAnsi="宋体" w:eastAsia="宋体" w:cs="宋体"/>
          <w:sz w:val="18"/>
          <w:szCs w:val="22"/>
        </w:rPr>
        <w:t>（2）全部公募理财产品持有单只证券或单只公募证券投资基金的市值，不得超过该证券市值或该公募证券投资基金市值的30%。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ascii="宋体" w:hAnsi="宋体" w:eastAsia="宋体" w:cs="宋体"/>
          <w:sz w:val="18"/>
          <w:szCs w:val="22"/>
        </w:rPr>
        <w:t>（3）全部理财产品持有单一上市公司发行的股票，不得超过该上市公司可流通股票的30%。</w:t>
      </w:r>
      <w:r>
        <w:rPr>
          <w:rFonts w:ascii="宋体" w:hAnsi="宋体" w:eastAsia="宋体" w:cs="宋体"/>
          <w:sz w:val="18"/>
          <w:szCs w:val="22"/>
        </w:rPr>
        <w:br w:type="textWrapping"/>
      </w:r>
      <w:r>
        <w:rPr>
          <w:rFonts w:ascii="宋体" w:hAnsi="宋体" w:eastAsia="宋体" w:cs="宋体"/>
          <w:sz w:val="18"/>
          <w:szCs w:val="22"/>
        </w:rPr>
        <w:t xml:space="preserve">（4）全部开放式公募理财产品投资单一上市公司发行的股票不得超过该上市公司可流通股票的15%。 </w:t>
      </w:r>
      <w:r>
        <w:rPr>
          <w:rFonts w:ascii="宋体" w:hAnsi="宋体" w:eastAsia="宋体" w:cs="宋体"/>
          <w:sz w:val="18"/>
          <w:szCs w:val="22"/>
        </w:rPr>
        <w:br w:type="textWrapping"/>
      </w:r>
      <w:r>
        <w:rPr>
          <w:rFonts w:ascii="宋体" w:hAnsi="宋体" w:eastAsia="宋体" w:cs="宋体"/>
          <w:sz w:val="18"/>
          <w:szCs w:val="22"/>
        </w:rPr>
        <w:t>（5）本产品因为流动性需要可开展存单质押、债券正回购等融资业务，本产品总资产不超过净资产的200%。</w:t>
      </w:r>
      <w:r>
        <w:rPr>
          <w:rFonts w:ascii="宋体" w:hAnsi="宋体" w:eastAsia="宋体" w:cs="宋体"/>
          <w:sz w:val="18"/>
          <w:szCs w:val="22"/>
        </w:rPr>
        <w:br w:type="textWrapping"/>
      </w:r>
      <w:r>
        <w:rPr>
          <w:rFonts w:ascii="宋体" w:hAnsi="宋体" w:eastAsia="宋体" w:cs="宋体"/>
          <w:sz w:val="18"/>
          <w:szCs w:val="22"/>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color w:val="000000"/>
          <w:sz w:val="18"/>
          <w:szCs w:val="24"/>
          <w:lang w:val="en-US" w:eastAsia="zh-CN" w:bidi="ar-SA"/>
        </w:rPr>
        <w:t>【通过对经济基本面、企业盈利、无风险利率水平、资金面等因素进行定性和定量分析，根据产品的业绩目标和回撤目标制定各个阶段产品资产投资比例。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526"/>
      <w:bookmarkStart w:id="94" w:name="_Toc176189758"/>
      <w:bookmarkStart w:id="95" w:name="_Toc79154669"/>
      <w:bookmarkStart w:id="96" w:name="_Toc21988"/>
      <w:bookmarkStart w:id="97" w:name="_Toc18797"/>
      <w:bookmarkStart w:id="98" w:name="_Toc1823"/>
      <w:bookmarkStart w:id="99" w:name="_Toc18329"/>
      <w:bookmarkStart w:id="100" w:name="_Toc4741"/>
      <w:bookmarkStart w:id="101" w:name="_Toc139991735"/>
      <w:bookmarkStart w:id="102" w:name="_Toc14893"/>
      <w:bookmarkStart w:id="103" w:name="_Toc74065742"/>
      <w:bookmarkStart w:id="104" w:name="_Toc7848"/>
      <w:bookmarkStart w:id="105" w:name="_Toc26986"/>
      <w:bookmarkStart w:id="106" w:name="_Toc141703885"/>
      <w:bookmarkStart w:id="107" w:name="_Toc17912"/>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23112234"/>
      <w:bookmarkStart w:id="110" w:name="_Toc123102453"/>
      <w:bookmarkStart w:id="111" w:name="_Toc17244"/>
      <w:bookmarkStart w:id="112" w:name="_Toc10463"/>
      <w:bookmarkStart w:id="113" w:name="_Toc123051452"/>
      <w:bookmarkStart w:id="114" w:name="_Toc23822"/>
      <w:bookmarkStart w:id="115" w:name="_Toc141703886"/>
      <w:bookmarkStart w:id="116" w:name="_Toc610"/>
      <w:bookmarkStart w:id="117" w:name="_Toc7920"/>
      <w:bookmarkStart w:id="118" w:name="_Toc79392606"/>
      <w:bookmarkStart w:id="119" w:name="_Toc4003"/>
      <w:bookmarkStart w:id="120" w:name="_Toc79154670"/>
      <w:bookmarkStart w:id="121" w:name="_Toc176189759"/>
      <w:bookmarkStart w:id="122" w:name="_Toc20733"/>
      <w:bookmarkStart w:id="123" w:name="_Toc1427"/>
      <w:bookmarkStart w:id="124" w:name="_Toc48649707"/>
      <w:bookmarkStart w:id="125" w:name="_Toc139991736"/>
      <w:bookmarkStart w:id="126" w:name="_Toc23261"/>
      <w:bookmarkStart w:id="127" w:name="_Toc74065743"/>
      <w:bookmarkStart w:id="128" w:name="_Toc98560352"/>
      <w:bookmarkStart w:id="129" w:name="_Toc12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98560353"/>
      <w:bookmarkStart w:id="132" w:name="_Toc79154671"/>
      <w:bookmarkStart w:id="133" w:name="_Toc141703887"/>
      <w:bookmarkStart w:id="134" w:name="_Toc176189760"/>
      <w:bookmarkStart w:id="135" w:name="_Toc31653"/>
      <w:bookmarkStart w:id="136" w:name="_Toc14835"/>
      <w:bookmarkStart w:id="137" w:name="_Toc3601"/>
      <w:bookmarkStart w:id="138" w:name="_Toc123051453"/>
      <w:bookmarkStart w:id="139" w:name="_Toc123102454"/>
      <w:bookmarkStart w:id="140" w:name="_Toc29251"/>
      <w:bookmarkStart w:id="141" w:name="_Toc139991737"/>
      <w:bookmarkStart w:id="142" w:name="_Toc6405"/>
      <w:bookmarkStart w:id="143" w:name="_Toc123112235"/>
      <w:bookmarkStart w:id="144" w:name="_Toc31644"/>
      <w:bookmarkStart w:id="145" w:name="_Toc15143"/>
      <w:bookmarkStart w:id="146" w:name="_Toc74065744"/>
      <w:bookmarkStart w:id="147" w:name="_Toc31235"/>
      <w:bookmarkStart w:id="148" w:name="_Toc26207"/>
      <w:bookmarkStart w:id="149" w:name="_Toc1224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23711668"/>
      <w:bookmarkStart w:id="153" w:name="_Toc15118234"/>
      <w:bookmarkStart w:id="154" w:name="_Toc57530239"/>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23112236"/>
      <w:bookmarkStart w:id="158" w:name="_Toc176189761"/>
      <w:bookmarkStart w:id="159" w:name="_Toc11030"/>
      <w:bookmarkStart w:id="160" w:name="_Toc3771"/>
      <w:bookmarkStart w:id="161" w:name="_Toc3321"/>
      <w:bookmarkStart w:id="162" w:name="_Toc139991738"/>
      <w:bookmarkStart w:id="163" w:name="_Toc123102455"/>
      <w:bookmarkStart w:id="164" w:name="_Toc79154672"/>
      <w:bookmarkStart w:id="165" w:name="_Toc74065745"/>
      <w:bookmarkStart w:id="166" w:name="_Toc18567"/>
      <w:bookmarkStart w:id="167" w:name="_Toc25783"/>
      <w:bookmarkStart w:id="168" w:name="_Toc79392583"/>
      <w:bookmarkStart w:id="169" w:name="_Toc98560354"/>
      <w:bookmarkStart w:id="170" w:name="_Toc10650"/>
      <w:bookmarkStart w:id="171" w:name="_Toc9706"/>
      <w:bookmarkStart w:id="172" w:name="_Toc141703888"/>
      <w:bookmarkStart w:id="173" w:name="_Toc6447"/>
      <w:bookmarkStart w:id="174" w:name="_Toc4559"/>
      <w:bookmarkStart w:id="175" w:name="_Toc7058"/>
      <w:bookmarkStart w:id="176" w:name="_Toc123051454"/>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业绩报酬计提基准的设置、超额业绩报酬的具体比例数值以《</w:t>
      </w:r>
      <w:r>
        <w:rPr>
          <w:rFonts w:hint="eastAsia" w:ascii="黑体" w:hAnsi="黑体" w:eastAsia="黑体" w:cs="黑体"/>
          <w:bCs/>
          <w:sz w:val="18"/>
          <w:szCs w:val="18"/>
        </w:rPr>
        <w:t>产品说明</w:t>
      </w:r>
      <w:r>
        <w:rPr>
          <w:rFonts w:hint="eastAsia" w:ascii="黑体" w:hAnsi="黑体" w:eastAsia="黑体" w:cs="黑体"/>
          <w:sz w:val="18"/>
          <w:szCs w:val="18"/>
        </w:rPr>
        <w:t>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1）收取超额业绩报酬的原则：</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2）超额业绩报酬计提方法</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②超额业绩报酬计提日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每份产品份额超额业绩报酬每日计提，产品终止日结算。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③超额业绩报酬的计算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当R≤当前业绩报酬计提基准，超额业绩报酬=0；</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051455"/>
      <w:bookmarkStart w:id="180" w:name="_Toc141703889"/>
      <w:bookmarkStart w:id="181" w:name="_Toc123102456"/>
      <w:bookmarkStart w:id="182" w:name="_Toc139991739"/>
      <w:bookmarkStart w:id="183" w:name="_Toc21735"/>
      <w:bookmarkStart w:id="184" w:name="_Toc123112237"/>
      <w:bookmarkStart w:id="185" w:name="_Toc10398"/>
      <w:bookmarkStart w:id="186" w:name="_Toc3080"/>
      <w:bookmarkStart w:id="187" w:name="_Toc31821"/>
      <w:bookmarkStart w:id="188" w:name="_Toc79154673"/>
      <w:bookmarkStart w:id="189" w:name="_Toc16164"/>
      <w:bookmarkStart w:id="190" w:name="_Toc176189762"/>
      <w:bookmarkStart w:id="191" w:name="_Toc3572"/>
      <w:bookmarkStart w:id="192" w:name="_Toc74065746"/>
      <w:bookmarkStart w:id="193" w:name="_Toc98560355"/>
      <w:bookmarkStart w:id="194" w:name="_Toc725"/>
      <w:bookmarkStart w:id="195" w:name="_Toc18206"/>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23102457"/>
      <w:bookmarkStart w:id="200" w:name="_Toc79392622"/>
      <w:bookmarkStart w:id="201" w:name="_Toc74065747"/>
      <w:bookmarkStart w:id="202" w:name="_Toc123051456"/>
      <w:bookmarkStart w:id="203" w:name="_Toc141703890"/>
      <w:bookmarkStart w:id="204" w:name="_Toc8791"/>
      <w:bookmarkStart w:id="205" w:name="_Toc123112238"/>
      <w:bookmarkStart w:id="206" w:name="_Toc739"/>
      <w:bookmarkStart w:id="207" w:name="_Toc17920"/>
      <w:bookmarkStart w:id="208" w:name="_Toc32092"/>
      <w:bookmarkStart w:id="209" w:name="_Toc79154674"/>
      <w:bookmarkStart w:id="210" w:name="_Toc48649708"/>
      <w:bookmarkStart w:id="211" w:name="_Toc32584"/>
      <w:bookmarkStart w:id="212" w:name="_Toc176189763"/>
      <w:bookmarkStart w:id="213" w:name="_Toc17198"/>
      <w:bookmarkStart w:id="214" w:name="_Toc5170"/>
      <w:bookmarkStart w:id="215" w:name="_Toc29408"/>
      <w:bookmarkStart w:id="216" w:name="_Toc98560356"/>
      <w:bookmarkStart w:id="217" w:name="_Toc139991740"/>
      <w:bookmarkStart w:id="218" w:name="_Toc21237"/>
      <w:bookmarkStart w:id="219" w:name="_Toc3329"/>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【兴银理财稳利恒盈封闭式2025年583期固收类理财产品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ascii="宋体" w:hAnsi="宋体" w:eastAsia="宋体" w:cs="宋体"/>
          <w:sz w:val="18"/>
          <w:szCs w:val="22"/>
        </w:rPr>
        <w:t>销售名称：【稳利恒盈封闭2025年583期26M(纯盈颐养款)B】 (适用【B】类份额)</w:t>
      </w:r>
      <w:r>
        <w:rPr>
          <w:rFonts w:ascii="宋体" w:hAnsi="宋体" w:eastAsia="宋体" w:cs="宋体"/>
          <w:sz w:val="18"/>
          <w:szCs w:val="22"/>
        </w:rPr>
        <w:br w:type="textWrapping"/>
      </w:r>
      <w:r>
        <w:rPr>
          <w:rFonts w:ascii="宋体" w:hAnsi="宋体" w:eastAsia="宋体" w:cs="宋体"/>
          <w:sz w:val="18"/>
          <w:szCs w:val="22"/>
        </w:rPr>
        <w:t xml:space="preserve">     【稳利恒盈封闭2025年583期26M(纯盈颐养款)C】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【稳利恒盈封闭2025年583期26M(纯盈颐养款)D】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【稳利恒盈封闭2025年583期26M(纯盈颐养款</w:t>
      </w:r>
      <w:r>
        <w:rPr>
          <w:rFonts w:hint="eastAsia" w:ascii="宋体" w:hAnsi="宋体" w:cs="宋体"/>
          <w:sz w:val="18"/>
          <w:szCs w:val="22"/>
          <w:lang w:val="en-US" w:eastAsia="zh-CN"/>
        </w:rPr>
        <w:t>)</w:t>
      </w:r>
      <w:r>
        <w:rPr>
          <w:rFonts w:ascii="宋体" w:hAnsi="宋体" w:eastAsia="宋体" w:cs="宋体"/>
          <w:sz w:val="18"/>
          <w:szCs w:val="22"/>
        </w:rPr>
        <w:t>E】 (适用【E】类份额)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Z7002025001686</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■有固定期限:【796天】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D04F26"/>
    <w:rsid w:val="2BBE5BA7"/>
    <w:rsid w:val="637F58C5"/>
    <w:rsid w:val="655F221F"/>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46922</Words>
  <Characters>47895</Characters>
  <Lines>0</Lines>
  <Paragraphs>0</Paragraphs>
  <TotalTime>0</TotalTime>
  <ScaleCrop>false</ScaleCrop>
  <LinksUpToDate>false</LinksUpToDate>
  <CharactersWithSpaces>48425</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2025-12-08T11:23:22Z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20A0DD795AEF4EA7A3306EA87DBFAD09</vt:lpwstr>
  </property>
</Properties>
</file>