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23112224"/>
      <w:bookmarkStart w:id="2" w:name="_Toc139992301"/>
      <w:bookmarkStart w:id="3" w:name="_Toc12370138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112264"/>
      <w:bookmarkStart w:id="6" w:name="_Toc123701384"/>
      <w:bookmarkStart w:id="7" w:name="_Toc139991727"/>
      <w:bookmarkStart w:id="8" w:name="_Toc123112225"/>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【2025】年【12】月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112227"/>
      <w:bookmarkStart w:id="12" w:name="_Toc139991729"/>
      <w:bookmarkStart w:id="13" w:name="_Toc12370138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kern w:val="2"/>
                <w:sz w:val="18"/>
                <w:szCs w:val="18"/>
                <w:lang w:val="en-US" w:eastAsia="zh-CN" w:bidi="ar"/>
              </w:rPr>
              <w:t>【兴银理财稳利恒盈封闭式2025年549期固收类理财产品】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ascii="宋体" w:hAnsi="宋体" w:eastAsia="宋体" w:cs="宋体"/>
                <w:sz w:val="18"/>
              </w:rPr>
              <w:t>【稳利恒盈封闭2025年549期14M(纯盈颐养款)A】 (适用【A】类份额)</w:t>
            </w:r>
            <w:r>
              <w:rPr>
                <w:rFonts w:ascii="宋体" w:hAnsi="宋体" w:eastAsia="宋体" w:cs="宋体"/>
                <w:sz w:val="18"/>
              </w:rPr>
              <w:br w:type="textWrapping"/>
            </w:r>
            <w:r>
              <w:rPr>
                <w:rFonts w:ascii="宋体" w:hAnsi="宋体" w:eastAsia="宋体" w:cs="宋体"/>
                <w:sz w:val="18"/>
              </w:rPr>
              <w:t>【稳利恒盈封闭2025年549期14M(纯盈颐养款)B】 (适用【B】类份额)</w:t>
            </w:r>
            <w:r>
              <w:rPr>
                <w:rFonts w:ascii="宋体" w:hAnsi="宋体" w:eastAsia="宋体" w:cs="宋体"/>
                <w:sz w:val="18"/>
              </w:rPr>
              <w:br w:type="textWrapping"/>
            </w:r>
            <w:r>
              <w:rPr>
                <w:rFonts w:ascii="宋体" w:hAnsi="宋体" w:eastAsia="宋体" w:cs="宋体"/>
                <w:sz w:val="18"/>
              </w:rPr>
              <w:t>【稳利恒盈封闭2025年549期14M(纯盈颐养款)C】 (适用【C】类份额)</w:t>
            </w:r>
            <w:r>
              <w:rPr>
                <w:rFonts w:ascii="宋体" w:hAnsi="宋体" w:eastAsia="宋体" w:cs="宋体"/>
                <w:sz w:val="18"/>
              </w:rPr>
              <w:br w:type="textWrapping"/>
            </w:r>
            <w:r>
              <w:rPr>
                <w:rFonts w:ascii="宋体" w:hAnsi="宋体" w:eastAsia="宋体" w:cs="宋体"/>
                <w:sz w:val="18"/>
              </w:rPr>
              <w:t>【稳利恒盈封闭2025年549期14M(纯盈颐养款)D】 (适用【D】类份额)</w:t>
            </w:r>
            <w:r>
              <w:rPr>
                <w:rFonts w:ascii="宋体" w:hAnsi="宋体" w:eastAsia="宋体" w:cs="宋体"/>
                <w:sz w:val="18"/>
              </w:rPr>
              <w:br w:type="textWrapping"/>
            </w:r>
            <w:r>
              <w:rPr>
                <w:rFonts w:ascii="宋体" w:hAnsi="宋体" w:eastAsia="宋体" w:cs="宋体"/>
                <w:sz w:val="18"/>
              </w:rPr>
              <w:t>【稳利恒盈封闭2025年549期14M(纯盈颐养款)E】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keepNext w:val="0"/>
              <w:keepLines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Z7002025002008</w:t>
            </w:r>
            <w:r>
              <w:rPr>
                <w:rFonts w:hint="eastAsia" w:ascii="宋体" w:hAnsi="宋体"/>
                <w:bCs/>
                <w:color w:val="auto"/>
                <w:sz w:val="18"/>
                <w:szCs w:val="18"/>
              </w:rPr>
              <w:t>】注：投资者可依据理财产品登记编码在中国理财网查询产品信息</w:t>
            </w:r>
            <w:r>
              <w:rPr>
                <w:rFonts w:hint="default"/>
                <w:color w:val="auto"/>
                <w:szCs w:val="20"/>
              </w:rPr>
              <w:fldChar w:fldCharType="begin"/>
            </w:r>
            <w:r>
              <w:rPr>
                <w:rFonts w:hint="default"/>
                <w:color w:val="auto"/>
                <w:szCs w:val="20"/>
              </w:rPr>
              <w:instrText xml:space="preserve"> HYPERLINK "http://www.chinawealth.com.cn" </w:instrText>
            </w:r>
            <w:r>
              <w:rPr>
                <w:rFonts w:hint="default"/>
                <w:color w:val="auto"/>
                <w:szCs w:val="20"/>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ascii="宋体" w:hAnsi="宋体"/>
                <w:bCs/>
                <w:sz w:val="18"/>
                <w:szCs w:val="18"/>
              </w:rPr>
            </w:pPr>
            <w:r>
              <w:rPr>
                <w:rFonts w:hint="eastAsia" w:ascii="宋体" w:hAnsi="宋体" w:eastAsia="宋体" w:cs="宋体"/>
                <w:bCs/>
                <w:color w:val="000000"/>
                <w:kern w:val="2"/>
                <w:sz w:val="18"/>
                <w:szCs w:val="18"/>
                <w:lang w:val="en-US" w:eastAsia="zh-CN" w:bidi="ar"/>
              </w:rPr>
              <w:t>【9N255490】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keepNext w:val="0"/>
              <w:keepLines w:val="0"/>
              <w:widowControl w:val="0"/>
              <w:suppressLineNumbers w:val="0"/>
              <w:spacing w:before="0" w:beforeAutospacing="0" w:after="0" w:afterAutospacing="0" w:line="320" w:lineRule="exact"/>
              <w:ind w:left="0" w:leftChars="0" w:right="0" w:rightChars="0"/>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【9N25549A】 (适用【A】类份额)</w:t>
            </w:r>
            <w:r>
              <w:rPr>
                <w:rFonts w:ascii="宋体" w:hAnsi="宋体" w:eastAsia="宋体" w:cs="宋体"/>
                <w:sz w:val="18"/>
              </w:rPr>
              <w:br w:type="textWrapping"/>
            </w:r>
            <w:r>
              <w:rPr>
                <w:rFonts w:ascii="宋体" w:hAnsi="宋体" w:eastAsia="宋体" w:cs="宋体"/>
                <w:sz w:val="18"/>
              </w:rPr>
              <w:t>【9N25549B】 (适用【B】类份额)</w:t>
            </w:r>
            <w:r>
              <w:rPr>
                <w:rFonts w:ascii="宋体" w:hAnsi="宋体" w:eastAsia="宋体" w:cs="宋体"/>
                <w:sz w:val="18"/>
              </w:rPr>
              <w:br w:type="textWrapping"/>
            </w:r>
            <w:r>
              <w:rPr>
                <w:rFonts w:ascii="宋体" w:hAnsi="宋体" w:eastAsia="宋体" w:cs="宋体"/>
                <w:sz w:val="18"/>
              </w:rPr>
              <w:t>【9N25549C】 (适用【C】类份额)</w:t>
            </w:r>
            <w:r>
              <w:rPr>
                <w:rFonts w:ascii="宋体" w:hAnsi="宋体" w:eastAsia="宋体" w:cs="宋体"/>
                <w:sz w:val="18"/>
              </w:rPr>
              <w:br w:type="textWrapping"/>
            </w:r>
            <w:r>
              <w:rPr>
                <w:rFonts w:ascii="宋体" w:hAnsi="宋体" w:eastAsia="宋体" w:cs="宋体"/>
                <w:sz w:val="18"/>
              </w:rPr>
              <w:t>【9N25549D】 (适用【D】类份额)</w:t>
            </w:r>
            <w:r>
              <w:rPr>
                <w:rFonts w:ascii="宋体" w:hAnsi="宋体" w:eastAsia="宋体" w:cs="宋体"/>
                <w:sz w:val="18"/>
              </w:rPr>
              <w:br w:type="textWrapping"/>
            </w:r>
            <w:r>
              <w:rPr>
                <w:rFonts w:ascii="宋体" w:hAnsi="宋体" w:eastAsia="宋体" w:cs="宋体"/>
                <w:sz w:val="18"/>
              </w:rPr>
              <w:t>【9N25549E】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3386"/>
      <w:bookmarkStart w:id="15" w:name="_Toc139991730"/>
      <w:bookmarkStart w:id="16" w:name="_Toc4966"/>
      <w:bookmarkStart w:id="17" w:name="_Toc141703880"/>
      <w:bookmarkStart w:id="18" w:name="_Toc123112229"/>
      <w:bookmarkStart w:id="19" w:name="_Toc6306"/>
      <w:bookmarkStart w:id="20" w:name="_Toc30935"/>
      <w:bookmarkStart w:id="21" w:name="_Toc15517"/>
      <w:bookmarkStart w:id="22" w:name="_Toc32639"/>
      <w:bookmarkStart w:id="23" w:name="_Toc123112268"/>
      <w:bookmarkStart w:id="24" w:name="_Toc123701389"/>
      <w:bookmarkStart w:id="25" w:name="_Toc26897"/>
      <w:bookmarkStart w:id="26" w:name="_Toc29629"/>
      <w:bookmarkStart w:id="27" w:name="_Toc8727"/>
      <w:bookmarkStart w:id="28" w:name="_Toc4867"/>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6617"/>
      <w:bookmarkStart w:id="34" w:name="_Toc19592"/>
      <w:bookmarkStart w:id="35" w:name="_Toc15067"/>
      <w:bookmarkStart w:id="36" w:name="_Toc22864"/>
      <w:bookmarkStart w:id="37" w:name="_Toc2465"/>
      <w:bookmarkStart w:id="38" w:name="_Toc13020"/>
      <w:bookmarkStart w:id="39" w:name="_Toc819"/>
      <w:bookmarkStart w:id="40" w:name="_Toc258829399"/>
      <w:bookmarkStart w:id="41" w:name="_Toc24860"/>
      <w:bookmarkStart w:id="42" w:name="_Toc3224"/>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2708"/>
      <w:bookmarkStart w:id="48" w:name="_Toc733"/>
      <w:bookmarkStart w:id="49" w:name="_Toc13288"/>
      <w:bookmarkStart w:id="50" w:name="_Toc20627"/>
      <w:bookmarkStart w:id="51" w:name="_Toc20318"/>
      <w:bookmarkStart w:id="52" w:name="_Toc74065740"/>
      <w:bookmarkStart w:id="53" w:name="_Toc18631"/>
      <w:bookmarkStart w:id="54" w:name="_Toc24571"/>
      <w:bookmarkStart w:id="55" w:name="_Toc545"/>
      <w:bookmarkStart w:id="56" w:name="_Toc6149"/>
      <w:bookmarkStart w:id="57" w:name="_Toc6683"/>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cols w:space="720" w:num="1"/>
          <w:docGrid w:type="lines" w:linePitch="312" w:charSpace="0"/>
        </w:sectPr>
      </w:pPr>
    </w:p>
    <w:p>
      <w:pPr>
        <w:pStyle w:val="14"/>
        <w:spacing w:line="360" w:lineRule="auto"/>
        <w:rPr>
          <w:rFonts w:hAnsi="宋体"/>
          <w:sz w:val="18"/>
          <w:szCs w:val="18"/>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w:t>
      </w:r>
      <w:r>
        <w:rPr>
          <w:rStyle w:val="10"/>
          <w:rFonts w:hint="eastAsia" w:ascii="黑体" w:hAnsi="黑体" w:eastAsia="黑体"/>
          <w:sz w:val="44"/>
          <w:szCs w:val="44"/>
          <w:lang w:val="en-US" w:eastAsia="zh-CN"/>
        </w:rPr>
        <w:t>稳利恒盈封闭式固收类</w:t>
      </w:r>
      <w:r>
        <w:rPr>
          <w:rStyle w:val="10"/>
          <w:rFonts w:hint="eastAsia" w:ascii="黑体" w:hAnsi="黑体" w:eastAsia="黑体"/>
          <w:sz w:val="44"/>
          <w:szCs w:val="44"/>
        </w:rPr>
        <w:t>】理财产品</w:t>
      </w: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bCs w:val="0"/>
          <w:sz w:val="28"/>
          <w:szCs w:val="28"/>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【2025】年【12】月</w:t>
      </w:r>
    </w:p>
    <w:p>
      <w:pPr>
        <w:adjustRightInd w:val="0"/>
        <w:spacing w:line="360" w:lineRule="auto"/>
        <w:jc w:val="center"/>
        <w:rPr>
          <w:rStyle w:val="10"/>
          <w:rFonts w:ascii="宋体" w:hAnsi="宋体"/>
          <w:sz w:val="32"/>
          <w:szCs w:val="32"/>
        </w:rPr>
      </w:pPr>
    </w:p>
    <w:p>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5"/>
            <w:spacing w:line="360" w:lineRule="auto"/>
            <w:jc w:val="center"/>
          </w:pPr>
          <w:bookmarkStart w:id="66" w:name="_Toc78276587"/>
          <w:r>
            <w:rPr>
              <w:lang w:val="zh-CN"/>
            </w:rPr>
            <w:t>目录</w:t>
          </w:r>
        </w:p>
        <w:p>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13</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15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16</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19</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20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24</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25</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28</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30</w:t>
          </w:r>
          <w:r>
            <w:fldChar w:fldCharType="end"/>
          </w:r>
          <w:r>
            <w:fldChar w:fldCharType="end"/>
          </w:r>
        </w:p>
        <w:p>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32</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】理财产品投资协议书》，以及对该文件的有效修改或补充。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】理财产品产品说明书》，以及对该文件的有效修改或补充。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r>
        <w:rPr>
          <w:rFonts w:hint="eastAsia" w:asciiTheme="majorEastAsia" w:hAnsiTheme="majorEastAsia" w:eastAsiaTheme="majorEastAsia"/>
          <w:bCs/>
          <w:sz w:val="18"/>
          <w:szCs w:val="18"/>
          <w:lang w:val="en-US" w:eastAsia="zh-CN"/>
        </w:rPr>
        <w:t>稳利恒盈封闭式固收类</w:t>
      </w:r>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68" w:name="_Toc79154665"/>
      <w:bookmarkStart w:id="69" w:name="_Toc176189754"/>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kern w:val="0"/>
                <w:sz w:val="18"/>
                <w:szCs w:val="18"/>
                <w:lang w:val="en-US" w:eastAsia="zh-CN" w:bidi="ar"/>
              </w:rPr>
              <w:t>【兴银理财稳利恒盈封闭式2025年549期固收类理财产品】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kern w:val="0"/>
                <w:sz w:val="22"/>
              </w:rPr>
            </w:pPr>
            <w:r>
              <w:rPr>
                <w:rFonts w:hint="default" w:ascii="宋体" w:hAnsi="宋体" w:eastAsia="宋体" w:cs="宋体"/>
                <w:sz w:val="18"/>
              </w:rPr>
              <w:t>【稳利恒盈封闭2025年549期14M(纯盈颐养款)A】 (适用【A】类份额)</w:t>
            </w:r>
            <w:r>
              <w:rPr>
                <w:rFonts w:hint="default" w:ascii="宋体" w:hAnsi="宋体" w:eastAsia="宋体" w:cs="宋体"/>
                <w:sz w:val="18"/>
              </w:rPr>
              <w:br w:type="textWrapping"/>
            </w:r>
            <w:r>
              <w:rPr>
                <w:rFonts w:hint="default" w:ascii="宋体" w:hAnsi="宋体" w:eastAsia="宋体" w:cs="宋体"/>
                <w:sz w:val="18"/>
              </w:rPr>
              <w:t>【稳利恒盈封闭2025年549期14M(纯盈颐养款)B】 (适用【B】类份额)</w:t>
            </w:r>
            <w:r>
              <w:rPr>
                <w:rFonts w:hint="default" w:ascii="宋体" w:hAnsi="宋体" w:eastAsia="宋体" w:cs="宋体"/>
                <w:sz w:val="18"/>
              </w:rPr>
              <w:br w:type="textWrapping"/>
            </w:r>
            <w:r>
              <w:rPr>
                <w:rFonts w:hint="default" w:ascii="宋体" w:hAnsi="宋体" w:eastAsia="宋体" w:cs="宋体"/>
                <w:sz w:val="18"/>
              </w:rPr>
              <w:t>【稳利恒盈封闭2025年549期14M(纯盈颐养款)C】 (适用【C】类份额)</w:t>
            </w:r>
            <w:r>
              <w:rPr>
                <w:rFonts w:hint="default" w:ascii="宋体" w:hAnsi="宋体" w:eastAsia="宋体" w:cs="宋体"/>
                <w:sz w:val="18"/>
              </w:rPr>
              <w:br w:type="textWrapping"/>
            </w:r>
            <w:r>
              <w:rPr>
                <w:rFonts w:hint="default" w:ascii="宋体" w:hAnsi="宋体" w:eastAsia="宋体" w:cs="宋体"/>
                <w:sz w:val="18"/>
              </w:rPr>
              <w:t>【稳利恒盈封闭2025年549期14M(纯盈颐养款)D】 (适用【D】类份额)</w:t>
            </w:r>
            <w:r>
              <w:rPr>
                <w:rFonts w:hint="default" w:ascii="宋体" w:hAnsi="宋体" w:eastAsia="宋体" w:cs="宋体"/>
                <w:sz w:val="18"/>
              </w:rPr>
              <w:br w:type="textWrapping"/>
            </w:r>
            <w:r>
              <w:rPr>
                <w:rFonts w:hint="default" w:ascii="宋体" w:hAnsi="宋体" w:eastAsia="宋体" w:cs="宋体"/>
                <w:sz w:val="18"/>
              </w:rPr>
              <w:t>【稳利恒盈封闭2025年549期14M(纯盈颐养款)E】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b/>
                <w:sz w:val="18"/>
                <w:szCs w:val="18"/>
              </w:rPr>
            </w:pPr>
            <w:r>
              <w:rPr>
                <w:rFonts w:hint="eastAsia" w:ascii="宋体" w:hAnsi="宋体"/>
                <w:bCs/>
                <w:color w:val="auto"/>
                <w:sz w:val="18"/>
                <w:szCs w:val="18"/>
              </w:rPr>
              <w:t>【</w:t>
            </w:r>
            <w:r>
              <w:rPr>
                <w:rFonts w:hint="eastAsia" w:ascii="宋体" w:hAnsi="宋体"/>
                <w:bCs/>
                <w:color w:val="auto"/>
                <w:sz w:val="18"/>
                <w:szCs w:val="18"/>
                <w:lang w:val="en-US" w:eastAsia="zh-CN"/>
              </w:rPr>
              <w:t>Z7002025002008</w:t>
            </w:r>
            <w:r>
              <w:rPr>
                <w:rFonts w:hint="eastAsia" w:ascii="宋体" w:hAnsi="宋体"/>
                <w:bCs/>
                <w:color w:val="auto"/>
                <w:sz w:val="18"/>
                <w:szCs w:val="18"/>
              </w:rPr>
              <w:t>】注：投资者可依据理财产品登记编码在中国理财网查询产品信息</w:t>
            </w:r>
            <w:r>
              <w:rPr>
                <w:rFonts w:hint="default"/>
                <w:color w:val="auto"/>
              </w:rPr>
              <w:fldChar w:fldCharType="begin"/>
            </w:r>
            <w:r>
              <w:rPr>
                <w:rFonts w:hint="default"/>
                <w:color w:val="auto"/>
              </w:rPr>
              <w:instrText xml:space="preserve"> HYPERLINK "http://www.chinawealth.com.cn" </w:instrText>
            </w:r>
            <w:r>
              <w:rPr>
                <w:rFonts w:hint="default"/>
                <w:color w:val="auto"/>
              </w:rPr>
              <w:fldChar w:fldCharType="separate"/>
            </w:r>
            <w:r>
              <w:rPr>
                <w:rFonts w:hint="default" w:ascii="宋体" w:hAnsi="宋体"/>
                <w:bCs/>
                <w:color w:val="auto"/>
                <w:sz w:val="18"/>
                <w:szCs w:val="18"/>
              </w:rPr>
              <w:t>www.chinawealth.com.cn</w:t>
            </w:r>
            <w:r>
              <w:rPr>
                <w:rFonts w:hint="default" w:ascii="宋体" w:hAnsi="宋体"/>
                <w:bCs/>
                <w:color w:val="auto"/>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bCs/>
                <w:sz w:val="18"/>
                <w:szCs w:val="18"/>
              </w:rPr>
            </w:pPr>
            <w:r>
              <w:rPr>
                <w:rFonts w:hint="eastAsia" w:ascii="宋体" w:hAnsi="宋体" w:eastAsia="宋体" w:cs="宋体"/>
                <w:bCs/>
                <w:color w:val="000000"/>
                <w:kern w:val="2"/>
                <w:sz w:val="18"/>
                <w:szCs w:val="18"/>
                <w:lang w:val="en-US" w:eastAsia="zh-CN" w:bidi="ar"/>
              </w:rPr>
              <w:t>【9N255490】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hAnsi="宋体"/>
                <w:b/>
                <w:sz w:val="18"/>
                <w:szCs w:val="18"/>
              </w:rPr>
            </w:pPr>
            <w:r>
              <w:rPr>
                <w:rFonts w:hint="eastAsia" w:hAnsi="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hAnsi="宋体"/>
                <w:sz w:val="18"/>
                <w:szCs w:val="18"/>
              </w:rPr>
            </w:pPr>
            <w:r>
              <w:rPr>
                <w:rFonts w:hint="default" w:ascii="宋体" w:hAnsi="宋体" w:eastAsia="宋体" w:cs="宋体"/>
                <w:sz w:val="18"/>
              </w:rPr>
              <w:t>【9N25549A】 (适用【A】类份额)</w:t>
            </w:r>
            <w:r>
              <w:rPr>
                <w:rFonts w:hint="default" w:ascii="宋体" w:hAnsi="宋体" w:eastAsia="宋体" w:cs="宋体"/>
                <w:sz w:val="18"/>
              </w:rPr>
              <w:br w:type="textWrapping"/>
            </w:r>
            <w:r>
              <w:rPr>
                <w:rFonts w:hint="default" w:ascii="宋体" w:hAnsi="宋体" w:eastAsia="宋体" w:cs="宋体"/>
                <w:sz w:val="18"/>
              </w:rPr>
              <w:t>【9N25549B】 (适用【B】类份额)</w:t>
            </w:r>
            <w:r>
              <w:rPr>
                <w:rFonts w:hint="default" w:ascii="宋体" w:hAnsi="宋体" w:eastAsia="宋体" w:cs="宋体"/>
                <w:sz w:val="18"/>
              </w:rPr>
              <w:br w:type="textWrapping"/>
            </w:r>
            <w:r>
              <w:rPr>
                <w:rFonts w:hint="default" w:ascii="宋体" w:hAnsi="宋体" w:eastAsia="宋体" w:cs="宋体"/>
                <w:sz w:val="18"/>
              </w:rPr>
              <w:t>【9N25549C】 (适用【C】类份额)</w:t>
            </w:r>
            <w:r>
              <w:rPr>
                <w:rFonts w:hint="default" w:ascii="宋体" w:hAnsi="宋体" w:eastAsia="宋体" w:cs="宋体"/>
                <w:sz w:val="18"/>
              </w:rPr>
              <w:br w:type="textWrapping"/>
            </w:r>
            <w:r>
              <w:rPr>
                <w:rFonts w:hint="default" w:ascii="宋体" w:hAnsi="宋体" w:eastAsia="宋体" w:cs="宋体"/>
                <w:sz w:val="18"/>
              </w:rPr>
              <w:t>【9N25549D】 (适用【D】类份额)</w:t>
            </w:r>
            <w:r>
              <w:rPr>
                <w:rFonts w:hint="default" w:ascii="宋体" w:hAnsi="宋体" w:eastAsia="宋体" w:cs="宋体"/>
                <w:sz w:val="18"/>
              </w:rPr>
              <w:br w:type="textWrapping"/>
            </w:r>
            <w:r>
              <w:rPr>
                <w:rFonts w:hint="default" w:ascii="宋体" w:hAnsi="宋体" w:eastAsia="宋体" w:cs="宋体"/>
                <w:sz w:val="18"/>
              </w:rPr>
              <w:t>【9N25549E】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hAnsi="宋体"/>
                <w:b/>
                <w:sz w:val="18"/>
                <w:szCs w:val="18"/>
              </w:rPr>
              <w:t>产品</w:t>
            </w:r>
            <w:r>
              <w:rPr>
                <w:rFonts w:hint="default" w:hAnsi="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1</w:t>
            </w:r>
            <w:r>
              <w:rPr>
                <w:rFonts w:hint="eastAsia" w:ascii="宋体" w:hAnsi="宋体"/>
                <w:bCs/>
                <w:sz w:val="18"/>
                <w:szCs w:val="18"/>
              </w:rPr>
              <w:t>.本产品根据投资者购买理财产品的金额、</w:t>
            </w:r>
            <w:r>
              <w:rPr>
                <w:rFonts w:hint="default" w:ascii="宋体" w:hAnsi="宋体"/>
                <w:bCs/>
                <w:sz w:val="18"/>
                <w:szCs w:val="18"/>
              </w:rPr>
              <w:t>投资者</w:t>
            </w:r>
            <w:r>
              <w:rPr>
                <w:rFonts w:hint="eastAsia" w:ascii="宋体" w:hAnsi="宋体"/>
                <w:bCs/>
                <w:sz w:val="18"/>
                <w:szCs w:val="18"/>
              </w:rPr>
              <w:t>类型、</w:t>
            </w:r>
            <w:r>
              <w:rPr>
                <w:rFonts w:hint="default"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2</w:t>
            </w:r>
            <w:r>
              <w:rPr>
                <w:rFonts w:hint="eastAsia" w:ascii="宋体" w:hAnsi="宋体"/>
                <w:bCs/>
                <w:sz w:val="18"/>
                <w:szCs w:val="18"/>
              </w:rPr>
              <w:t>.本产品设置不同的理财产品份额，每类理财产品份额以下内容</w:t>
            </w:r>
            <w:r>
              <w:rPr>
                <w:rFonts w:hint="default" w:ascii="宋体" w:hAnsi="宋体"/>
                <w:bCs/>
                <w:sz w:val="18"/>
                <w:szCs w:val="18"/>
              </w:rPr>
              <w:t>可能</w:t>
            </w:r>
            <w:r>
              <w:rPr>
                <w:rFonts w:hint="eastAsia" w:ascii="宋体" w:hAnsi="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3</w:t>
            </w:r>
            <w:r>
              <w:rPr>
                <w:rFonts w:hint="eastAsia" w:ascii="宋体" w:hAnsi="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宋体" w:hAnsi="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bCs/>
                <w:sz w:val="18"/>
                <w:szCs w:val="18"/>
              </w:rPr>
            </w:pPr>
            <w:r>
              <w:rPr>
                <w:rFonts w:hint="eastAsia" w:ascii="黑体" w:hAnsi="黑体" w:eastAsia="黑体"/>
                <w:sz w:val="18"/>
                <w:szCs w:val="18"/>
              </w:rPr>
              <w:t>固定</w:t>
            </w:r>
            <w:r>
              <w:rPr>
                <w:rFonts w:hint="default" w:ascii="黑体" w:hAnsi="黑体" w:eastAsia="黑体"/>
                <w:sz w:val="18"/>
                <w:szCs w:val="18"/>
              </w:rPr>
              <w:t>收益</w:t>
            </w:r>
            <w:r>
              <w:rPr>
                <w:rFonts w:hint="eastAsia" w:ascii="黑体" w:hAnsi="黑体" w:eastAsia="黑体"/>
                <w:sz w:val="18"/>
                <w:szCs w:val="18"/>
              </w:rPr>
              <w:t>类</w:t>
            </w:r>
            <w:r>
              <w:rPr>
                <w:rFonts w:hint="default" w:ascii="黑体" w:hAnsi="黑体" w:eastAsia="黑体"/>
                <w:sz w:val="18"/>
                <w:szCs w:val="18"/>
              </w:rPr>
              <w:t>产品是指根据监管</w:t>
            </w:r>
            <w:r>
              <w:rPr>
                <w:rFonts w:hint="eastAsia" w:ascii="黑体" w:hAnsi="黑体" w:eastAsia="黑体"/>
                <w:sz w:val="18"/>
                <w:szCs w:val="18"/>
              </w:rPr>
              <w:t>相关规定</w:t>
            </w:r>
            <w:r>
              <w:rPr>
                <w:rFonts w:hint="default" w:ascii="黑体" w:hAnsi="黑体" w:eastAsia="黑体"/>
                <w:sz w:val="18"/>
                <w:szCs w:val="18"/>
              </w:rPr>
              <w:t>，投资于债权类资产的</w:t>
            </w:r>
            <w:r>
              <w:rPr>
                <w:rFonts w:hint="eastAsia" w:ascii="黑体" w:hAnsi="黑体" w:eastAsia="黑体"/>
                <w:sz w:val="18"/>
                <w:szCs w:val="18"/>
              </w:rPr>
              <w:t>比例</w:t>
            </w:r>
            <w:r>
              <w:rPr>
                <w:rFonts w:hint="default" w:ascii="黑体" w:hAnsi="黑体" w:eastAsia="黑体"/>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hint="default" w:asciiTheme="majorEastAsia" w:hAnsiTheme="majorEastAsia" w:eastAsiaTheme="majorEastAsia"/>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sz w:val="18"/>
                <w:szCs w:val="18"/>
              </w:rPr>
            </w:pPr>
            <w:r>
              <w:rPr>
                <w:rFonts w:hint="eastAsia" w:ascii="黑体" w:hAnsi="黑体" w:eastAsia="黑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b/>
                <w:bCs/>
                <w:sz w:val="18"/>
                <w:szCs w:val="18"/>
              </w:rPr>
            </w:pPr>
            <w:r>
              <w:rPr>
                <w:rFonts w:hint="eastAsia" w:ascii="黑体" w:hAnsi="黑体" w:eastAsia="黑体"/>
                <w:bCs/>
                <w:sz w:val="18"/>
                <w:szCs w:val="18"/>
              </w:rPr>
              <w:t>注</w:t>
            </w:r>
            <w:r>
              <w:rPr>
                <w:rFonts w:hint="default" w:ascii="黑体" w:hAnsi="黑体" w:eastAsia="黑体"/>
                <w:bCs/>
                <w:sz w:val="18"/>
                <w:szCs w:val="18"/>
              </w:rPr>
              <w:t>：</w:t>
            </w:r>
            <w:r>
              <w:rPr>
                <w:rFonts w:hint="eastAsia" w:ascii="黑体" w:hAnsi="黑体" w:eastAsia="黑体"/>
                <w:bCs/>
                <w:sz w:val="18"/>
                <w:szCs w:val="18"/>
              </w:rPr>
              <w:t>若本</w:t>
            </w:r>
            <w:r>
              <w:rPr>
                <w:rFonts w:hint="default" w:ascii="黑体" w:hAnsi="黑体" w:eastAsia="黑体"/>
                <w:bCs/>
                <w:sz w:val="18"/>
                <w:szCs w:val="18"/>
              </w:rPr>
              <w:t>产品通过代理销售机构销售的，</w:t>
            </w:r>
            <w:r>
              <w:rPr>
                <w:rFonts w:hint="eastAsia" w:ascii="黑体" w:hAnsi="黑体" w:eastAsia="黑体"/>
                <w:bCs/>
                <w:sz w:val="18"/>
                <w:szCs w:val="18"/>
              </w:rPr>
              <w:t>理财产品</w:t>
            </w:r>
            <w:r>
              <w:rPr>
                <w:rFonts w:hint="default" w:ascii="黑体" w:hAnsi="黑体" w:eastAsia="黑体"/>
                <w:bCs/>
                <w:sz w:val="18"/>
                <w:szCs w:val="18"/>
              </w:rPr>
              <w:t>评级</w:t>
            </w:r>
            <w:r>
              <w:rPr>
                <w:rFonts w:hint="eastAsia" w:ascii="黑体" w:hAnsi="黑体" w:eastAsia="黑体"/>
                <w:bCs/>
                <w:sz w:val="18"/>
                <w:szCs w:val="18"/>
              </w:rPr>
              <w:t>以</w:t>
            </w:r>
            <w:r>
              <w:rPr>
                <w:rFonts w:hint="default"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color w:val="000000" w:themeColor="text1"/>
                <w:sz w:val="18"/>
                <w:szCs w:val="18"/>
                <w14:textFill>
                  <w14:solidFill>
                    <w14:schemeClr w14:val="tx1"/>
                  </w14:solidFill>
                </w14:textFill>
              </w:rPr>
            </w:pPr>
            <w:r>
              <w:rPr>
                <w:rFonts w:hint="default" w:asciiTheme="majorEastAsia" w:hAnsiTheme="majorEastAsia" w:eastAsiaTheme="majorEastAsia"/>
                <w:bCs/>
                <w:color w:val="000000" w:themeColor="text1"/>
                <w:sz w:val="18"/>
                <w:szCs w:val="18"/>
                <w14:textFill>
                  <w14:solidFill>
                    <w14:schemeClr w14:val="tx1"/>
                  </w14:solidFill>
                </w14:textFill>
              </w:rPr>
              <w:t>本产品适合以下类型投资者：</w:t>
            </w:r>
          </w:p>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■个人投资者</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本产品由代理销售机构</w:t>
            </w:r>
            <w:r>
              <w:rPr>
                <w:rFonts w:hint="default" w:ascii="宋体" w:hAnsi="宋体"/>
                <w:sz w:val="18"/>
                <w:szCs w:val="18"/>
              </w:rPr>
              <w:t>销售</w:t>
            </w:r>
            <w:r>
              <w:rPr>
                <w:rFonts w:hint="eastAsia" w:ascii="宋体" w:hAnsi="宋体"/>
                <w:sz w:val="18"/>
                <w:szCs w:val="18"/>
              </w:rPr>
              <w:t>。</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宋体" w:hAnsi="宋体"/>
                <w:sz w:val="18"/>
                <w:szCs w:val="18"/>
              </w:rPr>
              <w:t>代理销售</w:t>
            </w:r>
            <w:r>
              <w:rPr>
                <w:rFonts w:hint="default" w:ascii="宋体" w:hAnsi="宋体"/>
                <w:sz w:val="18"/>
                <w:szCs w:val="18"/>
              </w:rPr>
              <w:t>机构</w:t>
            </w:r>
            <w:r>
              <w:rPr>
                <w:rFonts w:hint="eastAsia" w:ascii="宋体" w:hAnsi="宋体"/>
                <w:sz w:val="18"/>
                <w:szCs w:val="18"/>
              </w:rPr>
              <w:t>合作业务</w:t>
            </w:r>
            <w:r>
              <w:rPr>
                <w:rFonts w:hint="default" w:ascii="宋体" w:hAnsi="宋体"/>
                <w:sz w:val="18"/>
                <w:szCs w:val="18"/>
              </w:rPr>
              <w:t>情况</w:t>
            </w:r>
            <w:r>
              <w:rPr>
                <w:rFonts w:hint="eastAsia" w:ascii="宋体" w:hAnsi="宋体"/>
                <w:sz w:val="18"/>
                <w:szCs w:val="18"/>
              </w:rPr>
              <w:t>以</w:t>
            </w:r>
            <w:r>
              <w:rPr>
                <w:rFonts w:hint="default" w:ascii="宋体" w:hAnsi="宋体"/>
                <w:sz w:val="18"/>
                <w:szCs w:val="18"/>
              </w:rPr>
              <w:t>产品管理人</w:t>
            </w:r>
            <w:r>
              <w:rPr>
                <w:rFonts w:hint="eastAsia" w:ascii="宋体" w:hAnsi="宋体"/>
                <w:sz w:val="18"/>
                <w:szCs w:val="18"/>
              </w:rPr>
              <w:t>公告为准，</w:t>
            </w:r>
            <w:r>
              <w:rPr>
                <w:rFonts w:hint="default" w:ascii="宋体" w:hAnsi="宋体"/>
                <w:sz w:val="18"/>
                <w:szCs w:val="18"/>
              </w:rPr>
              <w:t>具体代理</w:t>
            </w:r>
            <w:r>
              <w:rPr>
                <w:rFonts w:hint="eastAsia" w:ascii="宋体" w:hAnsi="宋体"/>
                <w:sz w:val="18"/>
                <w:szCs w:val="18"/>
              </w:rPr>
              <w:t>销售机构</w:t>
            </w:r>
            <w:r>
              <w:rPr>
                <w:rFonts w:hint="default" w:ascii="宋体" w:hAnsi="宋体"/>
                <w:sz w:val="18"/>
                <w:szCs w:val="18"/>
              </w:rPr>
              <w:t>以《</w:t>
            </w:r>
            <w:r>
              <w:rPr>
                <w:rFonts w:hint="eastAsia" w:ascii="宋体" w:hAnsi="宋体"/>
                <w:sz w:val="18"/>
                <w:szCs w:val="18"/>
              </w:rPr>
              <w:t>（代理）</w:t>
            </w:r>
            <w:r>
              <w:rPr>
                <w:rFonts w:hint="default" w:ascii="宋体" w:hAnsi="宋体"/>
                <w:sz w:val="18"/>
                <w:szCs w:val="18"/>
              </w:rPr>
              <w:t>销售协议书》</w:t>
            </w:r>
            <w:r>
              <w:rPr>
                <w:rFonts w:hint="eastAsia" w:ascii="宋体" w:hAnsi="宋体"/>
                <w:sz w:val="18"/>
                <w:szCs w:val="18"/>
              </w:rPr>
              <w:t>为准</w:t>
            </w:r>
            <w:r>
              <w:rPr>
                <w:rFonts w:hint="default"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w:t>
            </w:r>
            <w:r>
              <w:rPr>
                <w:rFonts w:hint="default" w:asciiTheme="majorEastAsia" w:hAnsiTheme="majorEastAsia" w:eastAsiaTheme="majorEastAsia"/>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hint="default"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5</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hint="default"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hint="default"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hint="default"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■有固定期限:【426天】</w:t>
            </w:r>
          </w:p>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cs="Times New Roman" w:asciiTheme="minorEastAsia" w:hAnsiTheme="minorEastAsia"/>
                <w:sz w:val="18"/>
                <w:szCs w:val="18"/>
              </w:rPr>
            </w:pPr>
            <w:r>
              <w:rPr>
                <w:rFonts w:hint="default" w:asciiTheme="minorEastAsia" w:hAnsiTheme="minorEastAsia"/>
                <w:bCs/>
                <w:sz w:val="18"/>
                <w:szCs w:val="18"/>
              </w:rPr>
              <w:t>1</w:t>
            </w:r>
            <w:r>
              <w:rPr>
                <w:rFonts w:hint="eastAsia" w:asciiTheme="minorEastAsia" w:hAnsiTheme="minorEastAsia"/>
                <w:bCs/>
                <w:sz w:val="18"/>
                <w:szCs w:val="18"/>
              </w:rPr>
              <w:t>.</w:t>
            </w:r>
            <w:r>
              <w:rPr>
                <w:rFonts w:hint="default"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lang w:val="en-US" w:eastAsia="zh-CN"/>
              </w:rPr>
              <w:t>【2025年12月11日】【09:00】至【2025年12月18日】【17:00】。</w:t>
            </w:r>
          </w:p>
          <w:p>
            <w:pPr>
              <w:keepNext w:val="0"/>
              <w:keepLines w:val="0"/>
              <w:suppressLineNumbers w:val="0"/>
              <w:spacing w:before="0" w:beforeAutospacing="0" w:after="0" w:afterAutospacing="0" w:line="360" w:lineRule="auto"/>
              <w:ind w:left="0" w:right="0"/>
              <w:rPr>
                <w:rFonts w:hint="default" w:ascii="宋体" w:hAnsi="宋体"/>
                <w:bCs/>
                <w:sz w:val="18"/>
                <w:szCs w:val="18"/>
              </w:rPr>
            </w:pPr>
            <w:r>
              <w:rPr>
                <w:rFonts w:hint="default"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sz w:val="18"/>
              </w:rPr>
            </w:pPr>
            <w:r>
              <w:rPr>
                <w:rFonts w:hint="default"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认购期/募集期内资金产生的利息（如有）不计入本金份额</w:t>
            </w:r>
            <w:r>
              <w:rPr>
                <w:rFonts w:hint="eastAsia" w:ascii="宋体" w:hAnsi="宋体"/>
                <w:sz w:val="18"/>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.本产品的计划成立日为</w:t>
            </w:r>
            <w:r>
              <w:rPr>
                <w:rFonts w:hint="default" w:asciiTheme="minorEastAsia" w:hAnsiTheme="minorEastAsia"/>
                <w:bCs/>
                <w:sz w:val="18"/>
                <w:szCs w:val="18"/>
              </w:rPr>
              <w:t>：</w:t>
            </w:r>
            <w:r>
              <w:rPr>
                <w:rFonts w:hint="eastAsia" w:cs="Times New Roman" w:asciiTheme="minorEastAsia" w:hAnsiTheme="minorEastAsia"/>
                <w:sz w:val="18"/>
                <w:szCs w:val="18"/>
                <w:lang w:val="en-US" w:eastAsia="zh-CN"/>
              </w:rPr>
              <w:t>【2025年12月19日】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default" w:asciiTheme="minorEastAsia" w:hAnsiTheme="minorEastAsia"/>
                <w:bCs/>
                <w:sz w:val="18"/>
                <w:szCs w:val="18"/>
              </w:rPr>
              <w:t>2</w:t>
            </w:r>
            <w:r>
              <w:rPr>
                <w:rFonts w:hint="eastAsia" w:asciiTheme="minorEastAsia" w:hAnsiTheme="minorEastAsia"/>
                <w:bCs/>
                <w:sz w:val="18"/>
                <w:szCs w:val="18"/>
              </w:rPr>
              <w:t>.</w:t>
            </w:r>
            <w:r>
              <w:rPr>
                <w:rFonts w:hint="default"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hint="default"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inorEastAsia" w:hAnsiTheme="minorEastAsia"/>
                <w:bCs/>
                <w:sz w:val="18"/>
                <w:szCs w:val="18"/>
              </w:rPr>
            </w:pPr>
            <w:r>
              <w:rPr>
                <w:rFonts w:hint="default" w:asciiTheme="minorEastAsia" w:hAnsiTheme="minorEastAsia"/>
                <w:bCs/>
                <w:sz w:val="18"/>
                <w:szCs w:val="18"/>
              </w:rPr>
              <w:t>1</w:t>
            </w:r>
            <w:r>
              <w:rPr>
                <w:rFonts w:hint="eastAsia" w:asciiTheme="minorEastAsia" w:hAnsiTheme="minorEastAsia"/>
                <w:bCs/>
                <w:sz w:val="18"/>
                <w:szCs w:val="18"/>
              </w:rPr>
              <w:t>.本产品的计划终止日为</w:t>
            </w:r>
            <w:r>
              <w:rPr>
                <w:rFonts w:hint="default" w:asciiTheme="minorEastAsia" w:hAnsiTheme="minorEastAsia"/>
                <w:bCs/>
                <w:sz w:val="18"/>
                <w:szCs w:val="18"/>
              </w:rPr>
              <w:t>：</w:t>
            </w:r>
            <w:r>
              <w:rPr>
                <w:rFonts w:hint="eastAsia" w:cs="Times New Roman" w:asciiTheme="minorEastAsia" w:hAnsiTheme="minorEastAsia"/>
                <w:sz w:val="18"/>
                <w:szCs w:val="18"/>
                <w:lang w:val="en-US" w:eastAsia="zh-CN"/>
              </w:rPr>
              <w:t>【2027年02月18日】</w:t>
            </w:r>
            <w:r>
              <w:rPr>
                <w:rFonts w:hint="eastAsia" w:cs="Times New Roman" w:asciiTheme="minorEastAsia" w:hAnsiTheme="minorEastAsia"/>
                <w:sz w:val="18"/>
                <w:szCs w:val="18"/>
              </w:rPr>
              <w:t>（遇节假日顺延）</w:t>
            </w:r>
            <w:r>
              <w:rPr>
                <w:rFonts w:hint="eastAsia" w:asciiTheme="minorEastAsia" w:hAnsiTheme="minorEastAsia"/>
                <w:bCs/>
                <w:sz w:val="18"/>
                <w:szCs w:val="18"/>
              </w:rPr>
              <w:t>。</w:t>
            </w:r>
          </w:p>
          <w:p>
            <w:pPr>
              <w:keepNext w:val="0"/>
              <w:keepLines w:val="0"/>
              <w:suppressLineNumbers w:val="0"/>
              <w:spacing w:before="0" w:beforeAutospacing="0" w:after="0" w:afterAutospacing="0" w:line="360" w:lineRule="auto"/>
              <w:ind w:left="0" w:right="0"/>
              <w:rPr>
                <w:rFonts w:hint="default"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hint="default" w:asciiTheme="majorEastAsia" w:hAnsiTheme="majorEastAsia" w:eastAsiaTheme="majorEastAsia"/>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sz w:val="18"/>
                <w:szCs w:val="18"/>
              </w:rPr>
            </w:pPr>
            <w:r>
              <w:rPr>
                <w:rFonts w:hint="default" w:ascii="宋体" w:hAnsi="宋体" w:eastAsia="宋体" w:cs="宋体"/>
                <w:sz w:val="18"/>
              </w:rPr>
              <w:t>每笔购买起点金额为【1】元; 超出起点金额的部分以【0.01】元的整数倍递增。（适用【A】类份额)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超出起点金额的部分以【0.01】元的整数倍递增。（适用【B】类份额)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超出起点金额的部分以【0.01】元的整数倍递增。（适用【C】类份额)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超出起点金额的部分以【0.01】元的整数倍递增。（适用【D】类份额)</w:t>
            </w:r>
            <w:r>
              <w:rPr>
                <w:rFonts w:hint="default" w:ascii="宋体" w:hAnsi="宋体" w:eastAsia="宋体" w:cs="宋体"/>
                <w:sz w:val="18"/>
              </w:rPr>
              <w:br w:type="textWrapping"/>
            </w:r>
            <w:r>
              <w:rPr>
                <w:rFonts w:hint="default" w:ascii="宋体" w:hAnsi="宋体" w:eastAsia="宋体" w:cs="宋体"/>
                <w:sz w:val="18"/>
              </w:rPr>
              <w:t>每笔购买起点金额为【1】元;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hint="default"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hint="default"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hint="default"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keepNext w:val="0"/>
              <w:keepLines w:val="0"/>
              <w:suppressLineNumbers w:val="0"/>
              <w:spacing w:before="0" w:beforeAutospacing="0" w:after="0" w:afterAutospacing="0" w:line="360" w:lineRule="auto"/>
              <w:ind w:left="0" w:right="0"/>
              <w:jc w:val="left"/>
              <w:rPr>
                <w:rFonts w:hint="default"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hint="default"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hint="default"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hAnsi="宋体"/>
                <w:b/>
                <w:sz w:val="18"/>
                <w:szCs w:val="18"/>
              </w:rPr>
              <w:t>★认购的数量限制</w:t>
            </w:r>
          </w:p>
        </w:tc>
        <w:tc>
          <w:tcPr>
            <w:tcW w:w="7674" w:type="dxa"/>
            <w:shd w:val="solid" w:color="FFFFFF" w:fill="FFFFFF"/>
            <w:vAlign w:val="center"/>
          </w:tcPr>
          <w:p>
            <w:pPr>
              <w:pStyle w:val="14"/>
              <w:keepNext w:val="0"/>
              <w:keepLines w:val="0"/>
              <w:suppressLineNumbers w:val="0"/>
              <w:spacing w:before="0" w:beforeAutospacing="0" w:after="0" w:afterAutospacing="0" w:line="360" w:lineRule="auto"/>
              <w:ind w:left="0" w:right="0"/>
              <w:rPr>
                <w:rFonts w:hint="eastAsia" w:hAnsi="宋体"/>
                <w:bCs/>
                <w:sz w:val="18"/>
                <w:szCs w:val="18"/>
              </w:rPr>
            </w:pPr>
            <w:r>
              <w:rPr>
                <w:rFonts w:hint="default" w:ascii="宋体" w:hAnsi="宋体" w:eastAsia="宋体" w:cs="宋体"/>
                <w:sz w:val="18"/>
              </w:rPr>
              <w:t>认购的数量限制</w:t>
            </w:r>
            <w:r>
              <w:rPr>
                <w:rFonts w:hint="default" w:ascii="宋体" w:hAnsi="宋体" w:eastAsia="宋体" w:cs="宋体"/>
                <w:sz w:val="18"/>
              </w:rPr>
              <w:br w:type="textWrapping"/>
            </w:r>
            <w:r>
              <w:rPr>
                <w:rFonts w:hint="default" w:ascii="宋体" w:hAnsi="宋体" w:eastAsia="宋体" w:cs="宋体"/>
                <w:sz w:val="18"/>
              </w:rPr>
              <w:t>（1）单一投资者认购上限为【/】元。（适用【A】类份额)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单一投资者认购上限为【/】元。（适用【B】类份额)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单一投资者认购上限为【/】元。（适用【C】类份额)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单一投资者认购上限为【/】元。（适用【D】类份额)</w:t>
            </w:r>
            <w:r>
              <w:rPr>
                <w:rFonts w:hint="default" w:ascii="宋体" w:hAnsi="宋体" w:eastAsia="宋体" w:cs="宋体"/>
                <w:sz w:val="18"/>
              </w:rPr>
              <w:br w:type="textWrapping"/>
            </w:r>
            <w:r>
              <w:rPr>
                <w:rFonts w:hint="default" w:ascii="宋体" w:hAnsi="宋体" w:eastAsia="宋体" w:cs="宋体"/>
                <w:sz w:val="18"/>
              </w:rPr>
              <w:t xml:space="preserve">     单一投资者认购上限为【/】元。（适用【E】类份额)</w:t>
            </w:r>
            <w:r>
              <w:rPr>
                <w:rFonts w:hint="default" w:ascii="宋体" w:hAnsi="宋体" w:eastAsia="宋体" w:cs="宋体"/>
                <w:sz w:val="18"/>
              </w:rPr>
              <w:br w:type="textWrapping"/>
            </w:r>
            <w:r>
              <w:rPr>
                <w:rFonts w:hint="default" w:ascii="宋体" w:hAnsi="宋体" w:eastAsia="宋体" w:cs="宋体"/>
                <w:sz w:val="18"/>
              </w:rPr>
              <w:t>（2）产品存续期间，单一投资者最高持有份额上限为【/】份，符合产品管理人流动性管理的稳定资金除外。（适用【A】类份额)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产品存续期间，单一投资者最高持有份额上限为【/】份，符合产品管理人流动性管理的稳定资金除外。（适用【B】类份额)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产品存续期间，单一投资者最高持有份额上限为【/】份，符合产品管理人流动性管理的稳定资金除外。（适用【C】类份额)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产品存续期间，单一投资者最高持有份额上限为【/】份，符合产品管理人流动性管理的稳定资金除外。（适用【D】类份额)</w:t>
            </w:r>
            <w:r>
              <w:rPr>
                <w:rFonts w:hint="default" w:ascii="宋体" w:hAnsi="宋体" w:eastAsia="宋体" w:cs="宋体"/>
                <w:sz w:val="18"/>
              </w:rPr>
              <w:br w:type="textWrapping"/>
            </w:r>
            <w:r>
              <w:rPr>
                <w:rFonts w:hint="default" w:ascii="宋体" w:hAnsi="宋体" w:eastAsia="宋体" w:cs="宋体"/>
                <w:sz w:val="18"/>
              </w:rPr>
              <w:t xml:space="preserve">     产品存续期间，单一投资者最高持有份额上限为【/】份，符合产品管理人流动性管理的稳定资金除外。（适用【E】类份额)</w:t>
            </w:r>
          </w:p>
          <w:p>
            <w:pPr>
              <w:pStyle w:val="14"/>
              <w:keepNext w:val="0"/>
              <w:keepLines w:val="0"/>
              <w:suppressLineNumbers w:val="0"/>
              <w:spacing w:before="0" w:beforeAutospacing="0" w:after="0" w:afterAutospacing="0" w:line="360" w:lineRule="auto"/>
              <w:ind w:left="0" w:right="0"/>
              <w:rPr>
                <w:rFonts w:hint="default"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14"/>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hint="default"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w:t>
            </w:r>
            <w:r>
              <w:rPr>
                <w:rFonts w:hint="default" w:ascii="黑体" w:hAnsi="黑体" w:eastAsia="黑体"/>
                <w:color w:val="000000" w:themeColor="text1"/>
                <w:sz w:val="18"/>
                <w:szCs w:val="18"/>
                <w14:textFill>
                  <w14:solidFill>
                    <w14:schemeClr w14:val="tx1"/>
                  </w14:solidFill>
                </w14:textFill>
              </w:rPr>
              <w:t>50%。</w:t>
            </w:r>
          </w:p>
          <w:p>
            <w:pPr>
              <w:pStyle w:val="14"/>
              <w:keepNext w:val="0"/>
              <w:keepLines w:val="0"/>
              <w:suppressLineNumbers w:val="0"/>
              <w:spacing w:before="0" w:beforeAutospacing="0" w:after="0" w:afterAutospacing="0" w:line="360" w:lineRule="auto"/>
              <w:ind w:left="0" w:right="0"/>
              <w:rPr>
                <w:rFonts w:hint="default"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w:t>
            </w:r>
            <w:r>
              <w:rPr>
                <w:rFonts w:hint="default"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sz w:val="18"/>
                <w:szCs w:val="18"/>
              </w:rPr>
            </w:pPr>
            <w:r>
              <w:rPr>
                <w:rFonts w:hint="eastAsia" w:ascii="黑体" w:hAnsi="黑体" w:eastAsia="黑体"/>
                <w:color w:val="000000" w:themeColor="text1"/>
                <w:sz w:val="18"/>
                <w:szCs w:val="18"/>
                <w14:textFill>
                  <w14:solidFill>
                    <w14:schemeClr w14:val="tx1"/>
                  </w14:solidFill>
                </w14:textFill>
              </w:rPr>
              <w:t>（</w:t>
            </w:r>
            <w:r>
              <w:rPr>
                <w:rFonts w:hint="default"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Theme="majorEastAsia" w:hAnsiTheme="majorEastAsia" w:eastAsiaTheme="majorEastAsia"/>
                <w:b/>
                <w:bCs/>
                <w:sz w:val="18"/>
                <w:szCs w:val="18"/>
              </w:rPr>
              <w:t>理财产品</w:t>
            </w:r>
            <w:r>
              <w:rPr>
                <w:rFonts w:hint="default" w:asciiTheme="majorEastAsia" w:hAnsiTheme="majorEastAsia" w:eastAsiaTheme="majorEastAsia"/>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sz w:val="18"/>
                <w:szCs w:val="18"/>
              </w:rPr>
            </w:pPr>
            <w:r>
              <w:rPr>
                <w:rFonts w:hint="default"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hint="default" w:asciiTheme="majorEastAsia" w:hAnsiTheme="majorEastAsia" w:eastAsiaTheme="majorEastAsia"/>
                <w:color w:val="000000" w:themeColor="text1"/>
                <w:sz w:val="18"/>
                <w:szCs w:val="18"/>
                <w14:textFill>
                  <w14:solidFill>
                    <w14:schemeClr w14:val="tx1"/>
                  </w14:solidFill>
                </w14:textFill>
              </w:rPr>
              <w:t>.</w:t>
            </w:r>
            <w:r>
              <w:rPr>
                <w:rFonts w:hint="default"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hint="default" w:asciiTheme="majorEastAsia" w:hAnsiTheme="majorEastAsia" w:eastAsiaTheme="majorEastAsia"/>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hint="default"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hint="default" w:asciiTheme="majorEastAsia" w:hAnsiTheme="majorEastAsia" w:eastAsiaTheme="majorEastAsia"/>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hint="default"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hint="default" w:asciiTheme="majorEastAsia" w:hAnsiTheme="majorEastAsia" w:eastAsiaTheme="majorEastAsia"/>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hAnsi="宋体"/>
                <w:sz w:val="18"/>
                <w:szCs w:val="18"/>
              </w:rPr>
            </w:pPr>
            <w:r>
              <w:rPr>
                <w:rFonts w:hint="default" w:ascii="宋体" w:hAnsi="宋体" w:eastAsia="宋体" w:cs="宋体"/>
                <w:sz w:val="18"/>
              </w:rPr>
              <w:t>1.业绩比较基准的设置</w:t>
            </w:r>
            <w:r>
              <w:rPr>
                <w:rFonts w:hint="default" w:ascii="宋体" w:hAnsi="宋体" w:eastAsia="宋体" w:cs="宋体"/>
                <w:sz w:val="18"/>
              </w:rPr>
              <w:br w:type="textWrapping"/>
            </w:r>
            <w:r>
              <w:rPr>
                <w:rFonts w:hint="default" w:ascii="宋体" w:hAnsi="宋体" w:eastAsia="宋体" w:cs="宋体"/>
                <w:sz w:val="18"/>
              </w:rPr>
              <w:t>■ 产品管理人设置业绩比较基准。</w:t>
            </w:r>
            <w:r>
              <w:rPr>
                <w:rFonts w:hint="default" w:ascii="宋体" w:hAnsi="宋体" w:eastAsia="宋体" w:cs="宋体"/>
                <w:sz w:val="18"/>
              </w:rPr>
              <w:br w:type="textWrapping"/>
            </w:r>
            <w:r>
              <w:rPr>
                <w:rFonts w:hint="default" w:ascii="宋体" w:hAnsi="宋体" w:eastAsia="宋体" w:cs="宋体"/>
                <w:sz w:val="18"/>
              </w:rPr>
              <w:t>（1）业绩比较基准的说明：【根据本产品各类资产的拟投资比例、资产信用利差、久期敞口以及流动性溢价，结合当前宏观环境和各类资产价格所处的位置，参考历史经验和回测结果，设定业绩基准】。</w:t>
            </w:r>
            <w:r>
              <w:rPr>
                <w:rFonts w:hint="default" w:ascii="宋体" w:hAnsi="宋体" w:eastAsia="宋体" w:cs="宋体"/>
                <w:sz w:val="18"/>
              </w:rPr>
              <w:br w:type="textWrapping"/>
            </w:r>
            <w:r>
              <w:rPr>
                <w:rFonts w:hint="default" w:ascii="宋体" w:hAnsi="宋体" w:eastAsia="宋体" w:cs="宋体"/>
                <w:sz w:val="18"/>
              </w:rPr>
              <w:t>（2）业绩比较基准的设定：管理人对本产品设定业绩比较基准：</w:t>
            </w:r>
            <w:r>
              <w:rPr>
                <w:rFonts w:hint="default" w:ascii="宋体" w:hAnsi="宋体" w:eastAsia="宋体" w:cs="宋体"/>
                <w:sz w:val="18"/>
              </w:rPr>
              <w:br w:type="textWrapping"/>
            </w:r>
            <w:r>
              <w:rPr>
                <w:rFonts w:hint="default" w:ascii="宋体" w:hAnsi="宋体" w:eastAsia="宋体" w:cs="宋体"/>
                <w:sz w:val="18"/>
              </w:rPr>
              <w:t>年化【2.27%】。（适用【A】类份额)</w:t>
            </w:r>
            <w:r>
              <w:rPr>
                <w:rFonts w:hint="default" w:ascii="宋体" w:hAnsi="宋体" w:eastAsia="宋体" w:cs="宋体"/>
                <w:sz w:val="18"/>
              </w:rPr>
              <w:br w:type="textWrapping"/>
            </w:r>
            <w:r>
              <w:rPr>
                <w:rFonts w:hint="default" w:ascii="宋体" w:hAnsi="宋体" w:eastAsia="宋体" w:cs="宋体"/>
                <w:sz w:val="18"/>
              </w:rPr>
              <w:t>年化【2.36%】。（适用【B】类份额)</w:t>
            </w:r>
            <w:r>
              <w:rPr>
                <w:rFonts w:hint="default" w:ascii="宋体" w:hAnsi="宋体" w:eastAsia="宋体" w:cs="宋体"/>
                <w:sz w:val="18"/>
              </w:rPr>
              <w:br w:type="textWrapping"/>
            </w:r>
            <w:r>
              <w:rPr>
                <w:rFonts w:hint="default" w:ascii="宋体" w:hAnsi="宋体" w:eastAsia="宋体" w:cs="宋体"/>
                <w:sz w:val="18"/>
              </w:rPr>
              <w:t>年化【2.31%】。（适用【C】类份额)</w:t>
            </w:r>
            <w:r>
              <w:rPr>
                <w:rFonts w:hint="default" w:ascii="宋体" w:hAnsi="宋体" w:eastAsia="宋体" w:cs="宋体"/>
                <w:sz w:val="18"/>
              </w:rPr>
              <w:br w:type="textWrapping"/>
            </w:r>
            <w:r>
              <w:rPr>
                <w:rFonts w:hint="default" w:ascii="宋体" w:hAnsi="宋体" w:eastAsia="宋体" w:cs="宋体"/>
                <w:sz w:val="18"/>
              </w:rPr>
              <w:t>年化【2.21%】。（适用【D】类份额)</w:t>
            </w:r>
            <w:r>
              <w:rPr>
                <w:rFonts w:hint="default" w:ascii="宋体" w:hAnsi="宋体" w:eastAsia="宋体" w:cs="宋体"/>
                <w:sz w:val="18"/>
              </w:rPr>
              <w:br w:type="textWrapping"/>
            </w:r>
            <w:r>
              <w:rPr>
                <w:rFonts w:hint="default" w:ascii="宋体" w:hAnsi="宋体" w:eastAsia="宋体" w:cs="宋体"/>
                <w:sz w:val="18"/>
              </w:rPr>
              <w:t>年化【2.11%】。（适用【E】类份额)</w:t>
            </w:r>
            <w:r>
              <w:rPr>
                <w:rFonts w:hint="default" w:ascii="宋体" w:hAnsi="宋体" w:eastAsia="宋体" w:cs="宋体"/>
                <w:sz w:val="18"/>
              </w:rPr>
              <w:br w:type="textWrapping"/>
            </w:r>
            <w:r>
              <w:rPr>
                <w:rFonts w:hint="default" w:ascii="宋体" w:hAnsi="宋体" w:eastAsia="宋体" w:cs="宋体"/>
                <w:sz w:val="18"/>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Cs/>
                <w:sz w:val="18"/>
                <w:szCs w:val="18"/>
              </w:rPr>
            </w:pPr>
            <w:r>
              <w:rPr>
                <w:rFonts w:hint="default" w:asciiTheme="majorEastAsia" w:hAnsiTheme="majorEastAsia" w:eastAsiaTheme="majorEastAsia"/>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sz w:val="18"/>
                <w:szCs w:val="18"/>
              </w:rPr>
            </w:pPr>
            <w:r>
              <w:rPr>
                <w:rFonts w:hint="eastAsia"/>
                <w:sz w:val="18"/>
                <w:szCs w:val="18"/>
              </w:rPr>
              <w:t>★</w:t>
            </w:r>
            <w:r>
              <w:rPr>
                <w:rFonts w:hint="eastAsia"/>
                <w:b/>
                <w:sz w:val="18"/>
                <w:szCs w:val="18"/>
              </w:rPr>
              <w:t>业绩报酬计提</w:t>
            </w:r>
            <w:r>
              <w:rPr>
                <w:rFonts w:hint="default" w:ascii="宋体" w:hAnsi="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hAnsi="宋体"/>
                <w:bCs/>
                <w:sz w:val="18"/>
                <w:szCs w:val="18"/>
              </w:rPr>
            </w:pPr>
            <w:r>
              <w:rPr>
                <w:rFonts w:hint="default" w:ascii="宋体" w:hAnsi="宋体" w:eastAsia="宋体" w:cs="宋体"/>
                <w:sz w:val="18"/>
              </w:rPr>
              <w:t>1.业绩报酬计提基准的设置</w:t>
            </w:r>
            <w:r>
              <w:rPr>
                <w:rFonts w:hint="default" w:ascii="宋体" w:hAnsi="宋体" w:eastAsia="宋体" w:cs="宋体"/>
                <w:sz w:val="18"/>
              </w:rPr>
              <w:br w:type="textWrapping"/>
            </w:r>
            <w:r>
              <w:rPr>
                <w:rFonts w:hint="default" w:ascii="宋体" w:hAnsi="宋体" w:eastAsia="宋体" w:cs="宋体"/>
                <w:sz w:val="18"/>
              </w:rPr>
              <w:t>■ 产品管理人设置业绩报酬计提基准。</w:t>
            </w:r>
            <w:r>
              <w:rPr>
                <w:rFonts w:hint="default" w:ascii="宋体" w:hAnsi="宋体" w:eastAsia="宋体" w:cs="宋体"/>
                <w:sz w:val="18"/>
              </w:rPr>
              <w:br w:type="textWrapping"/>
            </w:r>
            <w:r>
              <w:rPr>
                <w:rFonts w:hint="default" w:ascii="宋体" w:hAnsi="宋体" w:eastAsia="宋体" w:cs="宋体"/>
                <w:sz w:val="18"/>
              </w:rPr>
              <w:t>业绩报酬计提基准的设定：管理人对本产品设定业绩报酬计提基准：</w:t>
            </w:r>
            <w:r>
              <w:rPr>
                <w:rFonts w:hint="default" w:ascii="宋体" w:hAnsi="宋体" w:eastAsia="宋体" w:cs="宋体"/>
                <w:sz w:val="18"/>
              </w:rPr>
              <w:br w:type="textWrapping"/>
            </w:r>
            <w:r>
              <w:rPr>
                <w:rFonts w:hint="default" w:ascii="宋体" w:hAnsi="宋体" w:eastAsia="宋体" w:cs="宋体"/>
                <w:sz w:val="18"/>
              </w:rPr>
              <w:t>年化【2.27%】。（适用【A】类份额)</w:t>
            </w:r>
            <w:r>
              <w:rPr>
                <w:rFonts w:hint="default" w:ascii="宋体" w:hAnsi="宋体" w:eastAsia="宋体" w:cs="宋体"/>
                <w:sz w:val="18"/>
              </w:rPr>
              <w:br w:type="textWrapping"/>
            </w:r>
            <w:r>
              <w:rPr>
                <w:rFonts w:hint="default" w:ascii="宋体" w:hAnsi="宋体" w:eastAsia="宋体" w:cs="宋体"/>
                <w:sz w:val="18"/>
              </w:rPr>
              <w:t>年化【2.36%】。（适用【B】类份额)</w:t>
            </w:r>
            <w:r>
              <w:rPr>
                <w:rFonts w:hint="default" w:ascii="宋体" w:hAnsi="宋体" w:eastAsia="宋体" w:cs="宋体"/>
                <w:sz w:val="18"/>
              </w:rPr>
              <w:br w:type="textWrapping"/>
            </w:r>
            <w:r>
              <w:rPr>
                <w:rFonts w:hint="default" w:ascii="宋体" w:hAnsi="宋体" w:eastAsia="宋体" w:cs="宋体"/>
                <w:sz w:val="18"/>
              </w:rPr>
              <w:t>年化【2.31%】。（适用【C】类份额)</w:t>
            </w:r>
            <w:r>
              <w:rPr>
                <w:rFonts w:hint="default" w:ascii="宋体" w:hAnsi="宋体" w:eastAsia="宋体" w:cs="宋体"/>
                <w:sz w:val="18"/>
              </w:rPr>
              <w:br w:type="textWrapping"/>
            </w:r>
            <w:r>
              <w:rPr>
                <w:rFonts w:hint="default" w:ascii="宋体" w:hAnsi="宋体" w:eastAsia="宋体" w:cs="宋体"/>
                <w:sz w:val="18"/>
              </w:rPr>
              <w:t>年化【2.21%】。（适用【D】类份额)</w:t>
            </w:r>
            <w:r>
              <w:rPr>
                <w:rFonts w:hint="default" w:ascii="宋体" w:hAnsi="宋体" w:eastAsia="宋体" w:cs="宋体"/>
                <w:sz w:val="18"/>
              </w:rPr>
              <w:br w:type="textWrapping"/>
            </w:r>
            <w:r>
              <w:rPr>
                <w:rFonts w:hint="default" w:ascii="宋体" w:hAnsi="宋体" w:eastAsia="宋体" w:cs="宋体"/>
                <w:sz w:val="18"/>
              </w:rPr>
              <w:t>年化【2.11%】。（适用【E】类份额)</w:t>
            </w:r>
            <w:r>
              <w:rPr>
                <w:rFonts w:hint="default" w:ascii="宋体" w:hAnsi="宋体" w:eastAsia="宋体" w:cs="宋体"/>
                <w:sz w:val="18"/>
              </w:rPr>
              <w:br w:type="textWrapping"/>
            </w:r>
            <w:r>
              <w:rPr>
                <w:rFonts w:hint="default" w:ascii="宋体" w:hAnsi="宋体" w:eastAsia="宋体" w:cs="宋体"/>
                <w:sz w:val="18"/>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bCs/>
                <w:sz w:val="18"/>
                <w:szCs w:val="18"/>
              </w:rPr>
            </w:pPr>
            <w:r>
              <w:rPr>
                <w:rFonts w:hint="default" w:ascii="宋体" w:hAnsi="宋体"/>
                <w:bCs/>
                <w:sz w:val="18"/>
                <w:szCs w:val="18"/>
              </w:rPr>
              <w:t>2.业绩报酬计提基准的提示</w:t>
            </w:r>
            <w:r>
              <w:rPr>
                <w:rFonts w:hint="eastAsia" w:ascii="宋体" w:hAnsi="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sz w:val="18"/>
              </w:rPr>
            </w:pPr>
            <w:r>
              <w:rPr>
                <w:rFonts w:hint="eastAsia" w:ascii="黑体" w:hAnsi="黑体" w:eastAsia="黑体"/>
                <w:sz w:val="18"/>
              </w:rPr>
              <w:t>（</w:t>
            </w:r>
            <w:r>
              <w:rPr>
                <w:rFonts w:hint="default"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keepNext w:val="0"/>
              <w:keepLines w:val="0"/>
              <w:suppressLineNumbers w:val="0"/>
              <w:spacing w:before="0" w:beforeAutospacing="0" w:after="0" w:afterAutospacing="0" w:line="360" w:lineRule="auto"/>
              <w:ind w:left="0" w:right="0"/>
              <w:jc w:val="left"/>
              <w:rPr>
                <w:rFonts w:hint="default" w:ascii="宋体" w:hAnsi="宋体"/>
                <w:b/>
                <w:bCs/>
                <w:sz w:val="18"/>
                <w:szCs w:val="18"/>
              </w:rPr>
            </w:pPr>
            <w:r>
              <w:rPr>
                <w:rFonts w:hint="eastAsia" w:ascii="宋体" w:hAnsi="宋体"/>
                <w:bCs/>
                <w:sz w:val="18"/>
                <w:szCs w:val="18"/>
              </w:rPr>
              <w:t>（</w:t>
            </w:r>
            <w:r>
              <w:rPr>
                <w:rFonts w:hint="default"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bCs/>
                <w:sz w:val="18"/>
                <w:szCs w:val="18"/>
              </w:rPr>
            </w:pPr>
            <w:r>
              <w:rPr>
                <w:rFonts w:hint="eastAsia" w:hAnsi="宋体"/>
                <w:bCs/>
                <w:sz w:val="18"/>
                <w:szCs w:val="18"/>
              </w:rPr>
              <w:t>1</w:t>
            </w:r>
            <w:r>
              <w:rPr>
                <w:rFonts w:hint="default"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hAnsi="宋体"/>
                <w:bCs/>
                <w:sz w:val="18"/>
                <w:szCs w:val="18"/>
              </w:rPr>
            </w:pPr>
            <w:r>
              <w:rPr>
                <w:rFonts w:hint="eastAsia" w:hAnsi="宋体"/>
                <w:bCs/>
                <w:sz w:val="18"/>
                <w:szCs w:val="18"/>
              </w:rPr>
              <w:t>2</w:t>
            </w:r>
            <w:r>
              <w:rPr>
                <w:rFonts w:hint="default"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Theme="majorEastAsia" w:hAnsiTheme="majorEastAsia" w:eastAsiaTheme="majorEastAsia"/>
                <w:bCs/>
                <w:color w:val="000000" w:themeColor="text1"/>
                <w:sz w:val="18"/>
                <w:szCs w:val="18"/>
                <w14:textFill>
                  <w14:solidFill>
                    <w14:schemeClr w14:val="tx1"/>
                  </w14:solidFill>
                </w14:textFill>
              </w:rPr>
            </w:pPr>
            <w:r>
              <w:rPr>
                <w:rFonts w:hint="default" w:ascii="黑体" w:hAnsi="黑体" w:eastAsia="黑体" w:cs="黑体"/>
                <w:sz w:val="18"/>
              </w:rPr>
              <w:t>1.理财产品的费率标准</w:t>
            </w:r>
            <w:r>
              <w:rPr>
                <w:rFonts w:hint="default" w:ascii="黑体" w:hAnsi="黑体" w:eastAsia="黑体" w:cs="黑体"/>
                <w:sz w:val="18"/>
              </w:rPr>
              <w:br w:type="textWrapping"/>
            </w:r>
            <w:r>
              <w:rPr>
                <w:rFonts w:hint="default" w:ascii="黑体" w:hAnsi="黑体" w:eastAsia="黑体" w:cs="黑体"/>
                <w:sz w:val="18"/>
              </w:rPr>
              <w:t>（1）认购费：</w:t>
            </w:r>
            <w:r>
              <w:rPr>
                <w:rFonts w:hint="default" w:ascii="黑体" w:hAnsi="黑体" w:eastAsia="黑体" w:cs="黑体"/>
                <w:sz w:val="18"/>
              </w:rPr>
              <w:br w:type="textWrapping"/>
            </w:r>
            <w:r>
              <w:rPr>
                <w:rFonts w:hint="default" w:ascii="黑体" w:hAnsi="黑体" w:eastAsia="黑体" w:cs="黑体"/>
                <w:sz w:val="18"/>
              </w:rPr>
              <w:t>【/】。（适用【A】类份额）</w:t>
            </w:r>
            <w:r>
              <w:rPr>
                <w:rFonts w:hint="default" w:ascii="黑体" w:hAnsi="黑体" w:eastAsia="黑体" w:cs="黑体"/>
                <w:sz w:val="18"/>
              </w:rPr>
              <w:br w:type="textWrapping"/>
            </w:r>
            <w:r>
              <w:rPr>
                <w:rFonts w:hint="default" w:ascii="黑体" w:hAnsi="黑体" w:eastAsia="黑体" w:cs="黑体"/>
                <w:sz w:val="18"/>
              </w:rPr>
              <w:t>【/】。（适用【B】类份额）</w:t>
            </w:r>
            <w:r>
              <w:rPr>
                <w:rFonts w:hint="default" w:ascii="黑体" w:hAnsi="黑体" w:eastAsia="黑体" w:cs="黑体"/>
                <w:sz w:val="18"/>
              </w:rPr>
              <w:br w:type="textWrapping"/>
            </w:r>
            <w:r>
              <w:rPr>
                <w:rFonts w:hint="default" w:ascii="黑体" w:hAnsi="黑体" w:eastAsia="黑体" w:cs="黑体"/>
                <w:sz w:val="18"/>
              </w:rPr>
              <w:t>【/】。（适用【C】类份额）</w:t>
            </w:r>
            <w:r>
              <w:rPr>
                <w:rFonts w:hint="default" w:ascii="黑体" w:hAnsi="黑体" w:eastAsia="黑体" w:cs="黑体"/>
                <w:sz w:val="18"/>
              </w:rPr>
              <w:br w:type="textWrapping"/>
            </w:r>
            <w:r>
              <w:rPr>
                <w:rFonts w:hint="default" w:ascii="黑体" w:hAnsi="黑体" w:eastAsia="黑体" w:cs="黑体"/>
                <w:sz w:val="18"/>
              </w:rPr>
              <w:t>【/】。（适用【D】类份额）</w:t>
            </w:r>
            <w:r>
              <w:rPr>
                <w:rFonts w:hint="default" w:ascii="黑体" w:hAnsi="黑体" w:eastAsia="黑体" w:cs="黑体"/>
                <w:sz w:val="18"/>
              </w:rPr>
              <w:br w:type="textWrapping"/>
            </w:r>
            <w:r>
              <w:rPr>
                <w:rFonts w:hint="default" w:ascii="黑体" w:hAnsi="黑体" w:eastAsia="黑体" w:cs="黑体"/>
                <w:sz w:val="18"/>
              </w:rPr>
              <w:t>【/】。（适用【E】类份额）</w:t>
            </w:r>
            <w:r>
              <w:rPr>
                <w:rFonts w:hint="default" w:ascii="黑体" w:hAnsi="黑体" w:eastAsia="黑体" w:cs="黑体"/>
                <w:sz w:val="18"/>
              </w:rPr>
              <w:br w:type="textWrapping"/>
            </w:r>
            <w:r>
              <w:rPr>
                <w:rFonts w:hint="default" w:ascii="黑体" w:hAnsi="黑体" w:eastAsia="黑体" w:cs="黑体"/>
                <w:sz w:val="18"/>
              </w:rPr>
              <w:t>（2）销售服务费：</w:t>
            </w:r>
            <w:r>
              <w:rPr>
                <w:rFonts w:hint="default" w:ascii="黑体" w:hAnsi="黑体" w:eastAsia="黑体" w:cs="黑体"/>
                <w:sz w:val="18"/>
              </w:rPr>
              <w:br w:type="textWrapping"/>
            </w:r>
            <w:r>
              <w:rPr>
                <w:rFonts w:hint="default" w:ascii="黑体" w:hAnsi="黑体" w:eastAsia="黑体" w:cs="黑体"/>
                <w:sz w:val="18"/>
              </w:rPr>
              <w:t>年化费率【0.14%】。（适用【A】类份额）</w:t>
            </w:r>
            <w:r>
              <w:rPr>
                <w:rFonts w:hint="default" w:ascii="黑体" w:hAnsi="黑体" w:eastAsia="黑体" w:cs="黑体"/>
                <w:sz w:val="18"/>
              </w:rPr>
              <w:br w:type="textWrapping"/>
            </w:r>
            <w:r>
              <w:rPr>
                <w:rFonts w:hint="default" w:ascii="黑体" w:hAnsi="黑体" w:eastAsia="黑体" w:cs="黑体"/>
                <w:sz w:val="18"/>
              </w:rPr>
              <w:t>年化费率【0.05%】。（适用【B】类份额）</w:t>
            </w:r>
            <w:r>
              <w:rPr>
                <w:rFonts w:hint="default" w:ascii="黑体" w:hAnsi="黑体" w:eastAsia="黑体" w:cs="黑体"/>
                <w:sz w:val="18"/>
              </w:rPr>
              <w:br w:type="textWrapping"/>
            </w:r>
            <w:r>
              <w:rPr>
                <w:rFonts w:hint="default" w:ascii="黑体" w:hAnsi="黑体" w:eastAsia="黑体" w:cs="黑体"/>
                <w:sz w:val="18"/>
              </w:rPr>
              <w:t>年化费率【0.1%】。（适用【C】类份额）</w:t>
            </w:r>
            <w:r>
              <w:rPr>
                <w:rFonts w:hint="default" w:ascii="黑体" w:hAnsi="黑体" w:eastAsia="黑体" w:cs="黑体"/>
                <w:sz w:val="18"/>
              </w:rPr>
              <w:br w:type="textWrapping"/>
            </w:r>
            <w:r>
              <w:rPr>
                <w:rFonts w:hint="default" w:ascii="黑体" w:hAnsi="黑体" w:eastAsia="黑体" w:cs="黑体"/>
                <w:sz w:val="18"/>
              </w:rPr>
              <w:t>年化费率【0.2%】。（适用【D】类份额）</w:t>
            </w:r>
            <w:r>
              <w:rPr>
                <w:rFonts w:hint="default" w:ascii="黑体" w:hAnsi="黑体" w:eastAsia="黑体" w:cs="黑体"/>
                <w:sz w:val="18"/>
              </w:rPr>
              <w:br w:type="textWrapping"/>
            </w:r>
            <w:r>
              <w:rPr>
                <w:rFonts w:hint="default" w:ascii="黑体" w:hAnsi="黑体" w:eastAsia="黑体" w:cs="黑体"/>
                <w:sz w:val="18"/>
              </w:rPr>
              <w:t>年化费率【0.3%】。（适用【E】类份额）</w:t>
            </w:r>
            <w:r>
              <w:rPr>
                <w:rFonts w:hint="default" w:ascii="黑体" w:hAnsi="黑体" w:eastAsia="黑体" w:cs="黑体"/>
                <w:sz w:val="18"/>
              </w:rPr>
              <w:br w:type="textWrapping"/>
            </w:r>
            <w:r>
              <w:rPr>
                <w:rFonts w:hint="default" w:ascii="黑体" w:hAnsi="黑体" w:eastAsia="黑体" w:cs="黑体"/>
                <w:sz w:val="18"/>
              </w:rPr>
              <w:t>（3）投资管理费：年化费率【0.01%】</w:t>
            </w:r>
            <w:r>
              <w:rPr>
                <w:rFonts w:hint="default" w:ascii="黑体" w:hAnsi="黑体" w:eastAsia="黑体" w:cs="黑体"/>
                <w:sz w:val="18"/>
              </w:rPr>
              <w:br w:type="textWrapping"/>
            </w:r>
            <w:r>
              <w:rPr>
                <w:rFonts w:hint="default" w:ascii="黑体" w:hAnsi="黑体" w:eastAsia="黑体" w:cs="黑体"/>
                <w:sz w:val="18"/>
              </w:rPr>
              <w:t>（4）产品托管费：年化费率【0.01%】</w:t>
            </w:r>
            <w:r>
              <w:rPr>
                <w:rFonts w:hint="default" w:ascii="黑体" w:hAnsi="黑体" w:eastAsia="黑体" w:cs="黑体"/>
                <w:sz w:val="18"/>
              </w:rPr>
              <w:br w:type="textWrapping"/>
            </w:r>
            <w:r>
              <w:rPr>
                <w:rFonts w:hint="default" w:ascii="黑体" w:hAnsi="黑体" w:eastAsia="黑体" w:cs="黑体"/>
                <w:sz w:val="18"/>
              </w:rPr>
              <w:t>（5）超额业绩报酬：</w:t>
            </w:r>
            <w:r>
              <w:rPr>
                <w:rFonts w:hint="default" w:ascii="黑体" w:hAnsi="黑体" w:eastAsia="黑体" w:cs="黑体"/>
                <w:sz w:val="18"/>
              </w:rPr>
              <w:br w:type="textWrapping"/>
            </w:r>
            <w:r>
              <w:rPr>
                <w:rFonts w:hint="default"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hAnsi="宋体"/>
                <w:sz w:val="18"/>
                <w:szCs w:val="18"/>
              </w:rPr>
            </w:pPr>
            <w:r>
              <w:rPr>
                <w:rFonts w:hint="eastAsia" w:ascii="宋体" w:hAnsi="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70" w:name="_Toc79154666"/>
      <w:bookmarkStart w:id="71" w:name="_Toc176189755"/>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hint="default" w:cs="Times New Roman" w:asciiTheme="minorEastAsia" w:hAnsiTheme="minorEastAsia" w:eastAsiaTheme="minorEastAsia"/>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认购期/募集期内资金产生的利息（如有），不计入本金份额。</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pPr>
        <w:pStyle w:val="2"/>
        <w:spacing w:before="0" w:after="0" w:line="360" w:lineRule="auto"/>
        <w:jc w:val="center"/>
        <w:rPr>
          <w:rFonts w:ascii="Times New Roman"/>
          <w:sz w:val="30"/>
        </w:rPr>
      </w:pPr>
      <w:bookmarkStart w:id="75" w:name="_Toc176189756"/>
      <w:bookmarkStart w:id="76" w:name="_Toc4771"/>
      <w:bookmarkStart w:id="77" w:name="_Toc16265"/>
      <w:bookmarkStart w:id="78" w:name="_Toc79154668"/>
      <w:bookmarkStart w:id="79" w:name="_Toc74065741"/>
      <w:bookmarkStart w:id="80" w:name="_Toc27226"/>
      <w:bookmarkStart w:id="81" w:name="_Toc7151"/>
      <w:bookmarkStart w:id="82" w:name="_Toc15203"/>
      <w:bookmarkStart w:id="83" w:name="_Toc22074"/>
      <w:bookmarkStart w:id="84" w:name="_Toc6714"/>
      <w:bookmarkStart w:id="85" w:name="_Toc90742321"/>
      <w:bookmarkStart w:id="86" w:name="_Toc29948"/>
      <w:bookmarkStart w:id="87" w:name="_Toc90742390"/>
      <w:bookmarkStart w:id="88" w:name="_Toc90742688"/>
      <w:bookmarkStart w:id="89" w:name="_Toc3266"/>
      <w:bookmarkStart w:id="90" w:name="_Toc29784"/>
      <w:bookmarkStart w:id="91" w:name="_Toc27189"/>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hint="eastAsia" w:asciiTheme="majorEastAsia" w:hAnsiTheme="majorEastAsia" w:eastAsiaTheme="majorEastAsia"/>
          <w:bCs/>
          <w:color w:val="auto"/>
          <w:sz w:val="18"/>
          <w:szCs w:val="18"/>
        </w:rPr>
      </w:pPr>
      <w:r>
        <w:rPr>
          <w:rFonts w:ascii="宋体" w:hAnsi="宋体" w:eastAsia="宋体" w:cs="宋体"/>
          <w:sz w:val="18"/>
        </w:rPr>
        <w:t>（1）银行存款、债券逆回购、货币基金等货币市场工具及其它银行间和交易所资金融通工具；</w:t>
      </w:r>
      <w:r>
        <w:rPr>
          <w:rFonts w:ascii="宋体" w:hAnsi="宋体" w:eastAsia="宋体" w:cs="宋体"/>
          <w:sz w:val="18"/>
        </w:rPr>
        <w:br w:type="textWrapping"/>
      </w:r>
      <w:r>
        <w:rPr>
          <w:rFonts w:ascii="宋体" w:hAnsi="宋体" w:eastAsia="宋体" w:cs="宋体"/>
          <w:sz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rPr>
        <w:br w:type="textWrapping"/>
      </w:r>
      <w:r>
        <w:rPr>
          <w:rFonts w:ascii="宋体" w:hAnsi="宋体" w:eastAsia="宋体" w:cs="宋体"/>
          <w:sz w:val="18"/>
        </w:rPr>
        <w:t>（3）符合监管要求的债权类资产。</w:t>
      </w:r>
      <w:r>
        <w:rPr>
          <w:rFonts w:ascii="宋体" w:hAnsi="宋体" w:eastAsia="宋体" w:cs="宋体"/>
          <w:sz w:val="18"/>
        </w:rPr>
        <w:br w:type="textWrapping"/>
      </w:r>
      <w:r>
        <w:rPr>
          <w:rFonts w:ascii="宋体" w:hAnsi="宋体" w:eastAsia="宋体" w:cs="宋体"/>
          <w:sz w:val="18"/>
        </w:rPr>
        <w:t>（4）以套期保值为目的的国债期货、利率互换、信用风险缓释工具、债券借贷。</w:t>
      </w:r>
      <w:r>
        <w:rPr>
          <w:rFonts w:ascii="宋体" w:hAnsi="宋体" w:eastAsia="宋体" w:cs="宋体"/>
          <w:sz w:val="18"/>
        </w:rPr>
        <w:br w:type="textWrapping"/>
      </w:r>
      <w:r>
        <w:rPr>
          <w:rFonts w:ascii="宋体" w:hAnsi="宋体" w:eastAsia="宋体" w:cs="宋体"/>
          <w:sz w:val="18"/>
        </w:rPr>
        <w:t>（5）优先股。</w:t>
      </w:r>
      <w:r>
        <w:rPr>
          <w:rFonts w:ascii="宋体" w:hAnsi="宋体" w:eastAsia="宋体" w:cs="宋体"/>
          <w:sz w:val="18"/>
        </w:rPr>
        <w:br w:type="textWrapping"/>
      </w:r>
      <w:r>
        <w:rPr>
          <w:rFonts w:ascii="宋体" w:hAnsi="宋体" w:eastAsia="宋体" w:cs="宋体"/>
          <w:sz w:val="18"/>
        </w:rPr>
        <w:t>（6）结构化资产管理产品的优先级份额。</w:t>
      </w:r>
      <w:r>
        <w:rPr>
          <w:rFonts w:ascii="宋体" w:hAnsi="宋体" w:eastAsia="宋体" w:cs="宋体"/>
          <w:sz w:val="18"/>
        </w:rPr>
        <w:br w:type="textWrapping"/>
      </w:r>
      <w:r>
        <w:rPr>
          <w:rFonts w:ascii="宋体" w:hAnsi="宋体" w:eastAsia="宋体" w:cs="宋体"/>
          <w:sz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rPr>
        <w:br w:type="textWrapping"/>
      </w:r>
      <w:r>
        <w:rPr>
          <w:rFonts w:ascii="宋体" w:hAnsi="宋体" w:eastAsia="宋体" w:cs="宋体"/>
          <w:sz w:val="18"/>
        </w:rPr>
        <w:t>（8）其他风险不高于前述资产的资产。</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（2）国债期货、利率互换、信用风险缓释工具等衍生品占产品总资产比例低于20%。</w:t>
      </w:r>
      <w:r>
        <w:rPr>
          <w:rFonts w:ascii="宋体" w:hAnsi="宋体" w:eastAsia="宋体" w:cs="宋体"/>
          <w:sz w:val="18"/>
        </w:rPr>
        <w:br w:type="textWrapping"/>
      </w:r>
      <w:r>
        <w:rPr>
          <w:rFonts w:ascii="宋体" w:hAnsi="宋体" w:eastAsia="宋体" w:cs="宋体"/>
          <w:sz w:val="18"/>
        </w:rPr>
        <w:t>（3）投资于权益类资产的比例不高于产品总资产的10%，权益类资产仅限于投资于优先股和结构化资产管理产品的优先级份额。</w:t>
      </w:r>
      <w:r>
        <w:rPr>
          <w:rFonts w:ascii="宋体" w:hAnsi="宋体" w:eastAsia="宋体" w:cs="宋体"/>
          <w:sz w:val="18"/>
        </w:rPr>
        <w:br w:type="textWrapping"/>
      </w:r>
      <w:r>
        <w:rPr>
          <w:rFonts w:ascii="宋体" w:hAnsi="宋体" w:eastAsia="宋体" w:cs="宋体"/>
          <w:sz w:val="18"/>
        </w:rPr>
        <w:t>（4）符合监管要求的非标准化债权类资产低于产品净资产的50%。</w:t>
      </w:r>
      <w:r>
        <w:rPr>
          <w:rFonts w:ascii="宋体" w:hAnsi="宋体" w:eastAsia="宋体" w:cs="宋体"/>
          <w:sz w:val="18"/>
        </w:rPr>
        <w:br w:type="textWrapping"/>
      </w:r>
      <w:r>
        <w:rPr>
          <w:rFonts w:ascii="宋体" w:hAnsi="宋体" w:eastAsia="宋体" w:cs="宋体"/>
          <w:b/>
          <w:bCs/>
          <w:sz w:val="18"/>
        </w:rPr>
        <w:t>注：本产品可能投资不存在活跃交易市场，并且需要采用估值技术确定公允价值的资产，且投资上述资产的比例达到理财产品净资产50%以上。</w:t>
      </w:r>
      <w:r>
        <w:rPr>
          <w:rFonts w:ascii="宋体" w:hAnsi="宋体" w:eastAsia="宋体" w:cs="宋体"/>
          <w:b/>
          <w:bCs/>
          <w:sz w:val="18"/>
        </w:rPr>
        <w:br w:type="textWrapping"/>
      </w:r>
      <w:r>
        <w:rPr>
          <w:rFonts w:ascii="宋体" w:hAnsi="宋体" w:eastAsia="宋体" w:cs="宋体"/>
          <w:sz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spacing w:line="360" w:lineRule="auto"/>
        <w:ind w:firstLine="360" w:firstLineChars="200"/>
        <w:rPr>
          <w:rFonts w:hint="eastAsia" w:asciiTheme="majorEastAsia" w:hAnsiTheme="majorEastAsia" w:eastAsiaTheme="majorEastAsia"/>
          <w:bCs/>
          <w:sz w:val="18"/>
          <w:szCs w:val="18"/>
        </w:rPr>
      </w:pPr>
      <w:r>
        <w:rPr>
          <w:rFonts w:ascii="宋体" w:hAnsi="宋体" w:eastAsia="宋体" w:cs="宋体"/>
          <w:sz w:val="18"/>
        </w:rPr>
        <w:t>（1）每只公募理财产品投资单只证券或者单只公募证券投资基金的市值不得超过该理财产品净资产的10%。</w:t>
      </w:r>
      <w:r>
        <w:rPr>
          <w:rFonts w:ascii="宋体" w:hAnsi="宋体" w:eastAsia="宋体" w:cs="宋体"/>
          <w:sz w:val="18"/>
        </w:rPr>
        <w:br w:type="textWrapping"/>
      </w:r>
      <w:r>
        <w:rPr>
          <w:rFonts w:ascii="宋体" w:hAnsi="宋体" w:eastAsia="宋体" w:cs="宋体"/>
          <w:sz w:val="18"/>
        </w:rPr>
        <w:t>（2）全部公募理财产品持有单只证券或单只公募证券投资基金的市值，不得超过该证券市值或该公募证券投资基金市值的30%。</w:t>
      </w:r>
      <w:r>
        <w:rPr>
          <w:rFonts w:ascii="宋体" w:hAnsi="宋体" w:eastAsia="宋体" w:cs="宋体"/>
          <w:sz w:val="18"/>
        </w:rPr>
        <w:br w:type="textWrapping"/>
      </w:r>
      <w:r>
        <w:rPr>
          <w:rFonts w:ascii="宋体" w:hAnsi="宋体" w:eastAsia="宋体" w:cs="宋体"/>
          <w:sz w:val="18"/>
        </w:rPr>
        <w:t>（3）全部理财产品持有单一上市公司发行的股票，不得超过该上市公司可流通股票的30%。</w:t>
      </w:r>
      <w:r>
        <w:rPr>
          <w:rFonts w:ascii="宋体" w:hAnsi="宋体" w:eastAsia="宋体" w:cs="宋体"/>
          <w:sz w:val="18"/>
        </w:rPr>
        <w:br w:type="textWrapping"/>
      </w:r>
      <w:r>
        <w:rPr>
          <w:rFonts w:ascii="宋体" w:hAnsi="宋体" w:eastAsia="宋体" w:cs="宋体"/>
          <w:sz w:val="18"/>
        </w:rPr>
        <w:t xml:space="preserve">（4）全部开放式公募理财产品投资单一上市公司发行的股票不得超过该上市公司可流通股票的15%。 </w:t>
      </w:r>
      <w:r>
        <w:rPr>
          <w:rFonts w:ascii="宋体" w:hAnsi="宋体" w:eastAsia="宋体" w:cs="宋体"/>
          <w:sz w:val="18"/>
        </w:rPr>
        <w:br w:type="textWrapping"/>
      </w:r>
      <w:r>
        <w:rPr>
          <w:rFonts w:ascii="宋体" w:hAnsi="宋体" w:eastAsia="宋体" w:cs="宋体"/>
          <w:sz w:val="18"/>
        </w:rPr>
        <w:t>（5）本产品因为流动性需要可开展存单质押、债券正回购等融资业务，本产品总资产不超过净资产的200%。</w:t>
      </w:r>
      <w:r>
        <w:rPr>
          <w:rFonts w:ascii="宋体" w:hAnsi="宋体" w:eastAsia="宋体" w:cs="宋体"/>
          <w:sz w:val="18"/>
        </w:rPr>
        <w:br w:type="textWrapping"/>
      </w:r>
      <w:r>
        <w:rPr>
          <w:rFonts w:ascii="宋体" w:hAnsi="宋体" w:eastAsia="宋体" w:cs="宋体"/>
          <w:sz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4"/>
        <w:spacing w:line="360" w:lineRule="auto"/>
        <w:ind w:firstLine="360" w:firstLineChars="200"/>
        <w:rPr>
          <w:rFonts w:asciiTheme="majorEastAsia" w:hAnsiTheme="majorEastAsia" w:eastAsiaTheme="majorEastAsia"/>
          <w:sz w:val="18"/>
          <w:szCs w:val="18"/>
        </w:rPr>
      </w:pPr>
      <w:r>
        <w:rPr>
          <w:rFonts w:ascii="宋体" w:hAnsi="宋体" w:eastAsia="宋体" w:cs="宋体"/>
          <w:sz w:val="18"/>
        </w:rPr>
        <w:t>【通过对经济基本面、企业盈利、无风险利率水平、资金面等因素进行定性和定量分析，根据产品的业绩目标和回撤目标制定各个阶段产品资产投资比例。</w:t>
      </w:r>
      <w:r>
        <w:rPr>
          <w:rFonts w:ascii="宋体" w:hAnsi="宋体" w:eastAsia="宋体" w:cs="宋体"/>
          <w:sz w:val="18"/>
        </w:rPr>
        <w:br w:type="textWrapping"/>
      </w:r>
      <w:r>
        <w:rPr>
          <w:rFonts w:ascii="宋体" w:hAnsi="宋体" w:eastAsia="宋体" w:cs="宋体"/>
          <w:sz w:val="18"/>
        </w:rPr>
        <w:br w:type="textWrapping"/>
      </w:r>
      <w:r>
        <w:rPr>
          <w:rFonts w:ascii="宋体" w:hAnsi="宋体" w:eastAsia="宋体" w:cs="宋体"/>
          <w:sz w:val="18"/>
        </w:rPr>
        <w:t>】</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93" w:name="_Toc26986"/>
      <w:bookmarkStart w:id="94" w:name="_Toc1823"/>
      <w:bookmarkStart w:id="95" w:name="_Toc14893"/>
      <w:bookmarkStart w:id="96" w:name="_Toc18526"/>
      <w:bookmarkStart w:id="97" w:name="_Toc17912"/>
      <w:bookmarkStart w:id="98" w:name="_Toc4741"/>
      <w:bookmarkStart w:id="99" w:name="_Toc139991735"/>
      <w:bookmarkStart w:id="100" w:name="_Toc74065742"/>
      <w:bookmarkStart w:id="101" w:name="_Toc18329"/>
      <w:bookmarkStart w:id="102" w:name="_Toc21988"/>
      <w:bookmarkStart w:id="103" w:name="_Toc7848"/>
      <w:bookmarkStart w:id="104" w:name="_Toc176189758"/>
      <w:bookmarkStart w:id="105" w:name="_Toc18797"/>
      <w:bookmarkStart w:id="106" w:name="_Toc79154669"/>
      <w:bookmarkStart w:id="107" w:name="_Toc141703885"/>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pPr>
        <w:pStyle w:val="2"/>
        <w:spacing w:before="0" w:after="0" w:line="360" w:lineRule="auto"/>
        <w:jc w:val="center"/>
        <w:rPr>
          <w:rFonts w:ascii="Times New Roman"/>
          <w:sz w:val="30"/>
        </w:rPr>
      </w:pPr>
      <w:bookmarkStart w:id="109" w:name="_Toc141703886"/>
      <w:bookmarkStart w:id="110" w:name="_Toc10463"/>
      <w:bookmarkStart w:id="111" w:name="_Toc48649707"/>
      <w:bookmarkStart w:id="112" w:name="_Toc1427"/>
      <w:bookmarkStart w:id="113" w:name="_Toc123051452"/>
      <w:bookmarkStart w:id="114" w:name="_Toc79154670"/>
      <w:bookmarkStart w:id="115" w:name="_Toc1270"/>
      <w:bookmarkStart w:id="116" w:name="_Toc176189759"/>
      <w:bookmarkStart w:id="117" w:name="_Toc74065743"/>
      <w:bookmarkStart w:id="118" w:name="_Toc79392606"/>
      <w:bookmarkStart w:id="119" w:name="_Toc7920"/>
      <w:bookmarkStart w:id="120" w:name="_Toc20733"/>
      <w:bookmarkStart w:id="121" w:name="_Toc139991736"/>
      <w:bookmarkStart w:id="122" w:name="_Toc17244"/>
      <w:bookmarkStart w:id="123" w:name="_Toc23822"/>
      <w:bookmarkStart w:id="124" w:name="_Toc610"/>
      <w:bookmarkStart w:id="125" w:name="_Toc123112234"/>
      <w:bookmarkStart w:id="126" w:name="_Toc123102453"/>
      <w:bookmarkStart w:id="127" w:name="_Toc98560352"/>
      <w:bookmarkStart w:id="128" w:name="_Toc4003"/>
      <w:bookmarkStart w:id="129" w:name="_Toc23261"/>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4"/>
        <w:spacing w:line="360" w:lineRule="auto"/>
        <w:ind w:firstLine="361" w:firstLineChars="200"/>
        <w:rPr>
          <w:rFonts w:hAnsi="宋体"/>
          <w:b/>
          <w:bCs/>
          <w:sz w:val="18"/>
          <w:szCs w:val="18"/>
        </w:rPr>
      </w:pPr>
      <w:r>
        <w:rPr>
          <w:rFonts w:hint="eastAsia" w:hAnsi="宋体"/>
          <w:b/>
          <w:bCs/>
          <w:sz w:val="18"/>
          <w:szCs w:val="18"/>
        </w:rPr>
        <w:t>（一）估值目的</w:t>
      </w:r>
    </w:p>
    <w:p>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pPr>
        <w:pStyle w:val="14"/>
        <w:spacing w:line="360" w:lineRule="auto"/>
        <w:ind w:firstLine="361" w:firstLineChars="200"/>
        <w:rPr>
          <w:rFonts w:hAnsi="宋体"/>
          <w:b/>
          <w:bCs/>
          <w:sz w:val="18"/>
          <w:szCs w:val="18"/>
        </w:rPr>
      </w:pPr>
      <w:r>
        <w:rPr>
          <w:rFonts w:hint="eastAsia" w:hAnsi="宋体"/>
          <w:b/>
          <w:bCs/>
          <w:sz w:val="18"/>
          <w:szCs w:val="18"/>
        </w:rPr>
        <w:t>（二）估值频率</w:t>
      </w:r>
    </w:p>
    <w:p>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pPr>
        <w:pStyle w:val="14"/>
        <w:spacing w:line="360" w:lineRule="auto"/>
        <w:ind w:firstLine="452" w:firstLineChars="250"/>
        <w:rPr>
          <w:rFonts w:hAnsi="宋体"/>
          <w:b/>
          <w:bCs/>
          <w:sz w:val="18"/>
          <w:szCs w:val="18"/>
        </w:rPr>
      </w:pPr>
      <w:r>
        <w:rPr>
          <w:rFonts w:hint="eastAsia" w:hAnsi="宋体"/>
          <w:b/>
          <w:bCs/>
          <w:sz w:val="18"/>
          <w:szCs w:val="18"/>
        </w:rPr>
        <w:t>（三）估值对象</w:t>
      </w:r>
    </w:p>
    <w:p>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pPr>
        <w:pStyle w:val="14"/>
        <w:spacing w:line="360" w:lineRule="auto"/>
        <w:ind w:firstLine="452" w:firstLineChars="250"/>
        <w:rPr>
          <w:rFonts w:hAnsi="宋体"/>
          <w:b/>
          <w:bCs/>
          <w:sz w:val="18"/>
          <w:szCs w:val="18"/>
        </w:rPr>
      </w:pPr>
      <w:r>
        <w:rPr>
          <w:rFonts w:hint="eastAsia" w:hAnsi="宋体"/>
          <w:b/>
          <w:bCs/>
          <w:sz w:val="18"/>
          <w:szCs w:val="18"/>
        </w:rPr>
        <w:t>（四）估值方法</w:t>
      </w:r>
    </w:p>
    <w:p>
      <w:pPr>
        <w:pStyle w:val="14"/>
        <w:spacing w:line="360" w:lineRule="auto"/>
        <w:ind w:firstLine="360" w:firstLineChars="200"/>
        <w:rPr>
          <w:rFonts w:hAnsi="宋体"/>
          <w:bCs/>
          <w:sz w:val="18"/>
          <w:szCs w:val="18"/>
        </w:rPr>
      </w:pPr>
      <w:r>
        <w:rPr>
          <w:rFonts w:hAnsi="宋体"/>
          <w:bCs/>
          <w:sz w:val="18"/>
          <w:szCs w:val="18"/>
        </w:rPr>
        <w:t>1.标准化债权类资产估值</w:t>
      </w:r>
    </w:p>
    <w:p>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14"/>
        <w:spacing w:line="360" w:lineRule="auto"/>
        <w:ind w:firstLine="360" w:firstLineChars="200"/>
        <w:rPr>
          <w:rFonts w:hAnsi="宋体"/>
          <w:sz w:val="18"/>
          <w:szCs w:val="18"/>
        </w:rPr>
      </w:pPr>
      <w:r>
        <w:rPr>
          <w:rFonts w:hAnsi="宋体"/>
          <w:bCs/>
          <w:sz w:val="18"/>
          <w:szCs w:val="18"/>
        </w:rPr>
        <w:t>3.非标准化债权类资产</w:t>
      </w:r>
    </w:p>
    <w:p>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pStyle w:val="14"/>
        <w:spacing w:line="360" w:lineRule="auto"/>
        <w:ind w:firstLine="360" w:firstLineChars="200"/>
        <w:rPr>
          <w:rFonts w:hAnsi="宋体"/>
          <w:bCs/>
          <w:sz w:val="18"/>
          <w:szCs w:val="18"/>
        </w:rPr>
      </w:pPr>
      <w:r>
        <w:rPr>
          <w:rFonts w:hAnsi="宋体"/>
          <w:bCs/>
          <w:sz w:val="18"/>
          <w:szCs w:val="18"/>
        </w:rPr>
        <w:t>4.上市公司股票估值</w:t>
      </w:r>
    </w:p>
    <w:p>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pPr>
        <w:pStyle w:val="14"/>
        <w:spacing w:line="360" w:lineRule="auto"/>
        <w:ind w:firstLine="360" w:firstLineChars="200"/>
        <w:rPr>
          <w:rFonts w:hAnsi="宋体"/>
          <w:bCs/>
          <w:sz w:val="18"/>
          <w:szCs w:val="18"/>
        </w:rPr>
      </w:pPr>
      <w:r>
        <w:rPr>
          <w:rFonts w:hAnsi="宋体"/>
          <w:bCs/>
          <w:sz w:val="18"/>
          <w:szCs w:val="18"/>
        </w:rPr>
        <w:t>5.未上市公司股权</w:t>
      </w:r>
    </w:p>
    <w:p>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pPr>
        <w:pStyle w:val="14"/>
        <w:spacing w:line="360" w:lineRule="auto"/>
        <w:ind w:firstLine="360" w:firstLineChars="200"/>
        <w:rPr>
          <w:rFonts w:hAnsi="宋体"/>
          <w:bCs/>
          <w:sz w:val="18"/>
          <w:szCs w:val="18"/>
        </w:rPr>
      </w:pPr>
      <w:r>
        <w:rPr>
          <w:rFonts w:hAnsi="宋体"/>
          <w:bCs/>
          <w:sz w:val="18"/>
          <w:szCs w:val="18"/>
        </w:rPr>
        <w:t>6.优先股</w:t>
      </w:r>
    </w:p>
    <w:p>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14"/>
        <w:spacing w:line="360" w:lineRule="auto"/>
        <w:ind w:firstLine="360" w:firstLineChars="200"/>
        <w:rPr>
          <w:rFonts w:hAnsi="宋体"/>
          <w:bCs/>
          <w:sz w:val="18"/>
          <w:szCs w:val="18"/>
        </w:rPr>
      </w:pPr>
      <w:r>
        <w:rPr>
          <w:rFonts w:hAnsi="宋体"/>
          <w:bCs/>
          <w:sz w:val="18"/>
          <w:szCs w:val="18"/>
        </w:rPr>
        <w:t>7.证券投资基金估值</w:t>
      </w:r>
    </w:p>
    <w:p>
      <w:pPr>
        <w:pStyle w:val="14"/>
        <w:spacing w:line="360" w:lineRule="auto"/>
        <w:ind w:firstLine="360" w:firstLineChars="200"/>
        <w:rPr>
          <w:rFonts w:hAnsi="宋体"/>
          <w:sz w:val="18"/>
          <w:szCs w:val="18"/>
        </w:rPr>
      </w:pPr>
      <w:r>
        <w:rPr>
          <w:rFonts w:hint="eastAsia" w:hAnsi="宋体"/>
          <w:sz w:val="18"/>
          <w:szCs w:val="18"/>
        </w:rPr>
        <w:t>（1）非上市基金估值</w:t>
      </w:r>
    </w:p>
    <w:p>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4"/>
        <w:spacing w:line="360" w:lineRule="auto"/>
        <w:ind w:firstLine="360" w:firstLineChars="200"/>
        <w:rPr>
          <w:rFonts w:hAnsi="宋体"/>
          <w:sz w:val="18"/>
          <w:szCs w:val="18"/>
        </w:rPr>
      </w:pPr>
      <w:r>
        <w:rPr>
          <w:rFonts w:hint="eastAsia" w:hAnsi="宋体"/>
          <w:sz w:val="18"/>
          <w:szCs w:val="18"/>
        </w:rPr>
        <w:t>（2）上市基金估值</w:t>
      </w:r>
    </w:p>
    <w:p>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4"/>
        <w:spacing w:line="360" w:lineRule="auto"/>
        <w:ind w:firstLine="360" w:firstLineChars="200"/>
        <w:rPr>
          <w:rFonts w:hAnsi="宋体"/>
          <w:bCs/>
          <w:sz w:val="18"/>
          <w:szCs w:val="18"/>
        </w:rPr>
      </w:pPr>
      <w:r>
        <w:rPr>
          <w:rFonts w:hAnsi="宋体"/>
          <w:bCs/>
          <w:sz w:val="18"/>
          <w:szCs w:val="18"/>
        </w:rPr>
        <w:t>8.其他资产管理产品的估值</w:t>
      </w:r>
    </w:p>
    <w:p>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pStyle w:val="14"/>
        <w:spacing w:line="360" w:lineRule="auto"/>
        <w:ind w:firstLine="360" w:firstLineChars="200"/>
        <w:rPr>
          <w:rFonts w:hAnsi="宋体"/>
          <w:bCs/>
          <w:sz w:val="18"/>
          <w:szCs w:val="18"/>
        </w:rPr>
      </w:pPr>
      <w:r>
        <w:rPr>
          <w:rFonts w:hAnsi="宋体"/>
          <w:bCs/>
          <w:sz w:val="18"/>
          <w:szCs w:val="18"/>
        </w:rPr>
        <w:t>9.衍生金融工具估值</w:t>
      </w:r>
    </w:p>
    <w:p>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pPr>
        <w:pStyle w:val="14"/>
        <w:spacing w:line="360" w:lineRule="auto"/>
        <w:ind w:firstLine="361" w:firstLineChars="200"/>
        <w:rPr>
          <w:rFonts w:hAnsi="宋体"/>
          <w:b/>
          <w:bCs/>
          <w:sz w:val="18"/>
          <w:szCs w:val="18"/>
        </w:rPr>
      </w:pPr>
      <w:r>
        <w:rPr>
          <w:rFonts w:hint="eastAsia" w:hAnsi="宋体"/>
          <w:b/>
          <w:bCs/>
          <w:sz w:val="18"/>
          <w:szCs w:val="18"/>
        </w:rPr>
        <w:t>（五）估值程序</w:t>
      </w:r>
    </w:p>
    <w:p>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pStyle w:val="14"/>
        <w:spacing w:line="360" w:lineRule="auto"/>
        <w:ind w:firstLine="361" w:firstLineChars="200"/>
        <w:rPr>
          <w:rFonts w:hAnsi="宋体"/>
          <w:b/>
          <w:bCs/>
          <w:sz w:val="18"/>
          <w:szCs w:val="18"/>
        </w:rPr>
      </w:pPr>
      <w:r>
        <w:rPr>
          <w:rFonts w:hint="eastAsia" w:hAnsi="宋体"/>
          <w:b/>
          <w:bCs/>
          <w:sz w:val="18"/>
          <w:szCs w:val="18"/>
        </w:rPr>
        <w:t>（六）估值主体</w:t>
      </w:r>
    </w:p>
    <w:p>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130" w:name="_Hlt70481650"/>
      <w:bookmarkEnd w:id="130"/>
      <w:bookmarkStart w:id="131" w:name="_Toc12245"/>
      <w:bookmarkStart w:id="132" w:name="_Toc3601"/>
      <w:bookmarkStart w:id="133" w:name="_Toc26207"/>
      <w:bookmarkStart w:id="134" w:name="_Toc31653"/>
      <w:bookmarkStart w:id="135" w:name="_Toc141703887"/>
      <w:bookmarkStart w:id="136" w:name="_Toc79154671"/>
      <w:bookmarkStart w:id="137" w:name="_Toc123051453"/>
      <w:bookmarkStart w:id="138" w:name="_Toc176189760"/>
      <w:bookmarkStart w:id="139" w:name="_Toc14835"/>
      <w:bookmarkStart w:id="140" w:name="_Toc123112235"/>
      <w:bookmarkStart w:id="141" w:name="_Toc15143"/>
      <w:bookmarkStart w:id="142" w:name="_Toc139991737"/>
      <w:bookmarkStart w:id="143" w:name="_Toc74065744"/>
      <w:bookmarkStart w:id="144" w:name="_Toc6405"/>
      <w:bookmarkStart w:id="145" w:name="_Toc31644"/>
      <w:bookmarkStart w:id="146" w:name="_Toc29251"/>
      <w:bookmarkStart w:id="147" w:name="_Toc123102454"/>
      <w:bookmarkStart w:id="148" w:name="_Toc98560353"/>
      <w:bookmarkStart w:id="149" w:name="_Toc31235"/>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79392580"/>
      <w:bookmarkStart w:id="153" w:name="_Toc15118234"/>
      <w:bookmarkStart w:id="154" w:name="_Toc57530239"/>
    </w:p>
    <w:p>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pPr>
        <w:pStyle w:val="2"/>
        <w:spacing w:before="0" w:after="0" w:line="360" w:lineRule="auto"/>
        <w:jc w:val="center"/>
        <w:rPr>
          <w:rFonts w:ascii="Times New Roman"/>
          <w:sz w:val="30"/>
        </w:rPr>
      </w:pPr>
      <w:bookmarkStart w:id="155" w:name="_Hlt88825574"/>
      <w:bookmarkEnd w:id="155"/>
      <w:bookmarkStart w:id="156" w:name="_Hlt88897298"/>
      <w:bookmarkEnd w:id="156"/>
      <w:bookmarkStart w:id="157" w:name="_Toc3321"/>
      <w:bookmarkStart w:id="158" w:name="_Toc25783"/>
      <w:bookmarkStart w:id="159" w:name="_Toc79392583"/>
      <w:bookmarkStart w:id="160" w:name="_Toc74065745"/>
      <w:bookmarkStart w:id="161" w:name="_Toc10650"/>
      <w:bookmarkStart w:id="162" w:name="_Toc123102455"/>
      <w:bookmarkStart w:id="163" w:name="_Toc123112236"/>
      <w:bookmarkStart w:id="164" w:name="_Toc18567"/>
      <w:bookmarkStart w:id="165" w:name="_Toc176189761"/>
      <w:bookmarkStart w:id="166" w:name="_Toc3771"/>
      <w:bookmarkStart w:id="167" w:name="_Toc11030"/>
      <w:bookmarkStart w:id="168" w:name="_Toc141703888"/>
      <w:bookmarkStart w:id="169" w:name="_Toc123051454"/>
      <w:bookmarkStart w:id="170" w:name="_Toc9706"/>
      <w:bookmarkStart w:id="171" w:name="_Toc79154672"/>
      <w:bookmarkStart w:id="172" w:name="_Toc139991738"/>
      <w:bookmarkStart w:id="173" w:name="_Toc4559"/>
      <w:bookmarkStart w:id="174" w:name="_Toc7058"/>
      <w:bookmarkStart w:id="175" w:name="_Toc98560354"/>
      <w:bookmarkStart w:id="176" w:name="_Toc6447"/>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pStyle w:val="14"/>
        <w:spacing w:line="360" w:lineRule="auto"/>
        <w:ind w:firstLine="360" w:firstLineChars="200"/>
        <w:rPr>
          <w:rFonts w:hint="eastAsia" w:ascii="黑体" w:hAnsi="黑体" w:eastAsia="黑体" w:cs="黑体"/>
          <w:kern w:val="0"/>
          <w:sz w:val="18"/>
          <w:szCs w:val="18"/>
        </w:rPr>
      </w:pPr>
      <w:r>
        <w:rPr>
          <w:rFonts w:hint="eastAsia" w:ascii="黑体" w:hAnsi="黑体" w:eastAsia="黑体" w:cs="黑体"/>
          <w:kern w:val="0"/>
          <w:sz w:val="18"/>
          <w:szCs w:val="18"/>
        </w:rPr>
        <w:t>（2）理财产品的销售服务费</w:t>
      </w:r>
    </w:p>
    <w:p>
      <w:pPr>
        <w:pStyle w:val="14"/>
        <w:spacing w:line="360" w:lineRule="auto"/>
        <w:ind w:firstLine="360" w:firstLineChars="200"/>
        <w:rPr>
          <w:rFonts w:hint="eastAsia" w:ascii="黑体" w:hAnsi="黑体" w:eastAsia="黑体" w:cs="黑体"/>
          <w:b/>
          <w:bCs/>
          <w:color w:val="auto"/>
          <w:kern w:val="2"/>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业绩报酬计提基准的设置、超额业绩报酬的具体比例数值以《</w:t>
      </w:r>
      <w:r>
        <w:rPr>
          <w:rFonts w:hint="eastAsia" w:ascii="黑体" w:hAnsi="黑体" w:eastAsia="黑体" w:cs="黑体"/>
          <w:bCs/>
          <w:sz w:val="18"/>
          <w:szCs w:val="18"/>
        </w:rPr>
        <w:t>产品说明</w:t>
      </w:r>
      <w:r>
        <w:rPr>
          <w:rFonts w:hint="eastAsia" w:ascii="黑体" w:hAnsi="黑体" w:eastAsia="黑体" w:cs="黑体"/>
          <w:sz w:val="18"/>
          <w:szCs w:val="18"/>
        </w:rPr>
        <w:t>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1）收取超额业绩报酬的原则：</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①按投资者每份产品份额分别计算年化收益率并计提超额业绩报酬；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③在产品终止日提取超额业绩报酬的，超额业绩报酬从清算资金中扣除；</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2）超额业绩报酬计提方法</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①超额业绩报酬计提起始日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每份产品份额超额业绩报酬计提起始日为：募集期内认购的产品份额，以产品成立日为该份产品份额超额业绩报酬计提起始日。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②超额业绩报酬计提日</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每份产品份额超额业绩报酬每日计提，产品终止日结算。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③超额业绩报酬的计算</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产品管理人对每份份额当前年化收益率（R）超过当前业绩报酬计提基准的部分，按比例（N）以及产品份额持有天数（D）提取超额业绩报酬，计算方法如下：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当R≤当前业绩报酬计提基准，超额业绩报酬=0；</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77" w:name="_Toc1745"/>
      <w:bookmarkStart w:id="178" w:name="_Toc3963"/>
      <w:r>
        <w:br w:type="page"/>
      </w:r>
      <w:bookmarkStart w:id="179" w:name="_Toc10398"/>
      <w:bookmarkStart w:id="180" w:name="_Toc31821"/>
      <w:bookmarkStart w:id="181" w:name="_Toc123051455"/>
      <w:bookmarkStart w:id="182" w:name="_Toc98560355"/>
      <w:bookmarkStart w:id="183" w:name="_Toc139991739"/>
      <w:bookmarkStart w:id="184" w:name="_Toc16164"/>
      <w:bookmarkStart w:id="185" w:name="_Toc79154673"/>
      <w:bookmarkStart w:id="186" w:name="_Toc176189762"/>
      <w:bookmarkStart w:id="187" w:name="_Toc123102456"/>
      <w:bookmarkStart w:id="188" w:name="_Toc3080"/>
      <w:bookmarkStart w:id="189" w:name="_Toc74065746"/>
      <w:bookmarkStart w:id="190" w:name="_Toc123112237"/>
      <w:bookmarkStart w:id="191" w:name="_Toc18206"/>
      <w:bookmarkStart w:id="192" w:name="_Toc21735"/>
      <w:bookmarkStart w:id="193" w:name="_Toc3572"/>
      <w:bookmarkStart w:id="194" w:name="_Toc141703889"/>
      <w:bookmarkStart w:id="195" w:name="_Toc725"/>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Theme="majorEastAsia" w:hAnsiTheme="majorEastAsia" w:eastAsiaTheme="majorEastAsia"/>
          <w:b/>
          <w:bCs/>
          <w:sz w:val="18"/>
          <w:szCs w:val="18"/>
        </w:rPr>
      </w:pPr>
      <w:bookmarkStart w:id="196" w:name="_Toc57530252"/>
      <w:bookmarkStart w:id="197" w:name="_Toc79392593"/>
      <w:bookmarkStart w:id="198" w:name="_Toc15118245"/>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pPr>
        <w:pStyle w:val="2"/>
        <w:spacing w:before="0" w:after="0" w:line="360" w:lineRule="auto"/>
        <w:jc w:val="center"/>
        <w:rPr>
          <w:rFonts w:ascii="Times New Roman"/>
          <w:sz w:val="30"/>
        </w:rPr>
      </w:pPr>
      <w:r>
        <w:rPr>
          <w:rFonts w:ascii="Times New Roman"/>
          <w:b w:val="0"/>
          <w:bCs w:val="0"/>
          <w:kern w:val="2"/>
        </w:rPr>
        <w:br w:type="page"/>
      </w:r>
      <w:bookmarkStart w:id="199" w:name="_Toc74065747"/>
      <w:bookmarkStart w:id="200" w:name="_Toc21237"/>
      <w:bookmarkStart w:id="201" w:name="_Toc17920"/>
      <w:bookmarkStart w:id="202" w:name="_Toc123102457"/>
      <w:bookmarkStart w:id="203" w:name="_Toc176189763"/>
      <w:bookmarkStart w:id="204" w:name="_Toc141703890"/>
      <w:bookmarkStart w:id="205" w:name="_Toc17198"/>
      <w:bookmarkStart w:id="206" w:name="_Toc29408"/>
      <w:bookmarkStart w:id="207" w:name="_Toc32092"/>
      <w:bookmarkStart w:id="208" w:name="_Toc5170"/>
      <w:bookmarkStart w:id="209" w:name="_Toc32584"/>
      <w:bookmarkStart w:id="210" w:name="_Toc79392622"/>
      <w:bookmarkStart w:id="211" w:name="_Toc98560356"/>
      <w:bookmarkStart w:id="212" w:name="_Toc123112238"/>
      <w:bookmarkStart w:id="213" w:name="_Toc8791"/>
      <w:bookmarkStart w:id="214" w:name="_Toc79154674"/>
      <w:bookmarkStart w:id="215" w:name="_Toc48649708"/>
      <w:bookmarkStart w:id="216" w:name="_Toc139991740"/>
      <w:bookmarkStart w:id="217" w:name="_Toc3329"/>
      <w:bookmarkStart w:id="218" w:name="_Toc123051456"/>
      <w:bookmarkStart w:id="219" w:name="_Toc739"/>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rPr>
          <w:rFonts w:ascii="宋体" w:hAnsi="宋体"/>
          <w:b/>
          <w:bCs/>
          <w:sz w:val="18"/>
          <w:szCs w:val="18"/>
        </w:rPr>
      </w:pPr>
      <w:r>
        <w:rPr>
          <w:rFonts w:hint="eastAsia" w:ascii="宋体" w:hAnsi="宋体"/>
          <w:b/>
          <w:bCs/>
          <w:sz w:val="18"/>
          <w:szCs w:val="18"/>
        </w:rPr>
        <w:t>（二）信息披露的渠道</w:t>
      </w:r>
    </w:p>
    <w:p>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rPr>
          <w:rFonts w:ascii="宋体" w:hAnsi="宋体"/>
          <w:b/>
          <w:bCs/>
          <w:sz w:val="18"/>
          <w:szCs w:val="18"/>
        </w:rPr>
      </w:pPr>
      <w:r>
        <w:rPr>
          <w:rFonts w:hint="eastAsia" w:ascii="宋体" w:hAnsi="宋体"/>
          <w:b/>
          <w:bCs/>
          <w:sz w:val="18"/>
          <w:szCs w:val="18"/>
        </w:rPr>
        <w:t>（三）信息披露的内容</w:t>
      </w:r>
    </w:p>
    <w:p>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b/>
          <w:bCs/>
          <w:sz w:val="18"/>
          <w:szCs w:val="18"/>
        </w:rPr>
      </w:pPr>
      <w:r>
        <w:rPr>
          <w:rFonts w:hint="eastAsia" w:ascii="宋体" w:hAnsi="宋体"/>
          <w:b/>
          <w:bCs/>
          <w:sz w:val="18"/>
          <w:szCs w:val="18"/>
        </w:rPr>
        <w:t>（四）信息披露的频率和时间</w:t>
      </w:r>
    </w:p>
    <w:p>
      <w:pPr>
        <w:spacing w:line="360" w:lineRule="auto"/>
        <w:ind w:firstLine="360"/>
        <w:rPr>
          <w:rFonts w:ascii="宋体" w:hAnsi="宋体"/>
          <w:bCs/>
          <w:sz w:val="18"/>
          <w:szCs w:val="18"/>
        </w:rPr>
      </w:pPr>
      <w:r>
        <w:rPr>
          <w:rFonts w:ascii="宋体" w:hAnsi="宋体"/>
          <w:bCs/>
          <w:sz w:val="18"/>
          <w:szCs w:val="18"/>
        </w:rPr>
        <w:t>1.产品成立公告</w:t>
      </w:r>
    </w:p>
    <w:p>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rPr>
          <w:rFonts w:ascii="宋体" w:hAnsi="宋体"/>
          <w:bCs/>
          <w:sz w:val="18"/>
          <w:szCs w:val="18"/>
        </w:rPr>
      </w:pPr>
      <w:r>
        <w:rPr>
          <w:rFonts w:ascii="宋体" w:hAnsi="宋体"/>
          <w:bCs/>
          <w:sz w:val="18"/>
          <w:szCs w:val="18"/>
        </w:rPr>
        <w:t>3.定期报告</w:t>
      </w:r>
    </w:p>
    <w:p>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bCs/>
          <w:sz w:val="18"/>
          <w:szCs w:val="18"/>
        </w:rPr>
      </w:pPr>
      <w:r>
        <w:rPr>
          <w:rFonts w:ascii="宋体" w:hAnsi="宋体"/>
          <w:bCs/>
          <w:sz w:val="18"/>
          <w:szCs w:val="18"/>
        </w:rPr>
        <w:t>4.到期公告</w:t>
      </w:r>
    </w:p>
    <w:p>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rPr>
          <w:rFonts w:ascii="宋体" w:hAnsi="宋体"/>
          <w:bCs/>
          <w:sz w:val="18"/>
          <w:szCs w:val="18"/>
        </w:rPr>
      </w:pPr>
      <w:r>
        <w:rPr>
          <w:rFonts w:ascii="宋体" w:hAnsi="宋体"/>
          <w:bCs/>
          <w:sz w:val="18"/>
          <w:szCs w:val="18"/>
        </w:rPr>
        <w:t>5.估值日公告</w:t>
      </w:r>
    </w:p>
    <w:p>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bCs/>
          <w:sz w:val="18"/>
          <w:szCs w:val="18"/>
        </w:rPr>
      </w:pPr>
      <w:r>
        <w:rPr>
          <w:rFonts w:ascii="宋体" w:hAnsi="宋体"/>
          <w:bCs/>
          <w:sz w:val="18"/>
          <w:szCs w:val="18"/>
        </w:rPr>
        <w:t>6.临时公告</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220" w:name="_Toc176189764"/>
      <w:bookmarkStart w:id="221" w:name="_Toc79154675"/>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hint="eastAsia" w:ascii="宋体" w:hAnsi="宋体"/>
          <w:sz w:val="18"/>
          <w:szCs w:val="18"/>
        </w:rPr>
      </w:pPr>
      <w:r>
        <w:rPr>
          <w:rFonts w:hint="eastAsia" w:ascii="宋体" w:hAnsi="宋体"/>
          <w:sz w:val="18"/>
          <w:szCs w:val="18"/>
        </w:rPr>
        <w:t>【1.拟投资市场和资产的风险：</w:t>
      </w:r>
    </w:p>
    <w:p>
      <w:pPr>
        <w:spacing w:line="360" w:lineRule="auto"/>
        <w:ind w:firstLine="360" w:firstLineChars="200"/>
        <w:rPr>
          <w:rFonts w:hint="eastAsia"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1）投资标准化债权类资产的风险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sz w:val="18"/>
          <w:szCs w:val="18"/>
        </w:rPr>
      </w:pPr>
      <w:r>
        <w:rPr>
          <w:rFonts w:hint="eastAsia" w:ascii="宋体" w:hAnsi="宋体"/>
          <w:sz w:val="18"/>
          <w:szCs w:val="18"/>
        </w:rPr>
        <w:t>2）投资非标准化债权类资产的风险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hint="eastAsia" w:ascii="宋体" w:hAnsi="宋体"/>
          <w:sz w:val="18"/>
          <w:szCs w:val="18"/>
        </w:rPr>
      </w:pPr>
      <w:r>
        <w:rPr>
          <w:rFonts w:hint="eastAsia" w:ascii="宋体" w:hAnsi="宋体"/>
          <w:sz w:val="18"/>
          <w:szCs w:val="18"/>
        </w:rPr>
        <w:t xml:space="preserve">（2）投资权益类资产的风险 </w:t>
      </w:r>
    </w:p>
    <w:p>
      <w:pPr>
        <w:spacing w:line="360" w:lineRule="auto"/>
        <w:ind w:firstLine="360" w:firstLineChars="200"/>
        <w:rPr>
          <w:rFonts w:hint="eastAsia" w:ascii="宋体" w:hAnsi="宋体"/>
          <w:sz w:val="18"/>
          <w:szCs w:val="18"/>
        </w:rPr>
      </w:pPr>
      <w:r>
        <w:rPr>
          <w:rFonts w:hint="eastAsia" w:ascii="宋体" w:hAnsi="宋体"/>
          <w:sz w:val="18"/>
          <w:szCs w:val="18"/>
        </w:rPr>
        <w:t>1）投资股票类资产的风险</w:t>
      </w:r>
    </w:p>
    <w:p>
      <w:pPr>
        <w:spacing w:line="360" w:lineRule="auto"/>
        <w:ind w:firstLine="360" w:firstLineChars="200"/>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hint="eastAsia" w:ascii="宋体" w:hAnsi="宋体"/>
          <w:sz w:val="18"/>
          <w:szCs w:val="18"/>
        </w:rPr>
      </w:pPr>
      <w:r>
        <w:rPr>
          <w:rFonts w:hint="eastAsia" w:ascii="宋体" w:hAnsi="宋体"/>
          <w:sz w:val="18"/>
          <w:szCs w:val="18"/>
        </w:rPr>
        <w:t>2）投资股权类资产的风险</w:t>
      </w:r>
    </w:p>
    <w:p>
      <w:pPr>
        <w:spacing w:line="360" w:lineRule="auto"/>
        <w:ind w:firstLine="360" w:firstLineChars="200"/>
        <w:rPr>
          <w:rFonts w:hint="eastAsia" w:ascii="宋体" w:hAnsi="宋体"/>
          <w:sz w:val="18"/>
          <w:szCs w:val="18"/>
        </w:rPr>
      </w:pPr>
      <w:r>
        <w:rPr>
          <w:rFonts w:hint="eastAsia" w:ascii="宋体" w:hAnsi="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hint="eastAsia" w:ascii="宋体" w:hAnsi="宋体"/>
          <w:sz w:val="18"/>
          <w:szCs w:val="18"/>
        </w:rPr>
      </w:pPr>
      <w:r>
        <w:rPr>
          <w:rFonts w:hint="eastAsia" w:ascii="宋体" w:hAnsi="宋体"/>
          <w:sz w:val="18"/>
          <w:szCs w:val="18"/>
        </w:rPr>
        <w:t xml:space="preserve">（3）投资商品和金融衍生品类资产的风险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b/>
                <w:sz w:val="18"/>
                <w:szCs w:val="18"/>
              </w:rPr>
            </w:pPr>
            <w:r>
              <w:rPr>
                <w:rFonts w:hint="eastAsia"/>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投资者（</w:t>
            </w:r>
            <w:r>
              <w:rPr>
                <w:rFonts w:hint="default"/>
                <w:sz w:val="18"/>
                <w:szCs w:val="18"/>
              </w:rPr>
              <w:t>签名/</w:t>
            </w:r>
            <w:r>
              <w:rPr>
                <w:rFonts w:hint="eastAsia"/>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b/>
                <w:sz w:val="18"/>
                <w:szCs w:val="18"/>
              </w:rPr>
            </w:pPr>
          </w:p>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b/>
                <w:sz w:val="18"/>
                <w:szCs w:val="18"/>
              </w:rPr>
            </w:pPr>
            <w:r>
              <w:rPr>
                <w:rFonts w:hint="eastAsia"/>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cs="Arial"/>
                <w:sz w:val="18"/>
                <w:szCs w:val="18"/>
              </w:rPr>
            </w:pPr>
            <w:r>
              <w:rPr>
                <w:rFonts w:hint="eastAsia"/>
                <w:sz w:val="18"/>
                <w:szCs w:val="18"/>
              </w:rPr>
              <w:t>投资者</w:t>
            </w:r>
            <w:r>
              <w:rPr>
                <w:rFonts w:hint="eastAsia" w:cs="Arial"/>
                <w:sz w:val="18"/>
                <w:szCs w:val="18"/>
              </w:rPr>
              <w:t>（盖章</w:t>
            </w:r>
            <w:r>
              <w:rPr>
                <w:rFonts w:hint="default" w:cs="Arial"/>
                <w:sz w:val="18"/>
                <w:szCs w:val="18"/>
              </w:rPr>
              <w:t>/</w:t>
            </w:r>
            <w:r>
              <w:rPr>
                <w:rFonts w:hint="eastAsia"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cs="Arial"/>
                <w:sz w:val="18"/>
                <w:szCs w:val="18"/>
              </w:rPr>
            </w:pPr>
            <w:r>
              <w:rPr>
                <w:rFonts w:hint="default"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cs="Arial"/>
                <w:sz w:val="18"/>
                <w:szCs w:val="18"/>
              </w:rPr>
            </w:pPr>
            <w:r>
              <w:rPr>
                <w:rFonts w:hint="eastAsia" w:cs="Arial"/>
                <w:sz w:val="18"/>
                <w:szCs w:val="18"/>
              </w:rPr>
              <w:t>投资者法定代表人或授权代理人（签名</w:t>
            </w:r>
            <w:r>
              <w:rPr>
                <w:rFonts w:hint="default" w:cs="Arial"/>
                <w:sz w:val="18"/>
                <w:szCs w:val="18"/>
              </w:rPr>
              <w:t>/</w:t>
            </w:r>
            <w:r>
              <w:rPr>
                <w:rFonts w:hint="eastAsia" w:cs="Arial"/>
                <w:sz w:val="18"/>
                <w:szCs w:val="18"/>
              </w:rPr>
              <w:t>盖章</w:t>
            </w:r>
            <w:r>
              <w:rPr>
                <w:rFonts w:hint="default" w:cs="Arial"/>
                <w:sz w:val="18"/>
                <w:szCs w:val="18"/>
              </w:rPr>
              <w:t>/</w:t>
            </w:r>
            <w:r>
              <w:rPr>
                <w:rFonts w:hint="eastAsia"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14"/>
        <w:spacing w:line="360" w:lineRule="auto"/>
        <w:rPr>
          <w:rFonts w:hAnsi="宋体"/>
          <w:sz w:val="18"/>
          <w:szCs w:val="18"/>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b/>
          <w:sz w:val="28"/>
          <w:szCs w:val="28"/>
        </w:rPr>
      </w:pPr>
      <w:r>
        <w:rPr>
          <w:rFonts w:hint="eastAsia" w:ascii="黑体" w:hAnsi="黑体" w:eastAsia="黑体"/>
          <w:b/>
          <w:sz w:val="28"/>
          <w:szCs w:val="28"/>
        </w:rPr>
        <w:t>兴银理财【稳利恒盈封闭式固收类】理财产品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4"/>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pPr>
              <w:spacing w:line="320" w:lineRule="exact"/>
              <w:jc w:val="left"/>
              <w:rPr>
                <w:rFonts w:ascii="宋体" w:hAnsi="宋体"/>
                <w:bCs/>
                <w:sz w:val="18"/>
                <w:szCs w:val="18"/>
              </w:rPr>
            </w:pPr>
          </w:p>
        </w:tc>
        <w:tc>
          <w:tcPr>
            <w:tcW w:w="1234"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4"/>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w:t>
            </w:r>
            <w:r>
              <w:rPr>
                <w:rFonts w:ascii="宋体" w:hAnsi="宋体"/>
                <w:sz w:val="18"/>
                <w:szCs w:val="18"/>
                <w:highlight w:val="yellow"/>
              </w:rPr>
              <w:t>沧州银行股份有限公司</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pPr>
              <w:pStyle w:val="14"/>
              <w:jc w:val="both"/>
            </w:pPr>
            <w:r>
              <w:rPr>
                <w:rFonts w:hint="eastAsia" w:asciiTheme="majorEastAsia" w:hAnsiTheme="majorEastAsia" w:eastAsiaTheme="majorEastAsia"/>
                <w:bCs/>
                <w:sz w:val="18"/>
                <w:szCs w:val="18"/>
              </w:rPr>
              <w:t>【</w:t>
            </w:r>
            <w:r>
              <w:rPr>
                <w:rFonts w:ascii="宋体" w:hAnsi="宋体"/>
                <w:sz w:val="18"/>
                <w:szCs w:val="18"/>
                <w:highlight w:val="yellow"/>
              </w:rPr>
              <w:t>沧州银行</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参照本条第（1）款非机构投资者要求执行；</w:t>
      </w:r>
    </w:p>
    <w:p>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b/>
                <w:kern w:val="0"/>
                <w:sz w:val="18"/>
                <w:szCs w:val="18"/>
              </w:rPr>
            </w:pPr>
            <w:r>
              <w:rPr>
                <w:rFonts w:hint="eastAsia"/>
                <w:b/>
                <w:kern w:val="0"/>
                <w:sz w:val="18"/>
                <w:szCs w:val="18"/>
              </w:rPr>
              <w:t>甲方签署栏</w:t>
            </w:r>
          </w:p>
        </w:tc>
        <w:tc>
          <w:tcPr>
            <w:tcW w:w="851" w:type="dxa"/>
          </w:tcPr>
          <w:p>
            <w:pPr>
              <w:spacing w:line="360" w:lineRule="auto"/>
              <w:rPr>
                <w:kern w:val="0"/>
                <w:sz w:val="18"/>
                <w:szCs w:val="18"/>
              </w:rPr>
            </w:pPr>
            <w:r>
              <w:rPr>
                <w:rFonts w:hint="eastAsia"/>
                <w:kern w:val="0"/>
                <w:sz w:val="18"/>
                <w:szCs w:val="18"/>
              </w:rPr>
              <w:t>个人投资者适用</w:t>
            </w:r>
          </w:p>
        </w:tc>
        <w:tc>
          <w:tcPr>
            <w:tcW w:w="6998" w:type="dxa"/>
          </w:tcPr>
          <w:p>
            <w:pPr>
              <w:spacing w:line="360" w:lineRule="auto"/>
              <w:rPr>
                <w:kern w:val="0"/>
                <w:sz w:val="18"/>
                <w:szCs w:val="18"/>
              </w:rPr>
            </w:pPr>
            <w:r>
              <w:rPr>
                <w:rFonts w:hint="eastAsia"/>
                <w:kern w:val="0"/>
                <w:sz w:val="18"/>
                <w:szCs w:val="18"/>
              </w:rPr>
              <w:t>甲方（签名/线上确认）：</w:t>
            </w:r>
          </w:p>
          <w:p>
            <w:pPr>
              <w:spacing w:line="360" w:lineRule="auto"/>
              <w:rPr>
                <w:b/>
                <w:kern w:val="0"/>
                <w:sz w:val="18"/>
                <w:szCs w:val="18"/>
              </w:rPr>
            </w:pPr>
          </w:p>
          <w:p>
            <w:pPr>
              <w:spacing w:line="360" w:lineRule="auto"/>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b/>
                <w:kern w:val="0"/>
                <w:sz w:val="18"/>
                <w:szCs w:val="18"/>
              </w:rPr>
            </w:pPr>
          </w:p>
        </w:tc>
        <w:tc>
          <w:tcPr>
            <w:tcW w:w="851" w:type="dxa"/>
          </w:tcPr>
          <w:p>
            <w:pPr>
              <w:spacing w:line="360" w:lineRule="auto"/>
              <w:rPr>
                <w:kern w:val="0"/>
                <w:sz w:val="18"/>
                <w:szCs w:val="18"/>
              </w:rPr>
            </w:pPr>
            <w:r>
              <w:rPr>
                <w:rFonts w:hint="eastAsia"/>
                <w:kern w:val="0"/>
                <w:sz w:val="18"/>
                <w:szCs w:val="18"/>
              </w:rPr>
              <w:t>机构投资者适用</w:t>
            </w:r>
          </w:p>
        </w:tc>
        <w:tc>
          <w:tcPr>
            <w:tcW w:w="6998" w:type="dxa"/>
          </w:tcPr>
          <w:p>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pPr>
              <w:spacing w:line="360" w:lineRule="auto"/>
              <w:rPr>
                <w:rFonts w:cs="Arial"/>
                <w:kern w:val="0"/>
                <w:sz w:val="18"/>
                <w:szCs w:val="18"/>
              </w:rPr>
            </w:pPr>
          </w:p>
          <w:p>
            <w:pPr>
              <w:spacing w:line="360" w:lineRule="auto"/>
              <w:rPr>
                <w:rFonts w:cs="Arial"/>
                <w:kern w:val="0"/>
                <w:sz w:val="18"/>
                <w:szCs w:val="18"/>
              </w:rPr>
            </w:pPr>
            <w:r>
              <w:rPr>
                <w:rFonts w:hint="eastAsia" w:cs="Arial"/>
                <w:kern w:val="0"/>
                <w:sz w:val="18"/>
                <w:szCs w:val="18"/>
              </w:rPr>
              <w:t>甲方法定代表人或授权代理人（签名/盖章/线上确认）：</w:t>
            </w:r>
          </w:p>
          <w:p>
            <w:pPr>
              <w:spacing w:line="360" w:lineRule="auto"/>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pPr>
              <w:spacing w:line="360" w:lineRule="auto"/>
              <w:rPr>
                <w:b/>
                <w:kern w:val="0"/>
                <w:sz w:val="18"/>
                <w:szCs w:val="18"/>
              </w:rPr>
            </w:pPr>
          </w:p>
          <w:p>
            <w:pPr>
              <w:spacing w:line="360" w:lineRule="auto"/>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兴银理财【稳利恒盈封闭式固收类】</w:t>
      </w:r>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【兴银理财稳利恒盈封闭式2025年549期固收类理财产品</w:t>
      </w:r>
      <w:r>
        <w:rPr>
          <w:rFonts w:hint="eastAsia"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rPr>
        <w:t>销售名称：【稳利恒盈封闭2025年549期14M(纯盈颐养款)A】 (适用【A】类份额)</w:t>
      </w:r>
      <w:r>
        <w:rPr>
          <w:rFonts w:ascii="宋体" w:hAnsi="宋体" w:eastAsia="宋体" w:cs="宋体"/>
          <w:sz w:val="18"/>
        </w:rPr>
        <w:br w:type="textWrapping"/>
      </w:r>
      <w:r>
        <w:rPr>
          <w:rFonts w:ascii="宋体" w:hAnsi="宋体" w:eastAsia="宋体" w:cs="宋体"/>
          <w:sz w:val="18"/>
        </w:rPr>
        <w:t xml:space="preserve">     【稳利恒盈封闭2025年549期14M(纯盈颐养款)B】 (适用【B】类份额)</w:t>
      </w:r>
      <w:r>
        <w:rPr>
          <w:rFonts w:ascii="宋体" w:hAnsi="宋体" w:eastAsia="宋体" w:cs="宋体"/>
          <w:sz w:val="18"/>
        </w:rPr>
        <w:br w:type="textWrapping"/>
      </w:r>
      <w:r>
        <w:rPr>
          <w:rFonts w:ascii="宋体" w:hAnsi="宋体" w:eastAsia="宋体" w:cs="宋体"/>
          <w:sz w:val="18"/>
        </w:rPr>
        <w:t xml:space="preserve">     【稳利恒盈封闭2025年549期14M(纯盈颐养款)C】 (适用【C】类份额)</w:t>
      </w:r>
      <w:r>
        <w:rPr>
          <w:rFonts w:ascii="宋体" w:hAnsi="宋体" w:eastAsia="宋体" w:cs="宋体"/>
          <w:sz w:val="18"/>
        </w:rPr>
        <w:br w:type="textWrapping"/>
      </w:r>
      <w:r>
        <w:rPr>
          <w:rFonts w:ascii="宋体" w:hAnsi="宋体" w:eastAsia="宋体" w:cs="宋体"/>
          <w:sz w:val="18"/>
        </w:rPr>
        <w:t xml:space="preserve">     【稳利恒盈封闭2025年549期14M(纯盈颐养款)D】 (适用【D】类份额)</w:t>
      </w:r>
      <w:r>
        <w:rPr>
          <w:rFonts w:ascii="宋体" w:hAnsi="宋体" w:eastAsia="宋体" w:cs="宋体"/>
          <w:sz w:val="18"/>
        </w:rPr>
        <w:br w:type="textWrapping"/>
      </w:r>
      <w:r>
        <w:rPr>
          <w:rFonts w:ascii="宋体" w:hAnsi="宋体" w:eastAsia="宋体" w:cs="宋体"/>
          <w:sz w:val="18"/>
        </w:rPr>
        <w:t xml:space="preserve">     【稳利恒盈封闭2025年549期14M(纯盈颐养款)E】 (适用【E】类份额)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Z7002025002008</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■有固定期限:【426天】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ind w:firstLine="360" w:firstLineChars="200"/>
        <w:rPr>
          <w:rFonts w:hint="eastAsia" w:ascii="宋体" w:hAnsi="宋体"/>
          <w:sz w:val="18"/>
          <w:szCs w:val="18"/>
        </w:rPr>
      </w:pPr>
      <w:r>
        <w:rPr>
          <w:rFonts w:hint="eastAsia" w:ascii="宋体" w:hAnsi="宋体"/>
          <w:sz w:val="18"/>
          <w:szCs w:val="18"/>
        </w:rPr>
        <w:t>【1.拟投资市场和资产的风险：</w:t>
      </w:r>
    </w:p>
    <w:p>
      <w:pPr>
        <w:ind w:firstLine="360" w:firstLineChars="200"/>
        <w:rPr>
          <w:rFonts w:hint="eastAsia" w:ascii="宋体" w:hAnsi="宋体"/>
          <w:sz w:val="18"/>
          <w:szCs w:val="18"/>
        </w:rPr>
      </w:pPr>
      <w:r>
        <w:rPr>
          <w:rFonts w:hint="eastAsia" w:ascii="宋体" w:hAnsi="宋体"/>
          <w:sz w:val="18"/>
          <w:szCs w:val="18"/>
        </w:rPr>
        <w:t>（1）投资债权类资产的风险</w:t>
      </w:r>
    </w:p>
    <w:p>
      <w:pPr>
        <w:ind w:firstLine="360" w:firstLineChars="200"/>
        <w:rPr>
          <w:rFonts w:hint="eastAsia" w:ascii="宋体" w:hAnsi="宋体"/>
          <w:sz w:val="18"/>
          <w:szCs w:val="18"/>
        </w:rPr>
      </w:pPr>
      <w:r>
        <w:rPr>
          <w:rFonts w:hint="eastAsia" w:ascii="宋体" w:hAnsi="宋体"/>
          <w:sz w:val="18"/>
          <w:szCs w:val="18"/>
        </w:rPr>
        <w:t>1）投资标准化债权类资产的风险</w:t>
      </w:r>
    </w:p>
    <w:p>
      <w:pPr>
        <w:ind w:firstLine="360" w:firstLineChars="200"/>
        <w:rPr>
          <w:rFonts w:hint="eastAsia"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sz w:val="18"/>
          <w:szCs w:val="18"/>
        </w:rPr>
      </w:pPr>
      <w:r>
        <w:rPr>
          <w:rFonts w:hint="eastAsia" w:ascii="宋体" w:hAnsi="宋体"/>
          <w:sz w:val="18"/>
          <w:szCs w:val="18"/>
        </w:rPr>
        <w:t>2）投资非标准化债权类资产的风险</w:t>
      </w:r>
    </w:p>
    <w:p>
      <w:pPr>
        <w:ind w:firstLine="360" w:firstLineChars="200"/>
        <w:rPr>
          <w:rFonts w:hint="eastAsia" w:ascii="宋体" w:hAnsi="宋体"/>
          <w:sz w:val="18"/>
          <w:szCs w:val="18"/>
        </w:rPr>
      </w:pPr>
      <w:r>
        <w:rPr>
          <w:rFonts w:hint="eastAsia" w:ascii="宋体" w:hAnsi="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ind w:firstLine="360" w:firstLineChars="200"/>
        <w:rPr>
          <w:rFonts w:hint="eastAsia" w:ascii="宋体" w:hAnsi="宋体"/>
          <w:sz w:val="18"/>
          <w:szCs w:val="18"/>
        </w:rPr>
      </w:pPr>
      <w:r>
        <w:rPr>
          <w:rFonts w:hint="eastAsia" w:ascii="宋体" w:hAnsi="宋体"/>
          <w:sz w:val="18"/>
          <w:szCs w:val="18"/>
        </w:rPr>
        <w:t xml:space="preserve">（2）投资权益类资产的风险 </w:t>
      </w:r>
    </w:p>
    <w:p>
      <w:pPr>
        <w:ind w:firstLine="360" w:firstLineChars="200"/>
        <w:rPr>
          <w:rFonts w:hint="eastAsia" w:ascii="宋体" w:hAnsi="宋体"/>
          <w:sz w:val="18"/>
          <w:szCs w:val="18"/>
        </w:rPr>
      </w:pPr>
      <w:r>
        <w:rPr>
          <w:rFonts w:hint="eastAsia" w:ascii="宋体" w:hAnsi="宋体"/>
          <w:sz w:val="18"/>
          <w:szCs w:val="18"/>
        </w:rPr>
        <w:t>1）投资股票类资产的风险</w:t>
      </w:r>
    </w:p>
    <w:p>
      <w:pPr>
        <w:ind w:firstLine="360" w:firstLineChars="200"/>
        <w:rPr>
          <w:rFonts w:hint="eastAsia" w:ascii="宋体" w:hAnsi="宋体"/>
          <w:sz w:val="18"/>
          <w:szCs w:val="18"/>
        </w:rPr>
      </w:pPr>
      <w:r>
        <w:rPr>
          <w:rFonts w:hint="eastAsia" w:ascii="宋体" w:hAnsi="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ind w:firstLine="360" w:firstLineChars="200"/>
        <w:rPr>
          <w:rFonts w:hint="eastAsia" w:ascii="宋体" w:hAnsi="宋体"/>
          <w:sz w:val="18"/>
          <w:szCs w:val="18"/>
        </w:rPr>
      </w:pPr>
      <w:r>
        <w:rPr>
          <w:rFonts w:hint="eastAsia" w:ascii="宋体" w:hAnsi="宋体"/>
          <w:sz w:val="18"/>
          <w:szCs w:val="18"/>
        </w:rPr>
        <w:t>2）投资股权类资产的风险</w:t>
      </w:r>
    </w:p>
    <w:p>
      <w:pPr>
        <w:ind w:firstLine="360" w:firstLineChars="200"/>
        <w:rPr>
          <w:rFonts w:hint="eastAsia" w:ascii="宋体" w:hAnsi="宋体"/>
          <w:sz w:val="18"/>
          <w:szCs w:val="18"/>
        </w:rPr>
      </w:pPr>
      <w:r>
        <w:rPr>
          <w:rFonts w:hint="eastAsia" w:ascii="宋体" w:hAnsi="宋体"/>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ind w:firstLine="360" w:firstLineChars="200"/>
        <w:rPr>
          <w:rFonts w:hint="eastAsia" w:ascii="宋体" w:hAnsi="宋体"/>
          <w:sz w:val="18"/>
          <w:szCs w:val="18"/>
        </w:rPr>
      </w:pPr>
      <w:r>
        <w:rPr>
          <w:rFonts w:hint="eastAsia" w:ascii="宋体" w:hAnsi="宋体"/>
          <w:sz w:val="18"/>
          <w:szCs w:val="18"/>
        </w:rPr>
        <w:t xml:space="preserve">（3）投资商品和金融衍生品类资产的风险 </w:t>
      </w:r>
    </w:p>
    <w:p>
      <w:pPr>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r>
        <w:rPr>
          <w:rFonts w:hint="eastAsia" w:ascii="宋体" w:hAnsi="宋体"/>
          <w:sz w:val="18"/>
          <w:szCs w:val="18"/>
        </w:rPr>
        <w:t>销售机构（【</w:t>
      </w:r>
      <w:r>
        <w:rPr>
          <w:rFonts w:ascii="宋体" w:hAnsi="宋体"/>
          <w:sz w:val="18"/>
          <w:szCs w:val="18"/>
          <w:highlight w:val="yellow"/>
        </w:rPr>
        <w:t>沧州银行股份有限公司</w:t>
      </w:r>
      <w:r>
        <w:rPr>
          <w:rFonts w:ascii="宋体" w:hAnsi="宋体"/>
          <w:sz w:val="18"/>
          <w:szCs w:val="18"/>
        </w:rPr>
        <w:t xml:space="preserve"> </w:t>
      </w:r>
      <w:r>
        <w:rPr>
          <w:rFonts w:hint="eastAsia" w:ascii="宋体" w:hAnsi="宋体"/>
          <w:sz w:val="18"/>
          <w:szCs w:val="18"/>
        </w:rPr>
        <w:t>】）</w:t>
      </w:r>
    </w:p>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ind w:firstLine="360" w:firstLineChars="200"/>
        <w:rPr>
          <w:rFonts w:ascii="宋体" w:hAnsi="宋体"/>
          <w:sz w:val="18"/>
          <w:szCs w:val="18"/>
        </w:r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bookmarkStart w:id="222" w:name="_GoBack"/>
      <w:bookmarkEnd w:id="222"/>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545C386D"/>
    <w:rsid w:val="637F58C5"/>
    <w:rsid w:val="7506146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72</Pages>
  <Words>47041</Words>
  <Characters>48063</Characters>
  <Lines>0</Lines>
  <Paragraphs>0</Paragraphs>
  <TotalTime>0</TotalTime>
  <ScaleCrop>false</ScaleCrop>
  <LinksUpToDate>false</LinksUpToDate>
  <CharactersWithSpaces>48615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2025-12-10T07:42:10Z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268035D94137422FAEF442E214DCBE40</vt:lpwstr>
  </property>
</Properties>
</file>