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幸福99丰裕固收386天25195期理财</w:t>
      </w:r>
      <w:r>
        <w:rPr>
          <w:rFonts w:hint="eastAsia" w:ascii="宋体" w:hAnsi="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pPr>
        <w:ind w:firstLine="1280" w:firstLineChars="400"/>
        <w:jc w:val="left"/>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outlineLvl w:val="9"/>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幸福99丰裕固收386天25195期理财</w:t>
      </w:r>
      <w:r>
        <w:rPr>
          <w:rFonts w:hint="eastAsia" w:ascii="宋体" w:hAnsi="宋体" w:cs="宋体"/>
          <w:b/>
          <w:bCs/>
          <w:sz w:val="44"/>
          <w:szCs w:val="44"/>
          <w:highlight w:val="none"/>
        </w:rPr>
        <w:t>合同文件</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tbl>
      <w:tblPr>
        <w:tblStyle w:val="8"/>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幸福99丰裕固收386天25195期理财</w:t>
            </w:r>
            <w:r>
              <w:rPr>
                <w:rFonts w:hint="eastAsia" w:ascii="宋体" w:hAnsi="宋体" w:cs="宋体"/>
                <w:szCs w:val="21"/>
                <w:highlight w:val="none"/>
              </w:rPr>
              <w:t>风险揭示书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幸福99丰裕固收386天25195期理财</w:t>
            </w:r>
            <w:r>
              <w:rPr>
                <w:rFonts w:hint="eastAsia" w:ascii="宋体" w:hAnsi="宋体" w:cs="宋体"/>
                <w:szCs w:val="21"/>
                <w:highlight w:val="none"/>
              </w:rPr>
              <w:t>产品说明书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pPr>
        <w:rPr>
          <w:rFonts w:ascii="宋体" w:hAnsi="宋体" w:cs="宋体"/>
          <w:bCs/>
          <w:color w:val="000000"/>
          <w:sz w:val="24"/>
          <w:highlight w:val="none"/>
        </w:rPr>
      </w:pPr>
      <w:r>
        <w:rPr>
          <w:rFonts w:ascii="宋体" w:hAnsi="宋体" w:cs="宋体"/>
          <w:bCs/>
          <w:color w:val="000000"/>
          <w:sz w:val="24"/>
          <w:highlight w:val="none"/>
        </w:rPr>
        <w:br w:type="page"/>
      </w:r>
    </w:p>
    <w:p>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幸福99丰裕固收386天25195期理财</w:t>
      </w:r>
      <w:r>
        <w:rPr>
          <w:rFonts w:hint="eastAsia" w:ascii="宋体" w:hAnsi="宋体" w:cs="宋体"/>
          <w:b/>
          <w:bCs/>
          <w:sz w:val="44"/>
          <w:szCs w:val="44"/>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numPr>
          <w:ilvl w:val="0"/>
          <w:numId w:val="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理财计划共性风险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理财计划特定风险</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pPr>
        <w:numPr>
          <w:ilvl w:val="0"/>
          <w:numId w:val="0"/>
        </w:numPr>
        <w:spacing w:line="360" w:lineRule="auto"/>
        <w:ind w:left="420" w:leftChars="0"/>
        <w:jc w:val="left"/>
        <w:rPr>
          <w:rFonts w:hint="eastAsia" w:ascii="宋体" w:hAnsi="宋体" w:cs="宋体"/>
          <w:b/>
          <w:sz w:val="24"/>
          <w:highlight w:val="none"/>
        </w:rPr>
      </w:pPr>
    </w:p>
    <w:p>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其他信息提示</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386</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pPr>
        <w:rPr>
          <w:rFonts w:hint="eastAsia" w:ascii="宋体" w:hAnsi="宋体" w:cs="宋体"/>
          <w:b/>
          <w:color w:val="auto"/>
          <w:highlight w:val="none"/>
        </w:rPr>
      </w:pPr>
      <w:r>
        <w:rPr>
          <w:rFonts w:hint="eastAsia" w:ascii="宋体" w:hAnsi="宋体" w:cs="宋体"/>
          <w:b/>
          <w:color w:val="auto"/>
          <w:highlight w:val="none"/>
        </w:rPr>
        <w:br w:type="page"/>
      </w:r>
    </w:p>
    <w:p>
      <w:pPr>
        <w:pStyle w:val="17"/>
        <w:pageBreakBefore/>
        <w:widowControl/>
        <w:spacing w:line="360" w:lineRule="auto"/>
        <w:ind w:left="0" w:leftChars="0"/>
        <w:jc w:val="center"/>
        <w:outlineLvl w:val="9"/>
        <w:rPr>
          <w:rFonts w:hint="eastAsia" w:ascii="宋体" w:hAnsi="宋体" w:cs="宋体"/>
          <w:b/>
          <w:color w:val="auto"/>
          <w:highlight w:val="none"/>
        </w:rPr>
      </w:pPr>
      <w:r>
        <w:rPr>
          <w:rFonts w:hint="eastAsia" w:ascii="宋体" w:hAnsi="宋体" w:cs="宋体"/>
          <w:b/>
          <w:color w:val="auto"/>
          <w:highlight w:val="none"/>
        </w:rPr>
        <w:t>投资者确认栏（个人投资者填写）</w:t>
      </w:r>
    </w:p>
    <w:p>
      <w:pPr>
        <w:pStyle w:val="17"/>
        <w:spacing w:line="360" w:lineRule="auto"/>
        <w:jc w:val="both"/>
        <w:rPr>
          <w:rFonts w:hint="eastAsia" w:ascii="宋体" w:hAnsi="宋体" w:cs="宋体"/>
          <w:b/>
          <w:color w:val="auto"/>
          <w:highlight w:val="none"/>
        </w:rPr>
      </w:pP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pPr>
        <w:pStyle w:val="17"/>
        <w:pageBreakBefore/>
        <w:widowControl/>
        <w:spacing w:line="360" w:lineRule="auto"/>
        <w:ind w:firstLine="482" w:firstLineChars="200"/>
        <w:jc w:val="center"/>
        <w:outlineLvl w:val="9"/>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幸福99丰裕固收386天25195期理财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Z7002225000379</w:t>
      </w:r>
      <w:r>
        <w:rPr>
          <w:rFonts w:hint="eastAsia" w:ascii="宋体" w:hAnsi="宋体" w:cs="宋体"/>
          <w:bCs/>
          <w:sz w:val="24"/>
          <w:highlight w:val="none"/>
        </w:rPr>
        <w:t>〗</w:t>
      </w:r>
    </w:p>
    <w:p>
      <w:pPr>
        <w:spacing w:line="360" w:lineRule="auto"/>
        <w:jc w:val="center"/>
        <w:rPr>
          <w:rFonts w:hint="eastAsia" w:ascii="宋体" w:hAnsi="宋体" w:cs="宋体"/>
          <w:bCs/>
          <w:sz w:val="24"/>
          <w:highlight w:val="none"/>
        </w:rPr>
      </w:pPr>
    </w:p>
    <w:p>
      <w:pPr>
        <w:numPr>
          <w:ilvl w:val="0"/>
          <w:numId w:val="9"/>
        </w:numPr>
        <w:spacing w:line="360" w:lineRule="auto"/>
        <w:jc w:val="left"/>
        <w:outlineLvl w:val="9"/>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spacing w:line="360" w:lineRule="auto"/>
        <w:jc w:val="left"/>
        <w:rPr>
          <w:rFonts w:hint="eastAsia" w:ascii="宋体" w:hAnsi="宋体" w:cs="宋体"/>
          <w:bCs/>
          <w:sz w:val="24"/>
          <w:highlight w:val="none"/>
        </w:rPr>
      </w:pPr>
    </w:p>
    <w:p>
      <w:pPr>
        <w:numPr>
          <w:ilvl w:val="0"/>
          <w:numId w:val="11"/>
        </w:numPr>
        <w:spacing w:line="360" w:lineRule="auto"/>
        <w:jc w:val="left"/>
        <w:outlineLvl w:val="9"/>
        <w:rPr>
          <w:rFonts w:ascii="宋体" w:hAnsi="宋体" w:cs="宋体"/>
          <w:b/>
          <w:sz w:val="24"/>
          <w:highlight w:val="none"/>
        </w:rPr>
      </w:pPr>
      <w:r>
        <w:rPr>
          <w:rFonts w:hint="eastAsia" w:ascii="宋体" w:hAnsi="宋体" w:cs="宋体"/>
          <w:b/>
          <w:sz w:val="24"/>
          <w:highlight w:val="none"/>
        </w:rPr>
        <w:t>释义</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幸福99丰裕固收386天25195期理财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幸福99丰裕固收386天25195期理财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幸福99丰裕固收386天25195期理财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幸福99丰裕固收386天25195期理财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幸福99丰裕固收386天25195期理财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幸福99丰裕固收386天25195期理财</w:t>
      </w:r>
      <w:r>
        <w:rPr>
          <w:rFonts w:hint="eastAsia" w:ascii="宋体" w:hAnsi="宋体" w:cs="宋体"/>
          <w:bCs/>
          <w:highlight w:val="none"/>
        </w:rPr>
        <w:t>。</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pPr>
        <w:pStyle w:val="17"/>
        <w:adjustRightInd/>
        <w:spacing w:line="360" w:lineRule="auto"/>
        <w:rPr>
          <w:rFonts w:hint="eastAsia" w:ascii="宋体" w:hAnsi="宋体" w:cs="宋体"/>
          <w:bCs/>
          <w:color w:val="auto"/>
          <w:kern w:val="2"/>
          <w:highlight w:val="none"/>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pStyle w:val="17"/>
        <w:adjustRightInd/>
        <w:spacing w:line="360" w:lineRule="auto"/>
        <w:rPr>
          <w:rFonts w:hint="eastAsia" w:ascii="宋体" w:hAnsi="宋体" w:cs="宋体"/>
          <w:bCs/>
          <w:color w:val="auto"/>
          <w:kern w:val="2"/>
          <w:highlight w:val="none"/>
          <w:lang w:eastAsia="zh-CN"/>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kern w:val="2"/>
                <w:sz w:val="21"/>
                <w:szCs w:val="21"/>
                <w:highlight w:val="none"/>
                <w:lang w:val="en-US" w:eastAsia="zh-CN" w:bidi="ar-SA"/>
              </w:rPr>
              <w:t>幸福99丰裕固收386天25195期理财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丰裕固收25195期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FYG25195</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Z7002225000379</w:t>
            </w:r>
            <w:r>
              <w:rPr>
                <w:rFonts w:hint="eastAsia" w:ascii="宋体" w:hAnsi="宋体" w:cs="宋体"/>
                <w:color w:val="000000"/>
                <w:szCs w:val="21"/>
                <w:highlight w:val="none"/>
              </w:rPr>
              <w:t>〗，投资者可依据该编码在“中国理财网（www.chinawealth.com.cn）”查询本理财计划信息。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b/>
                <w:color w:val="000000"/>
                <w:szCs w:val="21"/>
                <w:highlight w:val="none"/>
                <w:lang w:eastAsia="zh"/>
              </w:rPr>
            </w:pPr>
            <w:r>
              <w:rPr>
                <w:rFonts w:hint="eastAsia" w:ascii="宋体" w:hAnsi="宋体" w:eastAsia="宋体" w:cs="宋体"/>
                <w:b w:val="0"/>
                <w:bCs/>
                <w:color w:val="000000"/>
                <w:kern w:val="2"/>
                <w:sz w:val="21"/>
                <w:szCs w:val="21"/>
                <w:highlight w:val="none"/>
                <w:lang w:val="en-US" w:eastAsia="zh" w:bidi="ar-SA"/>
              </w:rPr>
              <w:t>其中：</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A份额（销售代码〖FYG25195A〗）：普通个人投资者和机构客户。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B份额（销售代码〖FYG25195B〗）：普通个人投资者和机构客户。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C份额（销售代码〖FYG25195C〗）：普通个人投资者和机构客户。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D份额（销售代码〖FYG25195D〗）：普通个人投资者和机构客户。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E份额（公司专属）（销售代码〖FYG25195E〗）：普通个人投资者和机构客户。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F份额（销售代码〖FYG25195F〗）：普通个人投资者和机构客户。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G份额（汉口银行专属）（销售代码〖FYG25195G〗）：普通个人投资者和机构客户。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H份额（北行专属）（销售代码〖FYG25195H〗）：普通个人投资者和机构客户。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I份额（爽盈优选）（销售代码〖FYG25195I〗）：普通个人投资者和机构客户。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J份额（销售代码〖FYG25195J〗）：普通个人投资者和机构客户。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K份额（鲲鹏优选）（销售代码〖FYG25195K〗）：普通个人投资者和机构客户。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N份额惠享款（长长财富·专属）（销售代码〖FYG25195N〗）：普通个人投资者和机构客户。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O份额（销售代码〖FYG25195O〗）：普通个人投资者和机构客户。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P份额（芙蓉锦程·优选）（销售代码〖FYG25195P〗）：普通个人投资者和机构客户。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Q份额惠享款（候鸟专属）（销售代码〖FYG25195Q〗）：普通个人投资者和机构客户。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R份额惠享款吉行十二号（销售代码〖FYG25195R〗）：普通个人投资者和机构客户。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S份额惠享款（齐鲁-逢六有约）（销售代码〖FYG25195S〗）：普通个人投资者和机构客户。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U份额惠享款（销售代码〖FYG25195U〗）：普通个人投资者和机构客户。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V份额（金芙蓉专属）（销售代码〖FYG25195V〗）：普通个人投资者和机构客户。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W份额惠享款（销售代码〖FYG25195W〗）：普通个人投资者和机构客户。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X份额（销售代码〖FYG25195X〗）：普通个人投资者。</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Y份额惠享款（销售代码〖FYG25195Y〗）：普通个人投资者和机构客户。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Z份额惠享款（销售代码〖FYG25195Z〗）：普通个人投资者和机构客户。</w:t>
            </w:r>
            <w:r>
              <w:rPr>
                <w:rFonts w:hint="eastAsia" w:ascii="宋体" w:hAnsi="宋体" w:cs="宋体"/>
                <w:b w:val="0"/>
                <w:bCs/>
                <w:color w:val="000000"/>
                <w:szCs w:val="21"/>
                <w:highlight w:val="none"/>
                <w:lang w:eastAsia="zh"/>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10</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21</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10</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27</w:t>
            </w:r>
            <w:r>
              <w:rPr>
                <w:rFonts w:hint="eastAsia" w:ascii="宋体" w:hAnsi="宋体" w:cs="宋体"/>
                <w:color w:val="000000"/>
                <w:szCs w:val="21"/>
                <w:highlight w:val="none"/>
              </w:rPr>
              <w:t>〗日</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10</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28</w:t>
            </w:r>
            <w:r>
              <w:rPr>
                <w:rFonts w:hint="eastAsia" w:ascii="宋体" w:hAnsi="宋体" w:cs="宋体"/>
                <w:color w:val="000000"/>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18</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386</w:t>
            </w:r>
            <w:r>
              <w:rPr>
                <w:rFonts w:hint="eastAsia" w:ascii="宋体" w:hAnsi="宋体" w:cs="宋体"/>
                <w:color w:val="000000"/>
                <w:szCs w:val="21"/>
                <w:highlight w:val="none"/>
              </w:rPr>
              <w:t>〗天（实际理财期限受制于管理人提前终止权等条款）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〖A份额〗起点〖1〗元整，超过认购起点部分，应为〖1〗元的整数倍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〖B份额〗起点〖1〗元整，超过认购起点部分，应为〖1〗元的整数倍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〖C份额〗起点〖1〗元整，超过认购起点部分，应为〖1〗元的整数倍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〖D份额〗起点〖1〗元整，超过认购起点部分，应为〖1〗元的整数倍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〖E份额〗起点〖1〗元整，超过认购起点部分，应为〖1〗元的整数倍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〖F份额〗起点〖1〗元整，超过认购起点部分，应为〖1〗元的整数倍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〖G份额〗起点〖1〗元整，超过认购起点部分，应为〖1〗元的整数倍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〖H份额〗起点〖1〗元整，超过认购起点部分，应为〖1〗元的整数倍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〖I份额〗起点〖1〗元整，超过认购起点部分，应为〖1〗元的整数倍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〖J份额〗起点〖1〗元整，超过认购起点部分，应为〖1〗元的整数倍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〖K份额〗起点〖1〗元整，超过认购起点部分，应为〖1〗元的整数倍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〖N份额〗起点〖1〗元整，超过认购起点部分，应为〖1〗元的整数倍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〖O份额〗起点〖1〗元整，超过认购起点部分，应为〖1〗元的整数倍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〖P份额〗起点〖1〗元整，超过认购起点部分，应为〖1〗元的整数倍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〖Q份额〗起点〖1〗万元整，超过认购起点部分，应为〖1〗元的整数倍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〖R份额〗起点〖1〗元整，超过认购起点部分，应为〖1〗元的整数倍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〖S份额〗起点〖1〗元整，超过认购起点部分，应为〖1〗元的整数倍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〖U份额〗起点〖10〗万元整，超过认购起点部分，应为〖1〗元的整数倍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〖V份额〗起点〖100〗万元整，超过认购起点部分，应为〖1〗元的整数倍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〖W份额〗起点〖1〗元整，超过认购起点部分，应为〖1〗元的整数倍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〖X份额〗起点〖1〗元整，超过认购起点部分，应为〖1〗元的整数倍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〖Y份额〗起点〖1〗元整，超过认购起点部分，应为〖1〗元的整数倍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〖Z份额〗起点〖1〗元整，超过认购起点部分，应为〖1〗元的整数倍</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000000"/>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lang w:eastAsia="zh"/>
              </w:rPr>
              <w:t>不</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本理财计划〖A份额〗业绩比较基准为〖2.45%-2.75%〗（年化）。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本理财计划〖B份额〗业绩比较基准为〖2.55%-2.85%〗（年化）。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本理财计划〖C份额〗业绩比较基准为〖2.65%-2.95%〗（年化）。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本理财计划〖D份额〗业绩比较基准为〖2.60%-2.90%〗（年化）。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本理财计划〖E份额〗业绩比较基准为〖2.30%-2.60%〗（年化）。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本理财计划〖F份额〗业绩比较基准为〖2.60%-2.90%〗（年化）。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本理财计划〖G份额〗业绩比较基准为〖2.70%-3.00%〗（年化）。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本理财计划〖H份额〗业绩比较基准为〖2.55%-2.85%〗（年化）。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本理财计划〖I份额〗业绩比较基准为〖2.45%-2.75%〗（年化）。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本理财计划〖J份额〗业绩比较基准为〖2.70%-3.00%〗（年化）。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本理财计划〖K份额〗业绩比较基准为〖2.45%-2.75%〗（年化）。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本理财计划〖N份额〗业绩比较基准为〖2.55%-2.85%〗（年化）。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本理财计划〖O份额〗业绩比较基准为〖2.55%-2.85%〗（年化）。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本理财计划〖P份额〗业绩比较基准为〖2.60%-2.90%〗（年化）。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本理财计划〖Q份额〗业绩比较基准为〖2.65%-2.95%〗（年化）。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本理财计划〖R份额〗业绩比较基准为〖2.60%-2.90%〗（年化）。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本理财计划〖S份额〗业绩比较基准为〖2.61%-2.91%〗（年化）。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本理财计划〖U份额〗业绩比较基准为〖2.55%-2.85%〗（年化）。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本理财计划〖V份额〗业绩比较基准为〖2.65%-2.95%〗（年化）。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本理财计划〖W份额〗业绩比较基准为〖2.45%-2.75%〗（年化）。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本理财计划〖X份额〗业绩比较基准为〖2.70%-3.00%〗（年化）。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本理财计划〖Y份额〗业绩比较基准为〖2.55%-2.85%〗（年化）。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本理财计划〖Z份额〗业绩比较基准为〖2.65%-2.95%〗（年化）。</w:t>
            </w:r>
          </w:p>
          <w:p>
            <w:pPr>
              <w:keepNext w:val="0"/>
              <w:keepLines w:val="0"/>
              <w:widowControl/>
              <w:suppressLineNumbers w:val="0"/>
              <w:spacing w:before="0" w:beforeAutospacing="0" w:after="0" w:afterAutospacing="0" w:line="360" w:lineRule="auto"/>
              <w:ind w:left="0" w:right="0"/>
              <w:jc w:val="left"/>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color w:val="000000"/>
                <w:kern w:val="2"/>
                <w:sz w:val="21"/>
                <w:szCs w:val="21"/>
                <w:lang w:val="en-US" w:eastAsia="zh-CN" w:bidi="ar"/>
              </w:rPr>
              <w:t>本理财计划重</w:t>
            </w:r>
            <w:r>
              <w:rPr>
                <w:rFonts w:hint="eastAsia" w:ascii="宋体" w:hAnsi="宋体" w:eastAsia="宋体" w:cs="宋体"/>
                <w:b/>
                <w:bCs/>
                <w:kern w:val="2"/>
                <w:sz w:val="21"/>
                <w:szCs w:val="21"/>
                <w:lang w:val="en-US" w:eastAsia="zh-CN" w:bidi="ar"/>
              </w:rPr>
              <w:t>点投资于货币市场工具、债券、非标准化债权类资产等资产，管理人根据固定收益市场历史表现，结合当前利率水平、资产配比及市场同类型产品情况，经综合判断得出。</w:t>
            </w:r>
          </w:p>
          <w:p>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〖E份额〗收取年化〖0.40%〗的销售服务费, 〖F份额〗收取年化〖0.15%〗的销售服务费, 〖G份额〗收取年化〖0.05%〗的销售服务费, 〖H份额〗收取年化〖0.20%〗的销售服务费, 〖I份额〗收取年化〖0.30%〗的销售服务费, 〖J份额〗收取年化〖0.05%〗的销售服务费, 〖K份额〗收取年化〖0.30%〗的销售服务费, 〖N份额〗收取年化〖0.20%〗的销售服务费, 〖O份额〗收取年化〖0.20%〗的销售服务费, 〖P份额〗收取年化〖0.15%〗的销售服务费, 〖Q份额〗收取年化〖0.10%〗的销售服务费, 〖R份额〗收取年化〖0.15%〗的销售服务费, 〖S份额〗收取年化〖0.15%〗的销售服务费, 〖U份额〗收取年化〖0.20%〗的销售服务费, 〖V份额〗收取年化〖0.10%〗的销售服务费, 〖W份额〗收取年化〖0.30%〗的销售服务费, 〖X份额〗收取年化〖0.05%〗的销售服务费, 〖Y份额〗收取年化〖0.20%〗的销售服务费, 〖Z份额〗收取年化〖0.10%〗的销售服务费。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〖A份额〗收取年化〖0.05%〗的固定管理费, 〖B份额〗收取年化〖0.05%〗的固定管理费, 〖C份额〗收取年化〖0.05%〗的固定管理费, 〖D份额〗收取年化〖0.05%〗的固定管理费, 〖E份额〗收取年化〖0.10%〗的固定管理费, 〖F份额〗收取年化〖0.05%〗的固定管理费, 〖G份额〗收取年化〖0.05%〗的固定管理费, 〖H份额〗收取年化〖0.05%〗的固定管理费, 〖I份额〗收取年化〖0.05%〗的固定管理费, 〖J份额〗收取年化〖0.05%〗的固定管理费, 〖K份额〗收取年化〖0.05%〗的固定管理费, 〖N份额〗收取年化〖0.05%〗的固定管理费, 〖O份额〗收取年化〖0.05%〗的固定管理费, 〖P份额〗收取年化〖0.05%〗的固定管理费, 〖Q份额〗收取年化〖0.05%〗的固定管理费, 〖R份额〗收取年化〖0.05%〗的固定管理费, 〖S份额〗收取年化〖0.04%〗的固定管理费, 〖U份额〗收取年化〖0.05%〗的固定管理费, 〖V份额〗收取年化〖0.05%〗的固定管理费, 〖W份额〗收取年化〖0.05%〗的固定管理费, 〖X份额〗收取年化〖0.05%〗的固定管理费, 〖Y份额〗收取年化〖0.05%〗的固定管理费, 〖Z份额〗收取年化〖0.05%〗的固定管理费。</w:t>
            </w:r>
          </w:p>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除O份额）到期日（提前终止日）的折合年化收益率在〖业绩比较基准下限（含）至业绩比较基准上限（含）〗的部分，管理人提取〖50%〗作为浮动管理费，在折合年化收益率超过〖业绩比较基准上限〗的部分，管理人提取〖80%〗作为浮动管理费；〖O份额〗到期日（提前终止日）的折合年化收益率在〖业绩比较基准下限（含）至业绩比较基准中枢（含）〗的部分，管理人提取〖50%〗作为浮动管理费，在折合年化收益率超过〖业绩比较基准中枢〗的部分，管理人提取〖60%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pPr>
              <w:keepNext w:val="0"/>
              <w:keepLines w:val="0"/>
              <w:suppressLineNumbers w:val="0"/>
              <w:spacing w:before="0" w:beforeAutospacing="0" w:after="0" w:afterAutospacing="0" w:line="360" w:lineRule="auto"/>
              <w:ind w:left="0" w:right="0"/>
              <w:outlineLvl w:val="9"/>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outlineLvl w:val="9"/>
        <w:rPr>
          <w:rFonts w:hint="eastAsia" w:ascii="宋体" w:hAnsi="宋体" w:cs="宋体"/>
          <w:b/>
          <w:color w:val="000000"/>
          <w:sz w:val="24"/>
          <w:highlight w:val="none"/>
        </w:rPr>
      </w:pPr>
      <w:r>
        <w:rPr>
          <w:rFonts w:hint="eastAsia" w:ascii="宋体" w:hAnsi="宋体" w:cs="宋体"/>
          <w:b/>
          <w:color w:val="000000"/>
          <w:sz w:val="24"/>
          <w:highlight w:val="none"/>
        </w:rPr>
        <w:t>投资管理</w:t>
      </w:r>
    </w:p>
    <w:p>
      <w:pPr>
        <w:numPr>
          <w:ilvl w:val="0"/>
          <w:numId w:val="0"/>
        </w:numPr>
        <w:spacing w:line="360" w:lineRule="auto"/>
        <w:ind w:leftChars="0" w:firstLine="480" w:firstLineChars="200"/>
        <w:outlineLvl w:val="9"/>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投资范围</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本理财计划主要投资于符合监管要求的各类资产：</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auto"/>
          <w:kern w:val="2"/>
          <w:position w:val="-1"/>
          <w:sz w:val="24"/>
          <w:u w:val="none"/>
          <w:vertAlign w:val="baseline"/>
        </w:rPr>
        <w:t>1. 固定收益类资产：包括但不限于各类债券、存款、货币市场金融工具、债券基金、质押式及买断式回购、非标准化债权类资产，其他符合监管要求的固定收益类资产及资产管理产品。</w:t>
      </w:r>
      <w:r>
        <w:rPr>
          <w:rFonts w:ascii="宋体" w:hAnsi="宋体" w:eastAsia="宋体" w:cs="宋体"/>
          <w:b w:val="0"/>
          <w:i w:val="0"/>
          <w:caps w:val="0"/>
          <w:strike w:val="0"/>
          <w:dstrike w:val="0"/>
          <w:shadow w:val="0"/>
          <w:emboss w:val="0"/>
          <w:imprint w:val="0"/>
          <w:color w:val="auto"/>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auto"/>
          <w:kern w:val="2"/>
          <w:position w:val="-1"/>
          <w:sz w:val="24"/>
          <w:u w:val="none"/>
          <w:vertAlign w:val="baseline"/>
        </w:rPr>
        <w:t xml:space="preserve">    2. 权益类资产：仅限境内发行优先股和永续债。</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投资比例</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本理财计划各投资资产占</w:t>
      </w:r>
      <w:r>
        <w:rPr>
          <w:rFonts w:hint="eastAsia" w:ascii="宋体" w:hAnsi="宋体" w:cs="宋体"/>
          <w:bCs/>
          <w:sz w:val="24"/>
          <w:highlight w:val="none"/>
          <w:lang w:eastAsia="zh-CN"/>
        </w:rPr>
        <w:t>总</w:t>
      </w:r>
      <w:r>
        <w:rPr>
          <w:rFonts w:hint="eastAsia" w:ascii="宋体" w:hAnsi="宋体" w:cs="宋体"/>
          <w:bCs/>
          <w:sz w:val="24"/>
          <w:highlight w:val="none"/>
        </w:rPr>
        <w:t>资产的配置比例如下：</w:t>
      </w:r>
    </w:p>
    <w:tbl>
      <w:tblPr>
        <w:tblStyle w:val="8"/>
        <w:tblW w:w="8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0"/>
        <w:gridCol w:w="4500"/>
        <w:gridCol w:w="2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投资资产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配置比例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Merge w:val="restart"/>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大类资产类型</w:t>
            </w: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固定收益类资产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90%-100%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Merge w:val="continue"/>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大类资产类型</w:t>
            </w: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权益类资产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特殊资产类型</w:t>
            </w: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 xml:space="preserve">非标准化债权类资产 </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0%-50%</w:t>
            </w:r>
          </w:p>
        </w:tc>
      </w:tr>
    </w:tbl>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本理财计划特殊资产类型为基于大类资产类型项下的进一步细化分类，其配置比例不得超过大类资产配置比例。</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投资策略</w:t>
      </w:r>
    </w:p>
    <w:p>
      <w:pPr>
        <w:pStyle w:val="17"/>
        <w:numPr>
          <w:ilvl w:val="0"/>
          <w:numId w:val="22"/>
        </w:numPr>
        <w:adjustRightInd/>
        <w:spacing w:line="360" w:lineRule="auto"/>
        <w:rPr>
          <w:rFonts w:hint="eastAsia" w:ascii="宋体" w:hAnsi="宋体" w:cs="宋体"/>
          <w:bCs/>
          <w:color w:val="000000"/>
          <w:kern w:val="2"/>
          <w:highlight w:val="none"/>
        </w:rPr>
      </w:pPr>
      <w:r>
        <w:rPr>
          <w:rFonts w:hint="eastAsia" w:ascii="宋体" w:hAnsi="宋体" w:cs="宋体"/>
          <w:bCs/>
          <w:color w:val="000000"/>
          <w:kern w:val="2"/>
          <w:highlight w:val="none"/>
        </w:rPr>
        <w:t>资产配置策略</w:t>
      </w:r>
    </w:p>
    <w:p>
      <w:pPr>
        <w:pStyle w:val="17"/>
        <w:adjustRightInd/>
        <w:spacing w:line="360" w:lineRule="auto"/>
        <w:rPr>
          <w:rFonts w:ascii="宋体" w:cs="宋体"/>
          <w:color w:val="000000"/>
          <w:sz w:val="21"/>
          <w:szCs w:val="21"/>
          <w:highlight w:val="none"/>
        </w:rPr>
      </w:pPr>
      <w:r>
        <w:rPr>
          <w:rFonts w:hint="eastAsia" w:ascii="宋体" w:hAnsi="宋体" w:cs="宋体"/>
          <w:bCs/>
          <w:color w:val="000000"/>
          <w:kern w:val="2"/>
          <w:highlight w:val="none"/>
        </w:rPr>
        <w:t xml:space="preserve">    将通过对宏观经济形势、各项国家政策、及证券市场环境的分析来判断经济周期目前的位置，主动判断市场时机进行资产配置，确定在股票、债券、金融衍生品等各类资产上的投资比例。</w:t>
      </w:r>
    </w:p>
    <w:p>
      <w:pPr>
        <w:numPr>
          <w:ilvl w:val="0"/>
          <w:numId w:val="2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债券投资策略</w:t>
      </w:r>
    </w:p>
    <w:p>
      <w:pPr>
        <w:pStyle w:val="17"/>
        <w:adjustRightInd/>
        <w:spacing w:line="360" w:lineRule="auto"/>
        <w:ind w:firstLine="480" w:firstLineChars="200"/>
        <w:rPr>
          <w:rFonts w:hint="eastAsia" w:ascii="宋体" w:hAnsi="宋体" w:cs="宋体"/>
          <w:bCs/>
          <w:color w:val="000000"/>
          <w:highlight w:val="none"/>
        </w:rPr>
      </w:pPr>
      <w:r>
        <w:rPr>
          <w:rFonts w:hint="eastAsia" w:ascii="宋体" w:hAnsi="宋体" w:cs="宋体"/>
          <w:bCs/>
          <w:color w:val="000000"/>
          <w:kern w:val="2"/>
          <w:highlight w:val="none"/>
        </w:rPr>
        <w:t>管理人本着稳健投资的理念，采用安全性和流动性优先、优选投资品种，采取久期策略和信用策略来获取稳定收益。</w:t>
      </w:r>
    </w:p>
    <w:p>
      <w:pPr>
        <w:keepNext w:val="0"/>
        <w:keepLines w:val="0"/>
        <w:widowControl w:val="0"/>
        <w:numPr>
          <w:ilvl w:val="0"/>
          <w:numId w:val="23"/>
        </w:numPr>
        <w:suppressLineNumbers w:val="0"/>
        <w:spacing w:before="0" w:beforeAutospacing="0" w:after="0" w:afterAutospacing="0" w:line="360" w:lineRule="auto"/>
        <w:ind w:left="0" w:right="0"/>
        <w:jc w:val="both"/>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非标准化债权类资产投资策略</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cs="宋体"/>
          <w:bCs/>
          <w:color w:val="000000"/>
          <w:kern w:val="2"/>
          <w:highlight w:val="none"/>
        </w:rPr>
      </w:pPr>
      <w:r>
        <w:rPr>
          <w:rFonts w:hint="eastAsia" w:ascii="宋体" w:hAnsi="宋体" w:eastAsia="宋体" w:cs="宋体"/>
          <w:color w:val="000000"/>
          <w:kern w:val="2"/>
          <w:sz w:val="24"/>
          <w:szCs w:val="24"/>
          <w:lang w:val="en-US" w:eastAsia="zh-CN" w:bidi="ar"/>
        </w:rPr>
        <w:t>管理人发挥自身能力优势，在合规前提下开展风险可控、期限匹配的非标准化债权类资产投资，力争获取稳定收益。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firstLine="480" w:firstLineChars="200"/>
        <w:jc w:val="left"/>
        <w:outlineLvl w:val="9"/>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8"/>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pPr>
        <w:numPr>
          <w:ilvl w:val="0"/>
          <w:numId w:val="2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销售机构</w:t>
      </w:r>
    </w:p>
    <w:tbl>
      <w:tblPr>
        <w:tblStyle w:val="8"/>
        <w:tblW w:w="7517" w:type="dxa"/>
        <w:tblInd w:w="39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0"/>
        <w:gridCol w:w="1626"/>
        <w:gridCol w:w="1225"/>
        <w:gridCol w:w="37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930" w:type="dxa"/>
            <w:vMerge w:val="restart"/>
            <w:tcBorders>
              <w:top w:val="single" w:color="auto" w:sz="4" w:space="0"/>
              <w:left w:val="single" w:color="auto" w:sz="4" w:space="0"/>
              <w:bottom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销售机构信息</w:t>
            </w:r>
          </w:p>
        </w:tc>
        <w:tc>
          <w:tcPr>
            <w:tcW w:w="1626" w:type="dxa"/>
            <w:vMerge w:val="restar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杭州银行股份有限公司</w:t>
            </w:r>
          </w:p>
        </w:tc>
        <w:tc>
          <w:tcPr>
            <w:tcW w:w="122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kern w:val="2"/>
                <w:sz w:val="21"/>
                <w:szCs w:val="21"/>
                <w:lang w:val="en-US" w:eastAsia="zh-CN" w:bidi="ar"/>
              </w:rPr>
              <w:t>浙江省杭州市上城区解放东路168号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苏州银行股份有限公司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江苏省苏州工业园区钟园路728号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1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厦门银行股份有限公司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福建省厦门市思明区湖滨北路101号商业银行大厦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400-858-8888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中信银行股份有限公司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北京市朝阳区光华路10号院1号楼6-30层、32-42层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齐鲁银行股份有限公司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山东省济南市历下区经十路10817号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甘肃省兰州市城关区东岗西路525—1号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4008696666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杭银理财有限责任公司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浙江省杭州市拱墅区庆春路38号金龙财富中心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400-8950-999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绍兴银行股份有限公司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浙江省绍兴市越城区中兴南路1号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4000896528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72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浙江萧山农村商业银行股份有限公司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浙江省杭州市萧山区城厢街道人民路258号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4008896596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海南省海口市龙华区海秀东路31号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0898-96566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秦皇岛银行股份有限公司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河北省秦皇岛市海港区河北大街西段560号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0335-96336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温州银行股份有限公司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浙江省温州市鹿城区会展路1316号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0577-96699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中邮邮惠万家银行有限责任公司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上海市虹口区东大名路1080号25层、26层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大连农村商业银行股份有限公司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辽宁省大连经济技术开发区五彩城A区1栋-A1号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96689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9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吉林银行股份有限公司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经济开发区东南湖大路1817号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400-88-96666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福建海峡银行股份有限公司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福建省福州市台江区江滨中大道358号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400-893-9999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兰州银行股份有限公司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甘肃省兰州市酒泉路211号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400-88-96799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厦门农村商业银行股份有限公司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中国(福建)自由贸易试验区厦门片区东港北路31号(1层、17层、19层、27-28层、30-31层)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40083-96336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汉口银行股份有限公司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湖北省武汉市江汉区建设大道933号武汉商业银行大厦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635" w:hRule="atLeast"/>
        </w:trPr>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销售机构职责</w:t>
            </w:r>
          </w:p>
        </w:tc>
        <w:tc>
          <w:tcPr>
            <w:tcW w:w="6587"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主要负责理财计划推广、投资者风险承受能力评估、投资者适当性管理、理财计划份额认购、申购及赎回办理。</w:t>
            </w:r>
            <w:r>
              <w:rPr>
                <w:rFonts w:hint="eastAsia" w:ascii="宋体" w:hAnsi="宋体" w:eastAsia="宋体" w:cs="宋体"/>
                <w:color w:val="000000"/>
                <w:kern w:val="0"/>
                <w:sz w:val="21"/>
                <w:szCs w:val="21"/>
                <w:lang w:val="en-US" w:eastAsia="zh-CN" w:bidi="ar"/>
              </w:rPr>
              <w:br w:type="textWrapping"/>
            </w:r>
            <w:r>
              <w:rPr>
                <w:rFonts w:hint="eastAsia" w:ascii="宋体" w:hAnsi="宋体" w:eastAsia="宋体" w:cs="宋体"/>
                <w:color w:val="000000"/>
                <w:kern w:val="0"/>
                <w:sz w:val="21"/>
                <w:szCs w:val="21"/>
                <w:lang w:val="en-US" w:eastAsia="zh-CN" w:bidi="ar"/>
              </w:rPr>
              <w:t>协助管理人负责与投资者签订理财计划合同、与投资者沟通及进行信息披露、接受投资者咨询和客户维护等销售服务。</w:t>
            </w:r>
          </w:p>
        </w:tc>
      </w:tr>
    </w:tbl>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pPr>
        <w:spacing w:line="360" w:lineRule="auto"/>
        <w:jc w:val="left"/>
        <w:rPr>
          <w:rFonts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费用及税收</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分为每日计提销售服务费的〖A份额〗、〖B份额〗、〖C份额〗、〖D份额〗、〖E份额〗、〖F份额〗、〖G份额〗、〖H份额〗、〖I份额〗、〖J份额〗、〖K份额〗、〖O份额〗、〖P份额〗、〖V份额〗、〖X份额〗和销售服务费于产品成立日一次性收取的〖N份额〗、〖Q份额〗、〖R份额〗、〖S份额〗、〖U份额〗、〖W份额〗、〖Y份额〗、〖Z份额〗。A份额的年化销售服务费率为〖0.30%〗, B份额的年化销售服务费率为〖0.20%〗, C份额的年化销售服务费率为〖0.10%〗, D份额的年化销售服务费率为〖0.15%〗, E份额的年化销售服务费率为〖0.40%〗, F份额的年化销售服务费率为〖0.15%〗, G份额的年化销售服务费率为〖0.05%〗, H份额的年化销售服务费率为〖0.20%〗, I份额的年化销售服务费率为〖0.30%〗, J份额的年化销售服务费率为〖0.05%〗, K份额的年化销售服务费率为〖0.30%〗, N份额的年化销售服务费率为〖0.20%〗, O份额的年化销售服务费率为〖0.20%〗, P份额的年化销售服务费率为〖0.15%〗, Q份额的年化销售服务费率为〖0.10%〗, R份额的年化销售服务费率为〖0.15%〗, S份额的年化销售服务费率为〖0.15%〗, U份额的年化销售服务费率为〖0.20%〗, V份额的年化销售服务费率为〖0.10%〗, W份额的年化销售服务费率为〖0.30%〗, X份额的年化销售服务费率为〖0.05%〗, Y份额的年化销售服务费率为〖0.20%〗, Z份额的年化销售服务费率为〖0.10%〗。两种计算方法如下：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（1）销售费按日计提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（2）销售费一次性收取</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H2＝E2×〖0.20%〗×P÷365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H2为〖N份额〗应计提的销售服务费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E2为〖N份额〗成立日产品份额</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P为产品投资期限天数</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销售服务费于产品成立日一次性收取，每日摊销。</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kern w:val="2"/>
          <w:sz w:val="24"/>
          <w:szCs w:val="24"/>
          <w:highlight w:val="none"/>
          <w:lang w:val="en-US" w:eastAsia="zh" w:bidi="ar-SA"/>
        </w:rPr>
        <w:t>理财计划财产</w:t>
      </w:r>
      <w:r>
        <w:rPr>
          <w:rFonts w:hint="eastAsia" w:ascii="宋体" w:hAnsi="宋体" w:eastAsia="宋体" w:cs="宋体"/>
          <w:bCs/>
          <w:color w:val="000000"/>
          <w:kern w:val="2"/>
          <w:sz w:val="24"/>
          <w:szCs w:val="24"/>
          <w:highlight w:val="none"/>
          <w:lang w:val="en-US" w:eastAsia="zh" w:bidi="ar-SA"/>
        </w:rPr>
        <w:t>A份额的年化固定管理费率为〖0.05%〗, B份额的年化固定管理费率为〖0.05%〗, C份额的年化固定管理费率为〖0.05%〗, D份额的年化固定管理费率为〖0.05%〗, E份额的年化固定管理费率为〖0.10%〗, F份额的年化固定管理费率为〖0.05%〗, G份额的年化固定管理费率为〖0.05%〗, H份额的年化固定管理费率为〖0.05%〗, I份额的年化固定管理费率为〖0.05%〗, J份额的年化固定管理费率为〖0.05%〗, K份额的年化固定管理费率为〖0.05%〗, N份额的年化固定管理费率为〖0.05%〗, O份额的年化固定管理费率为〖0.05%〗, P份额的年化固定管理费率为〖0.05%〗, Q份额的年化固定管理费率为〖0.05%〗, R份额的年化固定管理费率为〖0.05%〗, S份额的年化固定管理费率为〖0.04%〗, U份额的年化固定管理费率为〖0.05%〗, V份额的年化固定管理费率为〖0.05%〗, W份额的年化固定管理费率为〖0.05%〗, X份额的年化固定管理费率为〖0.05%〗, Y份额的年化固定管理费率为〖0.05%〗, Z份额的年化固定管理费率为〖0.05%〗, 以〖A份额〗</w:t>
      </w:r>
      <w:r>
        <w:rPr>
          <w:rFonts w:hint="eastAsia" w:ascii="宋体" w:hAnsi="宋体" w:cs="宋体"/>
          <w:bCs/>
          <w:color w:val="000000"/>
          <w:sz w:val="24"/>
          <w:highlight w:val="none"/>
        </w:rPr>
        <w:t>为例，计算方法如下：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理财管理人根据理财计划投资情况计算浮动管理费，浮动管理费原则上按估值日计提，到期收取。以〖A份额〗为例，具体计算方法如下：</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（1）若本理财计划到期日（提前终止日）的折合年化收益率超过业绩比较基准下限但未达到业绩比较基准上限，则超过业绩比较基准下限的部分管理人收取〖50%〗作为浮动管理费，即：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2）若本理财计划到期日（提前终止日）的折合年化收益率超过业绩比较基准上限，则〖业绩比较基准下限(含)至上限(含)〗的部分管理人收取〖50%〗作为浮动管理费，超过〖业绩比较基准上限〗的部分管理人收取〖80%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H=E×NAV0×[(K-R)×〖80%〗+(R-S)×〖50%〗]×N÷365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H为理财计划到期（提前终止）时应收取浮动管理费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NAV0为理财计划成立日之初的单位净值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NAV1为理财计划到期日未扣除浮动管理费前的单位净值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R为理财计划业绩比较基准上限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S为理财计划业绩比较基准下限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N为理财计划份额成立日（含）至估值日（含）的区间天数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T为理财计划运作期间每单位份额的实际分红金额合计（如有）</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税收说明</w:t>
      </w:r>
    </w:p>
    <w:p>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收益计算</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示例说明</w:t>
      </w:r>
    </w:p>
    <w:p>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1.0615，此时，(1.0615÷1.0000-1)×365÷362=6.20%&gt;5.00%，即在〖4.00%-5.00%〗部分的投资收益管理人收取80%作为浮动管理费，超过〖5.00%〗部分的投资收益管理人收取100%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100,000×1.0000×{[（1.0615÷1.0000-1）×365÷362-5.00%]×100%+(5.00%-4.00%)×80%}×362÷365=1,984.52（元）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100,000.00×（1.0615-1.0000）-1,984.52= 4,165.48（元）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扣除托管费、固定管理费、销售服务费（如有）后，投资收益率超过业绩比较基准下限，但未达到业绩比较基准上限。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1.0415，此时，(1.0415÷1.0000-1)×365÷362=4.18%，即投资收益超过〖4.00%〗但未达到〖5.00%〗，则超过〖4.00%〗部分的投资收益管理人收取80%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100,000.00×1.0000×[(1.0415÷1.0000-1)×365÷362-4.00%]×80%×362÷365=146.30（元）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100,000.00×（1.0415-1.0000）-146.30 =4,003.70（元）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1.0362，此时，(1.0362÷1.0000-1)×365÷362=3.65%&lt;4.00%，即投资收益未达到〖4.00%〗，则投资管理人不收取浮动管理费，投资者最终收益为：100,000.00×(1.0365-1.0000）=3,650.00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示例四</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元，折算份额为100,000.00份，假设份额成立日（含）至估值日（含）的区间天数为362天,业绩比较基准为4.00%-5.00%。假设理财产品到期时扣除托管费、固定管理费、销售服务费（如有）后，如理财计划未扣除浮动管理费前的净值为0.9975，则投资管理人不收取浮动管理费，投资者最终收益为：100,000.00×（0.9975-1.0000）=-250.00（元）。</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交易规则</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认购</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成立</w:t>
      </w:r>
    </w:p>
    <w:p>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申购及赎回</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到期清算</w:t>
      </w:r>
    </w:p>
    <w:p>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信息披露</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其他</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51"/>
        </w:numPr>
        <w:tabs>
          <w:tab w:val="left" w:pos="6090"/>
        </w:tabs>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rPr>
          <w:rFonts w:ascii="宋体" w:hAnsi="宋体" w:cs="宋体"/>
          <w:bCs/>
          <w:color w:val="000000"/>
          <w:sz w:val="24"/>
          <w:highlight w:val="none"/>
        </w:rPr>
      </w:pPr>
      <w:r>
        <w:rPr>
          <w:rFonts w:ascii="宋体" w:hAnsi="宋体" w:cs="宋体"/>
          <w:bCs/>
          <w:color w:val="000000"/>
          <w:sz w:val="24"/>
          <w:highlight w:val="none"/>
        </w:rPr>
        <w:br w:type="page"/>
      </w:r>
    </w:p>
    <w:p>
      <w:pPr>
        <w:spacing w:line="360" w:lineRule="auto"/>
        <w:jc w:val="center"/>
        <w:outlineLvl w:val="9"/>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52"/>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54"/>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numPr>
          <w:ilvl w:val="0"/>
          <w:numId w:val="55"/>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联络方式</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rPr>
          <w:rFonts w:ascii="宋体" w:hAnsi="宋体" w:cs="宋体"/>
          <w:bCs/>
          <w:color w:val="000000"/>
          <w:sz w:val="24"/>
          <w:highlight w:val="none"/>
        </w:rPr>
      </w:pPr>
      <w:r>
        <w:rPr>
          <w:rFonts w:ascii="宋体" w:hAnsi="宋体" w:cs="宋体"/>
          <w:bCs/>
          <w:color w:val="000000"/>
          <w:sz w:val="24"/>
          <w:highlight w:val="none"/>
        </w:rPr>
        <w:br w:type="page"/>
      </w:r>
    </w:p>
    <w:p>
      <w:pPr>
        <w:jc w:val="center"/>
        <w:outlineLvl w:val="9"/>
        <w:rPr>
          <w:rFonts w:hint="eastAsia"/>
          <w:b/>
          <w:sz w:val="44"/>
          <w:szCs w:val="44"/>
          <w:highlight w:val="none"/>
        </w:rPr>
      </w:pP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61"/>
        </w:numPr>
        <w:spacing w:line="360" w:lineRule="auto"/>
        <w:ind w:firstLine="482" w:firstLineChars="200"/>
        <w:outlineLvl w:val="9"/>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投资者权利与义务</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管理人权利与义务</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63"/>
        </w:numPr>
        <w:spacing w:line="360" w:lineRule="auto"/>
        <w:contextualSpacing/>
        <w:outlineLvl w:val="9"/>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理财计划认（申）购、赎回及终止</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64"/>
        </w:numPr>
        <w:spacing w:line="360" w:lineRule="auto"/>
        <w:contextualSpacing/>
        <w:outlineLvl w:val="9"/>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违约责任及免责条款</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协议生效和终止</w:t>
      </w:r>
    </w:p>
    <w:p>
      <w:pPr>
        <w:widowControl/>
        <w:numPr>
          <w:ilvl w:val="0"/>
          <w:numId w:val="66"/>
        </w:numPr>
        <w:spacing w:line="360" w:lineRule="auto"/>
        <w:contextualSpacing/>
        <w:outlineLvl w:val="9"/>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附则</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pPr>
        <w:spacing w:line="360" w:lineRule="auto"/>
        <w:rPr>
          <w:rFonts w:hint="eastAsia" w:ascii="宋体" w:hAnsi="宋体"/>
          <w:b/>
          <w:bCs/>
          <w:sz w:val="24"/>
          <w:highlight w:val="none"/>
        </w:rPr>
      </w:pPr>
    </w:p>
    <w:p>
      <w:pPr>
        <w:spacing w:line="360" w:lineRule="auto"/>
        <w:rPr>
          <w:rFonts w:hint="eastAsia" w:ascii="宋体" w:hAnsi="宋体"/>
          <w:b/>
          <w:bCs/>
          <w:sz w:val="24"/>
          <w:highlight w:val="none"/>
        </w:rPr>
      </w:pPr>
    </w:p>
    <w:p>
      <w:pPr>
        <w:spacing w:before="156" w:beforeLines="50" w:after="156" w:afterLines="50" w:line="360" w:lineRule="auto"/>
        <w:ind w:firstLine="4800" w:firstLineChars="2000"/>
        <w:jc w:val="right"/>
        <w:rPr>
          <w:rFonts w:ascii="宋体" w:hAnsi="宋体" w:cs="宋体"/>
          <w:bCs/>
          <w:color w:val="000000"/>
          <w:sz w:val="24"/>
          <w:highlight w:val="none"/>
        </w:rPr>
      </w:pPr>
      <w:r>
        <w:rPr>
          <w:rFonts w:hint="eastAsia" w:ascii="Arial" w:hAnsi="Arial"/>
          <w:sz w:val="24"/>
          <w:highlight w:val="none"/>
        </w:rPr>
        <w:t xml:space="preserve">   年   月   日</w:t>
      </w:r>
    </w:p>
    <w:p>
      <w:pPr>
        <w:pageBreakBefore/>
        <w:widowControl/>
        <w:spacing w:line="120" w:lineRule="auto"/>
        <w:jc w:val="center"/>
        <w:outlineLvl w:val="9"/>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val="0"/>
          <w:sz w:val="24"/>
          <w:highlight w:val="none"/>
          <w:lang w:val="en-US" w:eastAsia="zh-CN"/>
        </w:rPr>
      </w:pPr>
      <w:bookmarkStart w:id="0" w:name="_GoBack"/>
      <w:bookmarkEnd w:id="0"/>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493557F"/>
    <w:multiLevelType w:val="singleLevel"/>
    <w:tmpl w:val="8493557F"/>
    <w:lvl w:ilvl="0" w:tentative="0">
      <w:start w:val="2"/>
      <w:numFmt w:val="decimal"/>
      <w:suff w:val="nothing"/>
      <w:lvlText w:val="%1．"/>
      <w:lvlJc w:val="left"/>
      <w:pPr>
        <w:ind w:left="0" w:firstLine="403"/>
      </w:pPr>
      <w:rPr>
        <w:rFonts w:hint="default" w:ascii="宋体" w:hAnsi="宋体" w:eastAsia="宋体" w:cs="宋体"/>
        <w:b w:val="0"/>
        <w:bCs w:val="0"/>
      </w:rPr>
    </w:lvl>
  </w:abstractNum>
  <w:abstractNum w:abstractNumId="2">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
    <w:nsid w:val="8906C252"/>
    <w:multiLevelType w:val="singleLevel"/>
    <w:tmpl w:val="8906C252"/>
    <w:lvl w:ilvl="0" w:tentative="0">
      <w:start w:val="1"/>
      <w:numFmt w:val="decimal"/>
      <w:suff w:val="nothing"/>
      <w:lvlText w:val="（%1）"/>
      <w:lvlJc w:val="left"/>
      <w:rPr>
        <w:rFonts w:hint="default"/>
        <w:b w:val="0"/>
        <w:bCs w:val="0"/>
      </w:rPr>
    </w:lvl>
  </w:abstractNum>
  <w:abstractNum w:abstractNumId="4">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5">
    <w:nsid w:val="8CBA9D88"/>
    <w:multiLevelType w:val="singleLevel"/>
    <w:tmpl w:val="8CBA9D88"/>
    <w:lvl w:ilvl="0" w:tentative="0">
      <w:start w:val="1"/>
      <w:numFmt w:val="decimal"/>
      <w:suff w:val="nothing"/>
      <w:lvlText w:val="%1．"/>
      <w:lvlJc w:val="left"/>
      <w:pPr>
        <w:ind w:left="0" w:firstLine="400"/>
      </w:pPr>
      <w:rPr>
        <w:rFonts w:hint="default" w:ascii="宋体" w:hAnsi="宋体" w:eastAsia="宋体" w:cs="宋体"/>
      </w:rPr>
    </w:lvl>
  </w:abstractNum>
  <w:abstractNum w:abstractNumId="6">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7">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8">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9">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10">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11">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2">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3">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4">
    <w:nsid w:val="AC40BB97"/>
    <w:multiLevelType w:val="singleLevel"/>
    <w:tmpl w:val="AC40BB97"/>
    <w:lvl w:ilvl="0" w:tentative="0">
      <w:start w:val="1"/>
      <w:numFmt w:val="chineseCounting"/>
      <w:suff w:val="nothing"/>
      <w:lvlText w:val="%1、"/>
      <w:lvlJc w:val="left"/>
      <w:rPr>
        <w:rFonts w:hint="eastAsia"/>
      </w:rPr>
    </w:lvl>
  </w:abstractNum>
  <w:abstractNum w:abstractNumId="15">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6">
    <w:nsid w:val="B08226EF"/>
    <w:multiLevelType w:val="singleLevel"/>
    <w:tmpl w:val="B08226EF"/>
    <w:lvl w:ilvl="0" w:tentative="0">
      <w:start w:val="1"/>
      <w:numFmt w:val="chineseCounting"/>
      <w:suff w:val="space"/>
      <w:lvlText w:val="第%1条"/>
      <w:lvlJc w:val="left"/>
      <w:rPr>
        <w:rFonts w:hint="eastAsia"/>
      </w:rPr>
    </w:lvl>
  </w:abstractNum>
  <w:abstractNum w:abstractNumId="17">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8">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9">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20">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21">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2">
    <w:nsid w:val="D8D75090"/>
    <w:multiLevelType w:val="singleLevel"/>
    <w:tmpl w:val="D8D75090"/>
    <w:lvl w:ilvl="0" w:tentative="0">
      <w:start w:val="1"/>
      <w:numFmt w:val="decimal"/>
      <w:suff w:val="nothing"/>
      <w:lvlText w:val="（%1）"/>
      <w:lvlJc w:val="left"/>
      <w:rPr>
        <w:rFonts w:hint="default"/>
        <w:b w:val="0"/>
        <w:bCs w:val="0"/>
      </w:rPr>
    </w:lvl>
  </w:abstractNum>
  <w:abstractNum w:abstractNumId="23">
    <w:nsid w:val="DD2251DF"/>
    <w:multiLevelType w:val="singleLevel"/>
    <w:tmpl w:val="DD2251DF"/>
    <w:lvl w:ilvl="0" w:tentative="0">
      <w:start w:val="1"/>
      <w:numFmt w:val="decimal"/>
      <w:suff w:val="nothing"/>
      <w:lvlText w:val="（%1）"/>
      <w:lvlJc w:val="left"/>
      <w:rPr>
        <w:rFonts w:hint="default"/>
        <w:b w:val="0"/>
        <w:bCs w:val="0"/>
      </w:rPr>
    </w:lvl>
  </w:abstractNum>
  <w:abstractNum w:abstractNumId="24">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E7FCF71"/>
    <w:multiLevelType w:val="multilevel"/>
    <w:tmpl w:val="FE7FCF71"/>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4"/>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20"/>
  </w:num>
  <w:num w:numId="16">
    <w:abstractNumId w:val="11"/>
  </w:num>
  <w:num w:numId="17">
    <w:abstractNumId w:val="17"/>
  </w:num>
  <w:num w:numId="18">
    <w:abstractNumId w:val="8"/>
  </w:num>
  <w:num w:numId="19">
    <w:abstractNumId w:val="9"/>
  </w:num>
  <w:num w:numId="20">
    <w:abstractNumId w:val="7"/>
  </w:num>
  <w:num w:numId="21">
    <w:abstractNumId w:val="70"/>
  </w:num>
  <w:num w:numId="22">
    <w:abstractNumId w:val="5"/>
  </w:num>
  <w:num w:numId="23">
    <w:abstractNumId w:val="1"/>
  </w:num>
  <w:num w:numId="24">
    <w:abstractNumId w:val="43"/>
  </w:num>
  <w:num w:numId="25">
    <w:abstractNumId w:val="27"/>
  </w:num>
  <w:num w:numId="26">
    <w:abstractNumId w:val="19"/>
  </w:num>
  <w:num w:numId="27">
    <w:abstractNumId w:val="38"/>
  </w:num>
  <w:num w:numId="28">
    <w:abstractNumId w:val="21"/>
  </w:num>
  <w:num w:numId="29">
    <w:abstractNumId w:val="6"/>
  </w:num>
  <w:num w:numId="30">
    <w:abstractNumId w:val="46"/>
  </w:num>
  <w:num w:numId="31">
    <w:abstractNumId w:val="4"/>
  </w:num>
  <w:num w:numId="32">
    <w:abstractNumId w:val="31"/>
  </w:num>
  <w:num w:numId="33">
    <w:abstractNumId w:val="36"/>
  </w:num>
  <w:num w:numId="34">
    <w:abstractNumId w:val="71"/>
  </w:num>
  <w:num w:numId="35">
    <w:abstractNumId w:val="30"/>
  </w:num>
  <w:num w:numId="36">
    <w:abstractNumId w:val="23"/>
  </w:num>
  <w:num w:numId="37">
    <w:abstractNumId w:val="41"/>
  </w:num>
  <w:num w:numId="38">
    <w:abstractNumId w:val="2"/>
  </w:num>
  <w:num w:numId="39">
    <w:abstractNumId w:val="24"/>
  </w:num>
  <w:num w:numId="40">
    <w:abstractNumId w:val="29"/>
  </w:num>
  <w:num w:numId="41">
    <w:abstractNumId w:val="45"/>
  </w:num>
  <w:num w:numId="42">
    <w:abstractNumId w:val="34"/>
  </w:num>
  <w:num w:numId="43">
    <w:abstractNumId w:val="18"/>
  </w:num>
  <w:num w:numId="44">
    <w:abstractNumId w:val="48"/>
  </w:num>
  <w:num w:numId="45">
    <w:abstractNumId w:val="12"/>
  </w:num>
  <w:num w:numId="46">
    <w:abstractNumId w:val="10"/>
  </w:num>
  <w:num w:numId="47">
    <w:abstractNumId w:val="13"/>
  </w:num>
  <w:num w:numId="48">
    <w:abstractNumId w:val="35"/>
  </w:num>
  <w:num w:numId="49">
    <w:abstractNumId w:val="22"/>
  </w:num>
  <w:num w:numId="50">
    <w:abstractNumId w:val="3"/>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6"/>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5"/>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3AE1ACD"/>
    <w:rsid w:val="05305490"/>
    <w:rsid w:val="05D650B2"/>
    <w:rsid w:val="05DE6E8D"/>
    <w:rsid w:val="05E42C31"/>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10E7747B"/>
    <w:rsid w:val="10F25E29"/>
    <w:rsid w:val="11FA0C01"/>
    <w:rsid w:val="128B25FE"/>
    <w:rsid w:val="12DA17D8"/>
    <w:rsid w:val="15862C7E"/>
    <w:rsid w:val="164976A9"/>
    <w:rsid w:val="178D1D7E"/>
    <w:rsid w:val="17EA7887"/>
    <w:rsid w:val="18321B09"/>
    <w:rsid w:val="18616AA2"/>
    <w:rsid w:val="18A06199"/>
    <w:rsid w:val="191F0F43"/>
    <w:rsid w:val="19E235E1"/>
    <w:rsid w:val="1A7E4CCF"/>
    <w:rsid w:val="1BCD72C9"/>
    <w:rsid w:val="1BFB7C22"/>
    <w:rsid w:val="1C09008C"/>
    <w:rsid w:val="1D0817CE"/>
    <w:rsid w:val="1E635082"/>
    <w:rsid w:val="1F0F7AA5"/>
    <w:rsid w:val="1F962D64"/>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EAD6691"/>
    <w:rsid w:val="2F0D25D9"/>
    <w:rsid w:val="3086176D"/>
    <w:rsid w:val="31124CF4"/>
    <w:rsid w:val="31A3269E"/>
    <w:rsid w:val="322D08A3"/>
    <w:rsid w:val="32626F15"/>
    <w:rsid w:val="329E36D6"/>
    <w:rsid w:val="34105616"/>
    <w:rsid w:val="3486580A"/>
    <w:rsid w:val="34A35A92"/>
    <w:rsid w:val="34A453A9"/>
    <w:rsid w:val="34EC3C25"/>
    <w:rsid w:val="351A5D92"/>
    <w:rsid w:val="35AA025C"/>
    <w:rsid w:val="35CA7D73"/>
    <w:rsid w:val="377307FA"/>
    <w:rsid w:val="3B1C12F3"/>
    <w:rsid w:val="3BD53B5C"/>
    <w:rsid w:val="3CC03BDC"/>
    <w:rsid w:val="3CC57F13"/>
    <w:rsid w:val="3D4C282D"/>
    <w:rsid w:val="3D970F4E"/>
    <w:rsid w:val="3DE106C6"/>
    <w:rsid w:val="3E540971"/>
    <w:rsid w:val="3E786275"/>
    <w:rsid w:val="3E931F0D"/>
    <w:rsid w:val="3F7E2660"/>
    <w:rsid w:val="3FA31FDD"/>
    <w:rsid w:val="3FBF6D08"/>
    <w:rsid w:val="3FFA261A"/>
    <w:rsid w:val="40A430BB"/>
    <w:rsid w:val="40E135DA"/>
    <w:rsid w:val="40FB25F3"/>
    <w:rsid w:val="41F528C8"/>
    <w:rsid w:val="427C1487"/>
    <w:rsid w:val="42FA026B"/>
    <w:rsid w:val="43C800C0"/>
    <w:rsid w:val="444440BE"/>
    <w:rsid w:val="44AC49CD"/>
    <w:rsid w:val="44B91F56"/>
    <w:rsid w:val="46184F00"/>
    <w:rsid w:val="466F6F60"/>
    <w:rsid w:val="46A726DE"/>
    <w:rsid w:val="4745701D"/>
    <w:rsid w:val="47AC6180"/>
    <w:rsid w:val="48BF1281"/>
    <w:rsid w:val="4B2F6DF6"/>
    <w:rsid w:val="4CC51C60"/>
    <w:rsid w:val="4D3204EA"/>
    <w:rsid w:val="4D697EB1"/>
    <w:rsid w:val="4DFF95C2"/>
    <w:rsid w:val="4E08799D"/>
    <w:rsid w:val="4E2B414A"/>
    <w:rsid w:val="4F5679CC"/>
    <w:rsid w:val="501840BA"/>
    <w:rsid w:val="52B042C0"/>
    <w:rsid w:val="53827B5D"/>
    <w:rsid w:val="53E86B53"/>
    <w:rsid w:val="54D66C67"/>
    <w:rsid w:val="54ED47F2"/>
    <w:rsid w:val="568633C7"/>
    <w:rsid w:val="57061882"/>
    <w:rsid w:val="57280BF2"/>
    <w:rsid w:val="57FE8B5E"/>
    <w:rsid w:val="582C3B01"/>
    <w:rsid w:val="582D059F"/>
    <w:rsid w:val="582D396D"/>
    <w:rsid w:val="59083CAE"/>
    <w:rsid w:val="592570E8"/>
    <w:rsid w:val="59435FE6"/>
    <w:rsid w:val="59480030"/>
    <w:rsid w:val="59A3360E"/>
    <w:rsid w:val="5ADE2855"/>
    <w:rsid w:val="5B056CAE"/>
    <w:rsid w:val="5C664A4B"/>
    <w:rsid w:val="5CE67D31"/>
    <w:rsid w:val="5E5F4050"/>
    <w:rsid w:val="5F04726A"/>
    <w:rsid w:val="5F6D37D2"/>
    <w:rsid w:val="5F9C081D"/>
    <w:rsid w:val="606677EA"/>
    <w:rsid w:val="60F34C3C"/>
    <w:rsid w:val="617668BD"/>
    <w:rsid w:val="61D01645"/>
    <w:rsid w:val="63723353"/>
    <w:rsid w:val="64164D78"/>
    <w:rsid w:val="64993141"/>
    <w:rsid w:val="659F27EB"/>
    <w:rsid w:val="659F600E"/>
    <w:rsid w:val="67CE6661"/>
    <w:rsid w:val="680A5A06"/>
    <w:rsid w:val="68B9403E"/>
    <w:rsid w:val="68D511B9"/>
    <w:rsid w:val="68FA6041"/>
    <w:rsid w:val="69827CEE"/>
    <w:rsid w:val="6BDE71F2"/>
    <w:rsid w:val="6C9577EB"/>
    <w:rsid w:val="6CBA3A99"/>
    <w:rsid w:val="6D3A1203"/>
    <w:rsid w:val="6DFE35A5"/>
    <w:rsid w:val="6E9C369D"/>
    <w:rsid w:val="6EF41B11"/>
    <w:rsid w:val="702573F3"/>
    <w:rsid w:val="70B57531"/>
    <w:rsid w:val="70FA499F"/>
    <w:rsid w:val="730C182D"/>
    <w:rsid w:val="73FC9A3F"/>
    <w:rsid w:val="751974A1"/>
    <w:rsid w:val="758B30E4"/>
    <w:rsid w:val="75F42331"/>
    <w:rsid w:val="761F7C3C"/>
    <w:rsid w:val="76683D2A"/>
    <w:rsid w:val="76C62D9E"/>
    <w:rsid w:val="78244617"/>
    <w:rsid w:val="7A923507"/>
    <w:rsid w:val="7ACB640D"/>
    <w:rsid w:val="7BFF1A29"/>
    <w:rsid w:val="7C044D89"/>
    <w:rsid w:val="7C1D1871"/>
    <w:rsid w:val="7C63442B"/>
    <w:rsid w:val="7D3AA22F"/>
    <w:rsid w:val="7DE35ECA"/>
    <w:rsid w:val="7E1A0C5A"/>
    <w:rsid w:val="7E3212D3"/>
    <w:rsid w:val="7F5F887D"/>
    <w:rsid w:val="7F9FC635"/>
    <w:rsid w:val="7FCC7D05"/>
    <w:rsid w:val="7FEF42B8"/>
    <w:rsid w:val="7FEFE414"/>
    <w:rsid w:val="9FD01BC3"/>
    <w:rsid w:val="B3FE25BF"/>
    <w:rsid w:val="BE6E0F8F"/>
    <w:rsid w:val="C679D4D5"/>
    <w:rsid w:val="D3FFF2E3"/>
    <w:rsid w:val="D4B948F0"/>
    <w:rsid w:val="D7BE90C3"/>
    <w:rsid w:val="DFC41A24"/>
    <w:rsid w:val="EBB30EEB"/>
    <w:rsid w:val="EE7F4EA6"/>
    <w:rsid w:val="F3F331A4"/>
    <w:rsid w:val="F3FF81F7"/>
    <w:rsid w:val="F7FE62B6"/>
    <w:rsid w:val="FA543BA3"/>
    <w:rsid w:val="FD7F9463"/>
    <w:rsid w:val="FEAED78B"/>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annotation text"/>
    <w:basedOn w:val="1"/>
    <w:link w:val="18"/>
    <w:uiPriority w:val="0"/>
    <w:pPr>
      <w:jc w:val="left"/>
    </w:pPr>
  </w:style>
  <w:style w:type="paragraph" w:styleId="3">
    <w:name w:val="Balloon Text"/>
    <w:basedOn w:val="1"/>
    <w:link w:val="20"/>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qFormat/>
    <w:uiPriority w:val="0"/>
    <w:rPr>
      <w:color w:val="0000FF"/>
      <w:u w:val="single"/>
    </w:rPr>
  </w:style>
  <w:style w:type="character" w:styleId="12">
    <w:name w:val="annotation reference"/>
    <w:uiPriority w:val="0"/>
    <w:rPr>
      <w:sz w:val="21"/>
      <w:szCs w:val="21"/>
    </w:rPr>
  </w:style>
  <w:style w:type="character" w:customStyle="1" w:styleId="13">
    <w:name w:val="批注文字 字符"/>
    <w:link w:val="2"/>
    <w:uiPriority w:val="0"/>
    <w:rPr>
      <w:rFonts w:ascii="Calibri" w:hAnsi="Calibri" w:cs="黑体"/>
      <w:kern w:val="2"/>
      <w:sz w:val="21"/>
      <w:szCs w:val="24"/>
    </w:rPr>
  </w:style>
  <w:style w:type="character" w:customStyle="1" w:styleId="14">
    <w:name w:val="批注框文本 字符"/>
    <w:link w:val="3"/>
    <w:uiPriority w:val="0"/>
    <w:rPr>
      <w:rFonts w:ascii="Calibri" w:hAnsi="Calibri" w:cs="黑体"/>
      <w:kern w:val="2"/>
      <w:sz w:val="18"/>
      <w:szCs w:val="18"/>
    </w:rPr>
  </w:style>
  <w:style w:type="character" w:customStyle="1" w:styleId="15">
    <w:name w:val="批注主题 字符"/>
    <w:link w:val="7"/>
    <w:uiPriority w:val="0"/>
    <w:rPr>
      <w:rFonts w:ascii="Calibri" w:hAnsi="Calibri" w:cs="黑体"/>
      <w:b/>
      <w:bCs/>
      <w:kern w:val="2"/>
      <w:sz w:val="21"/>
      <w:szCs w:val="24"/>
    </w:rPr>
  </w:style>
  <w:style w:type="paragraph" w:customStyle="1" w:styleId="16">
    <w:name w:val="List Paragraph"/>
    <w:basedOn w:val="1"/>
    <w:unhideWhenUsed/>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uiPriority w:val="0"/>
    <w:rPr>
      <w:rFonts w:ascii="Calibri" w:hAnsi="Calibri" w:cs="黑体"/>
      <w:kern w:val="2"/>
      <w:sz w:val="21"/>
      <w:szCs w:val="24"/>
    </w:rPr>
  </w:style>
  <w:style w:type="character" w:customStyle="1" w:styleId="19">
    <w:name w:val="批注主题 Char"/>
    <w:link w:val="7"/>
    <w:uiPriority w:val="0"/>
    <w:rPr>
      <w:rFonts w:ascii="Calibri" w:hAnsi="Calibri" w:cs="黑体"/>
      <w:b/>
      <w:bCs/>
      <w:kern w:val="2"/>
      <w:sz w:val="21"/>
      <w:szCs w:val="24"/>
    </w:rPr>
  </w:style>
  <w:style w:type="character" w:customStyle="1" w:styleId="20">
    <w:name w:val="批注框文本 Char"/>
    <w:link w:val="3"/>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59</Pages>
  <Words>38350</Words>
  <Characters>41287</Characters>
  <Lines>1</Lines>
  <Paragraphs>1</Paragraphs>
  <TotalTime>0</TotalTime>
  <ScaleCrop>false</ScaleCrop>
  <LinksUpToDate>false</LinksUpToDate>
  <CharactersWithSpaces>41796</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hccb</cp:lastModifiedBy>
  <dcterms:modified xsi:type="dcterms:W3CDTF">2025-10-15T06:49:02Z</dcterms:modified>
  <dc:title>杭银理财幸福99XXXX理财计划合同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A70A2227A99B4340974191B47870DEF5</vt:lpwstr>
  </property>
</Properties>
</file>