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w:t>
      </w:r>
      <w:r>
        <w:rPr>
          <w:rFonts w:hint="eastAsia" w:ascii="黑体" w:hAnsi="黑体" w:eastAsia="黑体"/>
          <w:b/>
          <w:sz w:val="44"/>
          <w:szCs w:val="44"/>
          <w:lang w:eastAsia="zh-CN"/>
        </w:rPr>
        <w:t>安盈</w:t>
      </w:r>
      <w:r>
        <w:rPr>
          <w:rFonts w:hint="eastAsia" w:ascii="黑体" w:hAnsi="黑体" w:eastAsia="黑体"/>
          <w:b/>
          <w:sz w:val="44"/>
          <w:szCs w:val="44"/>
        </w:rPr>
        <w:t>封闭式】理财产品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Fonts w:hint="eastAsia" w:ascii="黑体" w:hAnsi="黑体" w:eastAsia="黑体"/>
          <w:b/>
          <w:sz w:val="44"/>
          <w:szCs w:val="44"/>
        </w:rPr>
        <w:t>稳利</w:t>
      </w:r>
      <w:r>
        <w:rPr>
          <w:rFonts w:hint="eastAsia" w:ascii="黑体" w:hAnsi="黑体" w:eastAsia="黑体"/>
          <w:b/>
          <w:sz w:val="44"/>
          <w:szCs w:val="44"/>
          <w:lang w:eastAsia="zh-CN"/>
        </w:rPr>
        <w:t>安盈</w:t>
      </w:r>
      <w:r>
        <w:rPr>
          <w:rFonts w:hint="eastAsia" w:ascii="黑体" w:hAnsi="黑体" w:eastAsia="黑体"/>
          <w:b/>
          <w:sz w:val="44"/>
          <w:szCs w:val="44"/>
        </w:rPr>
        <w:t>封闭式</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2301"/>
      <w:bookmarkStart w:id="1" w:name="_Toc123112263"/>
      <w:bookmarkStart w:id="2" w:name="_Toc123112224"/>
      <w:bookmarkStart w:id="3" w:name="_Toc139991726"/>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64"/>
      <w:bookmarkStart w:id="6" w:name="_Toc139992302"/>
      <w:bookmarkStart w:id="7" w:name="_Toc123701384"/>
      <w:bookmarkStart w:id="8" w:name="_Toc139991727"/>
      <w:bookmarkStart w:id="9" w:name="_Toc123112225"/>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10</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39991729"/>
      <w:bookmarkStart w:id="12" w:name="_Toc123701386"/>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【兴银理财稳利安盈封闭式2025年</w:t>
            </w:r>
            <w:r>
              <w:rPr>
                <w:rFonts w:hint="eastAsia" w:ascii="宋体" w:hAnsi="宋体"/>
                <w:bCs/>
                <w:color w:val="auto"/>
                <w:sz w:val="18"/>
                <w:szCs w:val="18"/>
                <w:highlight w:val="none"/>
                <w:lang w:eastAsia="zh-CN"/>
              </w:rPr>
              <w:t>429期</w:t>
            </w:r>
            <w:r>
              <w:rPr>
                <w:rFonts w:hint="eastAsia" w:ascii="宋体" w:hAnsi="宋体"/>
                <w:bCs/>
                <w:color w:val="auto"/>
                <w:sz w:val="18"/>
                <w:szCs w:val="18"/>
                <w:highlight w:val="none"/>
              </w:rPr>
              <w:t>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top"/>
          </w:tcPr>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429期</w:t>
            </w:r>
            <w:r>
              <w:rPr>
                <w:rFonts w:hint="eastAsia" w:ascii="宋体" w:hAnsi="宋体"/>
                <w:bCs/>
                <w:color w:val="auto"/>
                <w:sz w:val="18"/>
                <w:szCs w:val="18"/>
                <w:highlight w:val="none"/>
              </w:rPr>
              <w:t>A】（适用【A】类份额）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429期</w:t>
            </w:r>
            <w:r>
              <w:rPr>
                <w:rFonts w:hint="eastAsia" w:ascii="宋体" w:hAnsi="宋体"/>
                <w:bCs/>
                <w:color w:val="auto"/>
                <w:sz w:val="18"/>
                <w:szCs w:val="18"/>
                <w:highlight w:val="none"/>
                <w:lang w:val="en-US" w:eastAsia="zh-CN"/>
              </w:rPr>
              <w:t>B</w:t>
            </w:r>
            <w:r>
              <w:rPr>
                <w:rFonts w:hint="eastAsia" w:ascii="宋体" w:hAnsi="宋体"/>
                <w:bCs/>
                <w:color w:val="auto"/>
                <w:sz w:val="18"/>
                <w:szCs w:val="18"/>
                <w:highlight w:val="none"/>
              </w:rPr>
              <w:t>】（适用【B】类份额）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429期</w:t>
            </w:r>
            <w:r>
              <w:rPr>
                <w:rFonts w:hint="eastAsia" w:ascii="宋体" w:hAnsi="宋体"/>
                <w:bCs/>
                <w:color w:val="auto"/>
                <w:sz w:val="18"/>
                <w:szCs w:val="18"/>
                <w:highlight w:val="none"/>
              </w:rPr>
              <w:t>C】（适用【C】类份额）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429期</w:t>
            </w:r>
            <w:r>
              <w:rPr>
                <w:rFonts w:hint="eastAsia" w:ascii="宋体" w:hAnsi="宋体"/>
                <w:bCs/>
                <w:color w:val="auto"/>
                <w:sz w:val="18"/>
                <w:szCs w:val="18"/>
                <w:highlight w:val="none"/>
              </w:rPr>
              <w:t>D】（适用【D】类份额）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tcPr>
          <w:p>
            <w:pPr>
              <w:spacing w:line="360" w:lineRule="auto"/>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inorEastAsia" w:hAnsiTheme="minorEastAsia"/>
                <w:color w:val="auto"/>
                <w:sz w:val="18"/>
                <w:szCs w:val="18"/>
              </w:rPr>
              <w:t>Z7002025001353</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color w:val="auto"/>
                <w:sz w:val="18"/>
                <w:szCs w:val="18"/>
                <w:highlight w:val="none"/>
              </w:rPr>
            </w:pPr>
            <w:r>
              <w:rPr>
                <w:rFonts w:ascii="宋体" w:hAnsi="宋体"/>
                <w:bCs/>
                <w:color w:val="auto"/>
                <w:sz w:val="18"/>
                <w:szCs w:val="18"/>
              </w:rPr>
              <w:t>【</w:t>
            </w:r>
            <w:r>
              <w:rPr>
                <w:rFonts w:hint="eastAsia" w:ascii="宋体" w:hAnsi="宋体"/>
                <w:bCs/>
                <w:color w:val="auto"/>
                <w:sz w:val="18"/>
                <w:szCs w:val="18"/>
                <w:lang w:eastAsia="zh-CN"/>
              </w:rPr>
              <w:t>9A254290</w:t>
            </w:r>
            <w:r>
              <w:rPr>
                <w:rFonts w:hint="eastAsia" w:ascii="宋体" w:hAnsi="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top"/>
          </w:tcPr>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9A25429</w:t>
            </w:r>
            <w:r>
              <w:rPr>
                <w:rFonts w:hint="eastAsia" w:ascii="宋体" w:hAnsi="宋体"/>
                <w:bCs/>
                <w:color w:val="auto"/>
                <w:sz w:val="18"/>
                <w:szCs w:val="18"/>
                <w:highlight w:val="none"/>
              </w:rPr>
              <w:t>A】（适用【A】类份额）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9A25429</w:t>
            </w:r>
            <w:r>
              <w:rPr>
                <w:rFonts w:hint="eastAsia" w:ascii="宋体" w:hAnsi="宋体"/>
                <w:bCs/>
                <w:color w:val="auto"/>
                <w:sz w:val="18"/>
                <w:szCs w:val="18"/>
                <w:highlight w:val="none"/>
                <w:lang w:val="en-US" w:eastAsia="zh-CN"/>
              </w:rPr>
              <w:t>B</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B</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9A25429</w:t>
            </w:r>
            <w:r>
              <w:rPr>
                <w:rFonts w:hint="eastAsia" w:ascii="宋体" w:hAnsi="宋体"/>
                <w:bCs/>
                <w:color w:val="auto"/>
                <w:sz w:val="18"/>
                <w:szCs w:val="18"/>
                <w:highlight w:val="none"/>
                <w:lang w:val="en-US" w:eastAsia="zh-CN"/>
              </w:rPr>
              <w:t>C</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C</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9A25429</w:t>
            </w:r>
            <w:r>
              <w:rPr>
                <w:rFonts w:hint="eastAsia" w:ascii="宋体" w:hAnsi="宋体"/>
                <w:bCs/>
                <w:color w:val="auto"/>
                <w:sz w:val="18"/>
                <w:szCs w:val="18"/>
                <w:highlight w:val="none"/>
                <w:lang w:val="en-US" w:eastAsia="zh-CN"/>
              </w:rPr>
              <w:t>D</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D</w:t>
            </w:r>
            <w:r>
              <w:rPr>
                <w:rFonts w:hint="eastAsia" w:ascii="宋体" w:hAnsi="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9629"/>
      <w:bookmarkStart w:id="15" w:name="_Toc123112268"/>
      <w:bookmarkStart w:id="16" w:name="_Toc4966"/>
      <w:bookmarkStart w:id="17" w:name="_Toc15517"/>
      <w:bookmarkStart w:id="18" w:name="_Toc4867"/>
      <w:bookmarkStart w:id="19" w:name="_Toc8727"/>
      <w:bookmarkStart w:id="20" w:name="_Toc141703880"/>
      <w:bookmarkStart w:id="21" w:name="_Toc32639"/>
      <w:bookmarkStart w:id="22" w:name="_Toc123701389"/>
      <w:bookmarkStart w:id="23" w:name="_Toc6306"/>
      <w:bookmarkStart w:id="24" w:name="_Toc23386"/>
      <w:bookmarkStart w:id="25" w:name="_Toc26897"/>
      <w:bookmarkStart w:id="26" w:name="_Toc123112229"/>
      <w:bookmarkStart w:id="27" w:name="_Toc30935"/>
      <w:bookmarkStart w:id="28" w:name="_Toc13999173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3020"/>
      <w:bookmarkStart w:id="33" w:name="_Toc15067"/>
      <w:bookmarkStart w:id="34" w:name="_Toc6617"/>
      <w:bookmarkStart w:id="35" w:name="_Toc819"/>
      <w:bookmarkStart w:id="36" w:name="_Toc21301"/>
      <w:bookmarkStart w:id="37" w:name="_Toc3224"/>
      <w:bookmarkStart w:id="38" w:name="_Toc24860"/>
      <w:bookmarkStart w:id="39" w:name="_Toc22864"/>
      <w:bookmarkStart w:id="40" w:name="_Toc2465"/>
      <w:bookmarkStart w:id="41" w:name="_Toc19592"/>
      <w:bookmarkStart w:id="42" w:name="_Toc258829399"/>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74065740"/>
      <w:bookmarkStart w:id="48" w:name="_Toc6683"/>
      <w:bookmarkStart w:id="49" w:name="_Toc6149"/>
      <w:bookmarkStart w:id="50" w:name="_Toc22708"/>
      <w:bookmarkStart w:id="51" w:name="_Toc545"/>
      <w:bookmarkStart w:id="52" w:name="_Toc20318"/>
      <w:bookmarkStart w:id="53" w:name="_Toc20627"/>
      <w:bookmarkStart w:id="54" w:name="_Toc24571"/>
      <w:bookmarkStart w:id="55" w:name="_Toc18631"/>
      <w:bookmarkStart w:id="56" w:name="_Toc733"/>
      <w:bookmarkStart w:id="57" w:name="_Toc1328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w:t>
      </w:r>
      <w:r>
        <w:rPr>
          <w:rFonts w:hint="eastAsia" w:ascii="黑体" w:hAnsi="黑体" w:eastAsia="黑体"/>
          <w:b/>
          <w:bCs/>
          <w:sz w:val="44"/>
          <w:szCs w:val="44"/>
          <w:lang w:eastAsia="zh-CN"/>
        </w:rPr>
        <w:t>安盈</w:t>
      </w:r>
      <w:r>
        <w:rPr>
          <w:rFonts w:hint="eastAsia" w:ascii="黑体" w:hAnsi="黑体" w:eastAsia="黑体"/>
          <w:b/>
          <w:bCs/>
          <w:sz w:val="44"/>
          <w:szCs w:val="44"/>
        </w:rPr>
        <w:t>封闭式】理财产品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10</w:t>
      </w:r>
      <w:r>
        <w:rPr>
          <w:rFonts w:hint="eastAsia" w:ascii="宋体" w:hAnsi="宋体" w:cs="Times New Roman"/>
          <w:b/>
          <w:bCs/>
          <w:sz w:val="32"/>
          <w:szCs w:val="32"/>
        </w:rPr>
        <w:t>】月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）。兴业银行成立于</w:t>
      </w:r>
      <w:r>
        <w:rPr>
          <w:rFonts w:ascii="宋体" w:hAnsi="宋体" w:eastAsia="宋体" w:cs="宋体"/>
          <w:bCs/>
          <w:color w:val="auto"/>
          <w:sz w:val="18"/>
          <w:szCs w:val="18"/>
          <w:lang w:val="en-US" w:eastAsia="zh-CN" w:bidi="ar-SA"/>
        </w:rPr>
        <w:t>1988年，于2005年开展资产托管业务，具备理财产品托管资格。</w:t>
      </w:r>
      <w:r>
        <w:rPr>
          <w:rFonts w:hint="eastAsia" w:ascii="宋体" w:hAnsi="宋体" w:eastAsia="宋体" w:cs="宋体"/>
          <w:bCs/>
          <w:color w:val="auto"/>
          <w:sz w:val="18"/>
          <w:szCs w:val="18"/>
          <w:lang w:val="en-US" w:eastAsia="zh-CN" w:bidi="ar-SA"/>
        </w:rPr>
        <w:t>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spacing w:line="360" w:lineRule="auto"/>
              <w:jc w:val="left"/>
              <w:rPr>
                <w:rFonts w:ascii="宋体" w:hAnsi="宋体" w:cs="宋体"/>
                <w:bCs/>
                <w:color w:val="auto"/>
                <w:sz w:val="18"/>
                <w:szCs w:val="18"/>
              </w:rPr>
            </w:pPr>
            <w:r>
              <w:rPr>
                <w:rFonts w:hint="eastAsia" w:ascii="宋体" w:hAnsi="宋体" w:cs="宋体"/>
                <w:bCs/>
                <w:color w:val="auto"/>
                <w:sz w:val="18"/>
                <w:szCs w:val="18"/>
                <w:highlight w:val="none"/>
              </w:rPr>
              <w:t>【兴银理财稳利安盈封闭式2025年</w:t>
            </w:r>
            <w:r>
              <w:rPr>
                <w:rFonts w:hint="eastAsia" w:ascii="宋体" w:hAnsi="宋体" w:cs="宋体"/>
                <w:bCs/>
                <w:color w:val="auto"/>
                <w:sz w:val="18"/>
                <w:szCs w:val="18"/>
                <w:highlight w:val="none"/>
                <w:lang w:eastAsia="zh-CN"/>
              </w:rPr>
              <w:t>429期</w:t>
            </w:r>
            <w:r>
              <w:rPr>
                <w:rFonts w:hint="eastAsia" w:ascii="宋体" w:hAnsi="宋体" w:cs="宋体"/>
                <w:bCs/>
                <w:color w:val="auto"/>
                <w:sz w:val="18"/>
                <w:szCs w:val="18"/>
                <w:highlight w:val="none"/>
              </w:rPr>
              <w:t>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429期</w:t>
            </w:r>
            <w:r>
              <w:rPr>
                <w:rFonts w:hint="eastAsia" w:ascii="宋体" w:hAnsi="宋体" w:cs="宋体"/>
                <w:bCs/>
                <w:color w:val="auto"/>
                <w:sz w:val="18"/>
                <w:szCs w:val="18"/>
                <w:highlight w:val="none"/>
              </w:rPr>
              <w:t>A】（适用【A】类份额）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429期</w:t>
            </w:r>
            <w:r>
              <w:rPr>
                <w:rFonts w:hint="eastAsia" w:ascii="宋体" w:hAnsi="宋体" w:cs="宋体"/>
                <w:bCs/>
                <w:color w:val="auto"/>
                <w:sz w:val="18"/>
                <w:szCs w:val="18"/>
                <w:highlight w:val="none"/>
                <w:lang w:val="en-US" w:eastAsia="zh-CN"/>
              </w:rPr>
              <w:t>B</w:t>
            </w:r>
            <w:r>
              <w:rPr>
                <w:rFonts w:hint="eastAsia" w:ascii="宋体" w:hAnsi="宋体" w:cs="宋体"/>
                <w:bCs/>
                <w:color w:val="auto"/>
                <w:sz w:val="18"/>
                <w:szCs w:val="18"/>
                <w:highlight w:val="none"/>
              </w:rPr>
              <w:t>】（适用【B】类份额）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429期</w:t>
            </w:r>
            <w:r>
              <w:rPr>
                <w:rFonts w:hint="eastAsia" w:ascii="宋体" w:hAnsi="宋体" w:cs="宋体"/>
                <w:bCs/>
                <w:color w:val="auto"/>
                <w:sz w:val="18"/>
                <w:szCs w:val="18"/>
                <w:highlight w:val="none"/>
              </w:rPr>
              <w:t>C】（适用【C】类份额）</w:t>
            </w:r>
          </w:p>
          <w:p>
            <w:pPr>
              <w:spacing w:line="360" w:lineRule="auto"/>
              <w:jc w:val="left"/>
              <w:rPr>
                <w:rFonts w:hint="eastAsia" w:ascii="Calibri" w:hAnsi="宋体" w:cs="宋体"/>
                <w:color w:val="auto"/>
                <w:sz w:val="18"/>
                <w:szCs w:val="18"/>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429期</w:t>
            </w:r>
            <w:r>
              <w:rPr>
                <w:rFonts w:hint="eastAsia" w:ascii="宋体" w:hAnsi="宋体" w:cs="宋体"/>
                <w:bCs/>
                <w:color w:val="auto"/>
                <w:sz w:val="18"/>
                <w:szCs w:val="18"/>
                <w:highlight w:val="none"/>
              </w:rPr>
              <w:t>D】（适用【D】类份额）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spacing w:line="360" w:lineRule="auto"/>
              <w:jc w:val="left"/>
              <w:rPr>
                <w:rFonts w:ascii="宋体" w:hAnsi="宋体" w:cs="宋体"/>
                <w:b/>
                <w:sz w:val="18"/>
                <w:szCs w:val="18"/>
              </w:rPr>
            </w:pPr>
            <w:r>
              <w:rPr>
                <w:rFonts w:hint="eastAsia" w:ascii="宋体" w:hAnsi="宋体" w:cs="宋体"/>
                <w:sz w:val="18"/>
                <w:szCs w:val="18"/>
              </w:rPr>
              <w:t>【</w:t>
            </w:r>
            <w:r>
              <w:rPr>
                <w:rFonts w:hint="eastAsia" w:ascii="宋体" w:hAnsi="宋体" w:cs="宋体"/>
                <w:color w:val="auto"/>
                <w:sz w:val="18"/>
                <w:szCs w:val="18"/>
              </w:rPr>
              <w:t>Z7002025001353</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spacing w:line="360" w:lineRule="auto"/>
              <w:jc w:val="left"/>
              <w:rPr>
                <w:rFonts w:ascii="宋体" w:hAnsi="宋体" w:cs="宋体"/>
                <w:bCs/>
                <w:color w:val="auto"/>
                <w:sz w:val="18"/>
                <w:szCs w:val="18"/>
              </w:rPr>
            </w:pPr>
            <w:r>
              <w:rPr>
                <w:rFonts w:ascii="宋体" w:hAnsi="宋体" w:cs="宋体"/>
                <w:bCs/>
                <w:color w:val="auto"/>
                <w:sz w:val="18"/>
                <w:szCs w:val="18"/>
              </w:rPr>
              <w:t>【</w:t>
            </w:r>
            <w:r>
              <w:rPr>
                <w:rFonts w:hint="eastAsia" w:ascii="宋体" w:hAnsi="宋体" w:cs="宋体"/>
                <w:bCs/>
                <w:color w:val="auto"/>
                <w:sz w:val="18"/>
                <w:szCs w:val="18"/>
                <w:lang w:eastAsia="zh-CN"/>
              </w:rPr>
              <w:t>9A254290</w:t>
            </w:r>
            <w:r>
              <w:rPr>
                <w:rFonts w:hint="eastAsia" w:ascii="宋体" w:hAnsi="宋体" w:cs="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9A25429</w:t>
            </w:r>
            <w:r>
              <w:rPr>
                <w:rFonts w:hint="eastAsia" w:ascii="宋体" w:hAnsi="宋体" w:cs="宋体"/>
                <w:bCs/>
                <w:color w:val="auto"/>
                <w:sz w:val="18"/>
                <w:szCs w:val="18"/>
                <w:highlight w:val="none"/>
              </w:rPr>
              <w:t>A】（适用【A】类份额）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9A25429</w:t>
            </w:r>
            <w:r>
              <w:rPr>
                <w:rFonts w:hint="eastAsia" w:ascii="宋体" w:hAnsi="宋体" w:cs="宋体"/>
                <w:bCs/>
                <w:color w:val="auto"/>
                <w:sz w:val="18"/>
                <w:szCs w:val="18"/>
                <w:highlight w:val="none"/>
                <w:lang w:val="en-US" w:eastAsia="zh-CN"/>
              </w:rPr>
              <w:t>B</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B</w:t>
            </w:r>
            <w:r>
              <w:rPr>
                <w:rFonts w:hint="eastAsia" w:ascii="宋体" w:hAnsi="宋体" w:cs="宋体"/>
                <w:bCs/>
                <w:color w:val="auto"/>
                <w:sz w:val="18"/>
                <w:szCs w:val="18"/>
                <w:highlight w:val="none"/>
              </w:rPr>
              <w:t>】类份额）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9A25429</w:t>
            </w:r>
            <w:r>
              <w:rPr>
                <w:rFonts w:hint="eastAsia" w:ascii="宋体" w:hAnsi="宋体" w:cs="宋体"/>
                <w:bCs/>
                <w:color w:val="auto"/>
                <w:sz w:val="18"/>
                <w:szCs w:val="18"/>
                <w:highlight w:val="none"/>
                <w:lang w:val="en-US" w:eastAsia="zh-CN"/>
              </w:rPr>
              <w:t>C</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C</w:t>
            </w:r>
            <w:r>
              <w:rPr>
                <w:rFonts w:hint="eastAsia" w:ascii="宋体" w:hAnsi="宋体" w:cs="宋体"/>
                <w:bCs/>
                <w:color w:val="auto"/>
                <w:sz w:val="18"/>
                <w:szCs w:val="18"/>
                <w:highlight w:val="none"/>
              </w:rPr>
              <w:t>】类份额）</w:t>
            </w:r>
          </w:p>
          <w:p>
            <w:pPr>
              <w:spacing w:line="360" w:lineRule="auto"/>
              <w:jc w:val="left"/>
              <w:rPr>
                <w:rFonts w:hint="eastAsia" w:ascii="Calibri" w:hAnsi="宋体" w:cs="宋体"/>
                <w:color w:val="auto"/>
                <w:sz w:val="18"/>
                <w:szCs w:val="18"/>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9A25429</w:t>
            </w:r>
            <w:r>
              <w:rPr>
                <w:rFonts w:hint="eastAsia" w:ascii="宋体" w:hAnsi="宋体" w:cs="宋体"/>
                <w:bCs/>
                <w:color w:val="auto"/>
                <w:sz w:val="18"/>
                <w:szCs w:val="18"/>
                <w:highlight w:val="none"/>
                <w:lang w:val="en-US" w:eastAsia="zh-CN"/>
              </w:rPr>
              <w:t>D</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D</w:t>
            </w:r>
            <w:r>
              <w:rPr>
                <w:rFonts w:hint="eastAsia" w:ascii="宋体" w:hAnsi="宋体" w:cs="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hint="eastAsia" w:ascii="Calibri" w:hAnsi="宋体" w:cs="宋体"/>
                <w:sz w:val="18"/>
                <w:szCs w:val="18"/>
              </w:rPr>
              <w:t>（适用【</w:t>
            </w:r>
            <w:r>
              <w:rPr>
                <w:rFonts w:hint="eastAsia" w:ascii="宋体" w:hAnsi="宋体" w:eastAsia="宋体" w:cs="宋体"/>
                <w:bCs/>
                <w:color w:val="000000"/>
                <w:sz w:val="18"/>
                <w:szCs w:val="18"/>
                <w:lang w:val="en-US" w:eastAsia="zh-CN"/>
              </w:rPr>
              <w:t>A/B/C/D】类</w:t>
            </w:r>
            <w:r>
              <w:rPr>
                <w:rFonts w:hint="eastAsia" w:ascii="Calibri" w:hAnsi="宋体" w:cs="宋体"/>
                <w:sz w:val="18"/>
                <w:szCs w:val="18"/>
              </w:rPr>
              <w:t>份额）</w:t>
            </w:r>
          </w:p>
          <w:p>
            <w:pPr>
              <w:spacing w:line="360" w:lineRule="auto"/>
              <w:rPr>
                <w:rFonts w:ascii="宋体" w:hAnsi="宋体" w:eastAsia="宋体" w:cs="宋体"/>
                <w:bCs/>
                <w:color w:val="000000"/>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个人投资者</w:t>
            </w:r>
          </w:p>
          <w:p>
            <w:pPr>
              <w:spacing w:line="360" w:lineRule="auto"/>
              <w:rPr>
                <w:rFonts w:ascii="宋体" w:hAnsi="宋体" w:eastAsia="宋体" w:cs="宋体"/>
                <w:bCs/>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cs="宋体"/>
                <w:sz w:val="18"/>
                <w:szCs w:val="18"/>
              </w:rPr>
              <w:t>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color w:val="auto"/>
                <w:sz w:val="18"/>
                <w:szCs w:val="18"/>
                <w:lang w:val="en-US" w:eastAsia="zh-CN"/>
              </w:rPr>
              <w:t>5</w:t>
            </w:r>
            <w:r>
              <w:rPr>
                <w:rFonts w:hint="eastAsia" w:ascii="宋体" w:hAnsi="宋体" w:eastAsia="宋体" w:cs="宋体"/>
                <w:bCs/>
                <w:color w:val="auto"/>
                <w:sz w:val="18"/>
                <w:szCs w:val="18"/>
              </w:rPr>
              <w:t>】</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■有固定期限：【</w:t>
            </w:r>
            <w:r>
              <w:rPr>
                <w:rFonts w:hint="eastAsia" w:ascii="宋体" w:hAnsi="宋体" w:cs="Times New Roman"/>
                <w:color w:val="auto"/>
                <w:sz w:val="18"/>
                <w:szCs w:val="18"/>
                <w:lang w:val="en-US" w:eastAsia="zh-CN"/>
              </w:rPr>
              <w:t>432</w:t>
            </w:r>
            <w:r>
              <w:rPr>
                <w:rFonts w:hint="eastAsia" w:ascii="宋体" w:hAnsi="宋体" w:cs="Times New Roman"/>
                <w:sz w:val="18"/>
                <w:szCs w:val="18"/>
                <w:lang w:val="en-US" w:eastAsia="zh-CN"/>
              </w:rPr>
              <w:t>日】</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□无固定期限</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1.本产品认购期/募集期为：【2025】年【10】月</w:t>
            </w:r>
            <w:r>
              <w:rPr>
                <w:rFonts w:hint="eastAsia" w:ascii="宋体" w:hAnsi="宋体" w:cs="Times New Roman"/>
                <w:color w:val="auto"/>
                <w:sz w:val="18"/>
                <w:szCs w:val="18"/>
                <w:lang w:val="en-US" w:eastAsia="zh-CN"/>
              </w:rPr>
              <w:t>【23</w:t>
            </w:r>
            <w:r>
              <w:rPr>
                <w:rFonts w:hint="eastAsia" w:ascii="宋体" w:hAnsi="宋体" w:cs="Times New Roman"/>
                <w:sz w:val="18"/>
                <w:szCs w:val="18"/>
                <w:lang w:val="en-US" w:eastAsia="zh-CN"/>
              </w:rPr>
              <w:t>】日【9:00】至【2025】年【10】月【30】日【17:00】。</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2.投资者在认购期/募集期内认购本理财产品后，理财资金将在成立日开始进行投资。</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3.认购期/募集期内资金产生的利息不计入认购资金。</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注：关于代理销售机构的实际工作服务时段的提示</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1.本产品的计划成立日为：【2025】年【10】月【31</w:t>
            </w:r>
            <w:r>
              <w:rPr>
                <w:rFonts w:hint="eastAsia" w:ascii="宋体" w:hAnsi="宋体" w:cs="Times New Roman"/>
                <w:color w:val="auto"/>
                <w:sz w:val="18"/>
                <w:szCs w:val="18"/>
                <w:lang w:val="en-US" w:eastAsia="zh-CN"/>
              </w:rPr>
              <w:t>】</w:t>
            </w:r>
            <w:r>
              <w:rPr>
                <w:rFonts w:hint="eastAsia" w:ascii="宋体" w:hAnsi="宋体" w:cs="Times New Roman"/>
                <w:sz w:val="18"/>
                <w:szCs w:val="18"/>
                <w:lang w:val="en-US" w:eastAsia="zh-CN"/>
              </w:rPr>
              <w:t>日（遇节假日顺延）。</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2.产品管理人有权根据实际募集情况提前或延后产品成立日期，并相应调整其他产品要素，将依约定进行公告。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1.本产品的计划终止日为：【2027】年【01】月【06】日（遇节假日顺延）。</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每笔购买起点金额为【1.00】元；超出起点金额的部分以【0.01】元的整数倍递增。（适用【</w:t>
            </w:r>
            <w:r>
              <w:rPr>
                <w:rFonts w:hint="eastAsia" w:ascii="宋体" w:hAnsi="宋体" w:eastAsia="宋体" w:cs="宋体"/>
                <w:bCs/>
                <w:color w:val="000000"/>
                <w:sz w:val="18"/>
                <w:szCs w:val="18"/>
                <w:lang w:val="en-US" w:eastAsia="zh-CN"/>
              </w:rPr>
              <w:t>A/B/C/D</w:t>
            </w:r>
            <w:r>
              <w:rPr>
                <w:rFonts w:hint="eastAsia" w:ascii="宋体" w:hAnsi="宋体" w:cs="Times New Roman"/>
                <w:sz w:val="18"/>
                <w:szCs w:val="18"/>
                <w:lang w:val="en-US" w:eastAsia="zh-CN"/>
              </w:rPr>
              <w:t>】类份额）</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注：关于代理销售机构的实际销售起点金额的提示</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①本产品在代理销售机构的实际销售起点金额，因代理销售机构的不同可能存在差异（可能高于销售文件约定的销售起点金额），应当以代理销售机构展示为准。</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②代理销售机构的实际销售起点金额，不得低于销售文件约定的销售起点金额。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（适用【A/B/C/D】类</w:t>
            </w:r>
            <w:r>
              <w:rPr>
                <w:rFonts w:ascii="宋体" w:hAnsi="宋体" w:eastAsia="宋体" w:cs="宋体"/>
                <w:bCs/>
                <w:color w:val="000000"/>
                <w:sz w:val="18"/>
                <w:szCs w:val="18"/>
                <w:lang w:val="en-US" w:eastAsia="zh-CN" w:bidi="ar-SA"/>
              </w:rPr>
              <w:t>份额</w:t>
            </w:r>
            <w:r>
              <w:rPr>
                <w:rFonts w:hint="eastAsia" w:ascii="宋体" w:hAnsi="宋体" w:eastAsia="宋体" w:cs="宋体"/>
                <w:bCs/>
                <w:color w:val="000000"/>
                <w:sz w:val="18"/>
                <w:szCs w:val="18"/>
                <w:lang w:val="en-US" w:eastAsia="zh-CN" w:bidi="ar-SA"/>
              </w:rPr>
              <w:t>）</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认购的数量限制</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（1）单一投资者认购上限为【/】。</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【/】，符合产品管理人流动性管理的稳定资金除外。</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ascii="黑体" w:hAnsi="黑体" w:eastAsia="黑体" w:cs="宋体"/>
                <w:color w:val="000000"/>
                <w:sz w:val="18"/>
                <w:szCs w:val="18"/>
                <w:lang w:val="en-US" w:eastAsia="zh-CN" w:bidi="ar-SA"/>
              </w:rPr>
              <w:t>50%。</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spacing w:line="360" w:lineRule="auto"/>
              <w:rPr>
                <w:rFonts w:ascii="宋体" w:hAnsi="宋体" w:eastAsia="宋体" w:cs="宋体"/>
                <w:sz w:val="18"/>
                <w:szCs w:val="18"/>
              </w:rPr>
            </w:pPr>
            <w:r>
              <w:rPr>
                <w:rFonts w:hint="eastAsia" w:ascii="黑体" w:hAnsi="黑体" w:eastAsia="黑体" w:cs="宋体"/>
                <w:color w:val="000000"/>
                <w:sz w:val="18"/>
                <w:szCs w:val="18"/>
              </w:rPr>
              <w:t>（</w:t>
            </w:r>
            <w:r>
              <w:rPr>
                <w:rFonts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cs="Times New Roman"/>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ascii="Calibri" w:hAnsi="宋体" w:cs="宋体"/>
                <w:sz w:val="18"/>
                <w:szCs w:val="18"/>
              </w:rPr>
            </w:pPr>
            <w:r>
              <w:rPr>
                <w:rFonts w:ascii="Calibri" w:hAnsi="宋体" w:cs="宋体"/>
                <w:sz w:val="18"/>
                <w:szCs w:val="18"/>
              </w:rPr>
              <w:t>1.业绩比较基准的设置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产品管理人设置业绩比较基准。</w:t>
            </w:r>
          </w:p>
          <w:p>
            <w:pPr>
              <w:autoSpaceDE w:val="0"/>
              <w:autoSpaceDN w:val="0"/>
              <w:adjustRightInd w:val="0"/>
              <w:spacing w:line="360" w:lineRule="auto"/>
              <w:jc w:val="left"/>
              <w:rPr>
                <w:rFonts w:ascii="宋体" w:hAnsi="宋体" w:eastAsia="宋体" w:cs="宋体"/>
                <w:bCs/>
                <w:sz w:val="18"/>
                <w:szCs w:val="18"/>
              </w:rPr>
            </w:pPr>
            <w:r>
              <w:rPr>
                <w:rFonts w:hint="eastAsia" w:ascii="宋体" w:hAnsi="宋体" w:cs="宋体"/>
                <w:bCs/>
                <w:sz w:val="18"/>
                <w:szCs w:val="18"/>
              </w:rPr>
              <w:t>（</w:t>
            </w:r>
            <w:r>
              <w:rPr>
                <w:rFonts w:ascii="宋体" w:hAnsi="宋体" w:cs="宋体"/>
                <w:bCs/>
                <w:sz w:val="18"/>
                <w:szCs w:val="18"/>
              </w:rPr>
              <w:t>1）业绩比较基准的说明：</w:t>
            </w:r>
            <w:r>
              <w:rPr>
                <w:rFonts w:hint="eastAsia" w:ascii="宋体" w:hAnsi="宋体" w:cs="宋体"/>
                <w:bCs/>
                <w:sz w:val="18"/>
                <w:szCs w:val="18"/>
              </w:rPr>
              <w:t>【产品投资债权类资产不低于80%，根据当前市场环境下大类资产合理配置比例及大类资产收益情况，考虑杠杆和费率等因素，并结合产品投资策略，设定业绩比较基准。</w:t>
            </w:r>
            <w:r>
              <w:rPr>
                <w:rFonts w:ascii="宋体" w:hAnsi="宋体" w:cs="宋体"/>
                <w:bCs/>
                <w:sz w:val="18"/>
                <w:szCs w:val="18"/>
              </w:rPr>
              <w:t>】</w:t>
            </w:r>
          </w:p>
          <w:p>
            <w:pPr>
              <w:spacing w:line="360" w:lineRule="auto"/>
              <w:jc w:val="left"/>
              <w:rPr>
                <w:rFonts w:hint="eastAsia" w:ascii="宋体" w:hAnsi="宋体" w:cs="宋体"/>
                <w:sz w:val="18"/>
                <w:szCs w:val="22"/>
              </w:rPr>
            </w:pPr>
            <w:r>
              <w:rPr>
                <w:rFonts w:hint="eastAsia" w:ascii="宋体" w:hAnsi="宋体" w:eastAsia="宋体" w:cs="宋体"/>
                <w:bCs/>
                <w:sz w:val="18"/>
                <w:szCs w:val="18"/>
              </w:rPr>
              <w:t>（</w:t>
            </w:r>
            <w:r>
              <w:rPr>
                <w:rFonts w:ascii="宋体" w:hAnsi="宋体" w:eastAsia="宋体" w:cs="宋体"/>
                <w:bCs/>
                <w:sz w:val="18"/>
                <w:szCs w:val="18"/>
              </w:rPr>
              <w:t>2）业绩比较基准的设定：</w:t>
            </w:r>
            <w:r>
              <w:rPr>
                <w:rFonts w:hint="eastAsia" w:ascii="宋体" w:hAnsi="宋体" w:cs="宋体"/>
                <w:sz w:val="18"/>
                <w:szCs w:val="22"/>
              </w:rPr>
              <w:t>管理人对</w:t>
            </w:r>
            <w:r>
              <w:rPr>
                <w:rFonts w:ascii="宋体" w:hAnsi="宋体" w:cs="宋体"/>
                <w:sz w:val="18"/>
                <w:szCs w:val="22"/>
              </w:rPr>
              <w:t>本产品设定</w:t>
            </w:r>
            <w:r>
              <w:rPr>
                <w:rFonts w:hint="eastAsia" w:ascii="宋体" w:hAnsi="宋体" w:cs="宋体"/>
                <w:sz w:val="18"/>
                <w:szCs w:val="22"/>
              </w:rPr>
              <w:t>业绩比较基准：</w:t>
            </w:r>
          </w:p>
          <w:p>
            <w:pPr>
              <w:autoSpaceDE w:val="0"/>
              <w:autoSpaceDN w:val="0"/>
              <w:adjustRightInd w:val="0"/>
              <w:spacing w:line="360" w:lineRule="auto"/>
              <w:jc w:val="left"/>
              <w:rPr>
                <w:rFonts w:hint="eastAsia" w:ascii="Calibri" w:hAnsi="宋体" w:cs="宋体"/>
                <w:color w:val="auto"/>
                <w:sz w:val="18"/>
                <w:szCs w:val="18"/>
              </w:rPr>
            </w:pPr>
            <w:r>
              <w:rPr>
                <w:rFonts w:hint="eastAsia" w:ascii="宋体" w:hAnsi="宋体" w:cs="宋体"/>
                <w:color w:val="auto"/>
                <w:sz w:val="18"/>
                <w:szCs w:val="22"/>
                <w:lang w:val="en-US" w:eastAsia="zh-CN"/>
              </w:rPr>
              <w:t>年化</w:t>
            </w:r>
            <w:r>
              <w:rPr>
                <w:rFonts w:hint="eastAsia" w:ascii="宋体" w:hAnsi="宋体" w:cs="宋体"/>
                <w:bCs/>
                <w:color w:val="auto"/>
                <w:sz w:val="18"/>
                <w:szCs w:val="18"/>
              </w:rPr>
              <w:t>【</w:t>
            </w:r>
            <w:r>
              <w:rPr>
                <w:rFonts w:hint="eastAsia" w:ascii="宋体" w:hAnsi="宋体" w:cs="宋体"/>
                <w:bCs/>
                <w:color w:val="auto"/>
                <w:sz w:val="18"/>
                <w:szCs w:val="18"/>
                <w:lang w:val="en-US" w:eastAsia="zh-CN"/>
              </w:rPr>
              <w:t>2.25%</w:t>
            </w:r>
            <w:r>
              <w:rPr>
                <w:rFonts w:ascii="宋体" w:hAnsi="宋体" w:cs="宋体"/>
                <w:bCs/>
                <w:color w:val="auto"/>
                <w:sz w:val="18"/>
                <w:szCs w:val="18"/>
              </w:rPr>
              <w:t>】</w:t>
            </w:r>
            <w:r>
              <w:rPr>
                <w:rFonts w:hint="eastAsia" w:ascii="Calibri" w:hAnsi="宋体" w:cs="宋体"/>
                <w:color w:val="auto"/>
                <w:sz w:val="18"/>
                <w:szCs w:val="18"/>
              </w:rPr>
              <w:t>（适用【</w:t>
            </w:r>
            <w:r>
              <w:rPr>
                <w:rFonts w:hint="eastAsia" w:ascii="Calibri" w:hAnsi="宋体" w:cs="宋体"/>
                <w:color w:val="auto"/>
                <w:sz w:val="18"/>
                <w:szCs w:val="18"/>
                <w:lang w:val="en-US" w:eastAsia="zh-CN"/>
              </w:rPr>
              <w:t>A】</w:t>
            </w:r>
            <w:r>
              <w:rPr>
                <w:rFonts w:hint="eastAsia" w:ascii="Calibri" w:hAnsi="宋体" w:cs="宋体"/>
                <w:color w:val="auto"/>
                <w:sz w:val="18"/>
                <w:szCs w:val="18"/>
              </w:rPr>
              <w:t>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w:t>
            </w:r>
            <w:r>
              <w:rPr>
                <w:rFonts w:hint="eastAsia" w:ascii="宋体" w:hAnsi="宋体" w:cs="宋体"/>
                <w:bCs/>
                <w:color w:val="auto"/>
                <w:sz w:val="18"/>
                <w:szCs w:val="18"/>
              </w:rPr>
              <w:t>【</w:t>
            </w:r>
            <w:r>
              <w:rPr>
                <w:rFonts w:hint="eastAsia" w:ascii="宋体" w:hAnsi="宋体" w:cs="宋体"/>
                <w:bCs/>
                <w:color w:val="auto"/>
                <w:sz w:val="18"/>
                <w:szCs w:val="18"/>
                <w:lang w:val="en-US" w:eastAsia="zh-CN"/>
              </w:rPr>
              <w:t>2.21%</w:t>
            </w:r>
            <w:r>
              <w:rPr>
                <w:rFonts w:ascii="宋体" w:hAnsi="宋体" w:cs="宋体"/>
                <w:bCs/>
                <w:color w:val="auto"/>
                <w:sz w:val="18"/>
                <w:szCs w:val="18"/>
              </w:rPr>
              <w:t>】</w:t>
            </w:r>
            <w:r>
              <w:rPr>
                <w:rFonts w:hint="eastAsia" w:ascii="宋体" w:hAnsi="宋体" w:cs="宋体"/>
                <w:color w:val="auto"/>
                <w:sz w:val="18"/>
                <w:szCs w:val="22"/>
                <w:lang w:val="en-US" w:eastAsia="zh-CN"/>
              </w:rPr>
              <w:t>（适用【B】类份额）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年化【2.16%】（适用【C】类份额）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年化【2.11%】（适用【D】类份额）</w:t>
            </w:r>
          </w:p>
          <w:p>
            <w:pPr>
              <w:autoSpaceDE w:val="0"/>
              <w:autoSpaceDN w:val="0"/>
              <w:adjustRightInd w:val="0"/>
              <w:spacing w:line="360" w:lineRule="auto"/>
              <w:jc w:val="left"/>
              <w:rPr>
                <w:rFonts w:hint="eastAsia" w:ascii="宋体" w:hAnsi="宋体" w:cs="宋体"/>
                <w:color w:val="auto"/>
                <w:sz w:val="18"/>
                <w:szCs w:val="22"/>
                <w:lang w:val="en-US" w:eastAsia="zh-CN"/>
              </w:rPr>
            </w:pP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产品管理人不设置业绩比较基准。</w:t>
            </w:r>
          </w:p>
          <w:p>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pPr>
              <w:spacing w:line="360" w:lineRule="auto"/>
              <w:jc w:val="left"/>
              <w:rPr>
                <w:rFonts w:ascii="宋体" w:hAnsi="宋体" w:cs="宋体"/>
                <w:b/>
                <w:sz w:val="18"/>
                <w:szCs w:val="22"/>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eastAsia="宋体" w:cs="宋体"/>
                <w:b/>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ascii="Calibri" w:hAnsi="宋体" w:cs="宋体"/>
                <w:bCs/>
                <w:sz w:val="18"/>
                <w:szCs w:val="18"/>
              </w:rPr>
            </w:pPr>
            <w:r>
              <w:rPr>
                <w:rFonts w:ascii="Calibri" w:hAnsi="宋体" w:cs="宋体"/>
                <w:bCs/>
                <w:sz w:val="18"/>
                <w:szCs w:val="18"/>
              </w:rPr>
              <w:t>1.业绩报酬计提基准的设置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eastAsia="宋体" w:cs="宋体"/>
                <w:kern w:val="0"/>
                <w:sz w:val="18"/>
                <w:szCs w:val="18"/>
              </w:rPr>
              <w:t>产品管理人设置业绩报酬计提基准。</w:t>
            </w:r>
          </w:p>
          <w:p>
            <w:pPr>
              <w:spacing w:line="360" w:lineRule="auto"/>
              <w:jc w:val="left"/>
              <w:rPr>
                <w:rFonts w:hint="eastAsia" w:ascii="宋体" w:hAnsi="宋体" w:cs="宋体"/>
                <w:bCs/>
                <w:sz w:val="18"/>
                <w:szCs w:val="18"/>
              </w:rPr>
            </w:pPr>
            <w:r>
              <w:rPr>
                <w:rFonts w:ascii="宋体" w:hAnsi="宋体" w:cs="宋体"/>
                <w:bCs/>
                <w:sz w:val="18"/>
                <w:szCs w:val="18"/>
              </w:rPr>
              <w:t>业绩报酬计提基准的设定</w:t>
            </w:r>
            <w:r>
              <w:rPr>
                <w:rFonts w:hint="eastAsia" w:ascii="宋体" w:hAnsi="宋体" w:cs="宋体"/>
                <w:bCs/>
                <w:sz w:val="18"/>
                <w:szCs w:val="18"/>
              </w:rPr>
              <w:t>：管理人</w:t>
            </w:r>
            <w:r>
              <w:rPr>
                <w:rFonts w:ascii="宋体" w:hAnsi="宋体" w:cs="宋体"/>
                <w:bCs/>
                <w:sz w:val="18"/>
                <w:szCs w:val="18"/>
              </w:rPr>
              <w:t>对本产品设定</w:t>
            </w:r>
            <w:r>
              <w:rPr>
                <w:rFonts w:hint="eastAsia" w:ascii="宋体" w:hAnsi="宋体" w:cs="宋体"/>
                <w:bCs/>
                <w:sz w:val="18"/>
                <w:szCs w:val="18"/>
              </w:rPr>
              <w:t>业绩报酬计提基准：</w:t>
            </w:r>
          </w:p>
          <w:p>
            <w:pPr>
              <w:autoSpaceDE w:val="0"/>
              <w:autoSpaceDN w:val="0"/>
              <w:adjustRightInd w:val="0"/>
              <w:spacing w:line="360" w:lineRule="auto"/>
              <w:jc w:val="left"/>
              <w:rPr>
                <w:rFonts w:hint="eastAsia" w:ascii="Calibri" w:hAnsi="宋体" w:cs="宋体"/>
                <w:color w:val="auto"/>
                <w:sz w:val="18"/>
                <w:szCs w:val="18"/>
              </w:rPr>
            </w:pPr>
            <w:r>
              <w:rPr>
                <w:rFonts w:hint="eastAsia" w:ascii="宋体" w:hAnsi="宋体" w:cs="宋体"/>
                <w:color w:val="auto"/>
                <w:sz w:val="18"/>
                <w:szCs w:val="22"/>
                <w:lang w:val="en-US" w:eastAsia="zh-CN"/>
              </w:rPr>
              <w:t>年化</w:t>
            </w:r>
            <w:r>
              <w:rPr>
                <w:rFonts w:hint="eastAsia" w:ascii="宋体" w:hAnsi="宋体" w:cs="宋体"/>
                <w:bCs/>
                <w:color w:val="auto"/>
                <w:sz w:val="18"/>
                <w:szCs w:val="18"/>
              </w:rPr>
              <w:t>【</w:t>
            </w:r>
            <w:r>
              <w:rPr>
                <w:rFonts w:hint="eastAsia" w:ascii="宋体" w:hAnsi="宋体" w:cs="宋体"/>
                <w:bCs/>
                <w:color w:val="auto"/>
                <w:sz w:val="18"/>
                <w:szCs w:val="18"/>
                <w:lang w:val="en-US" w:eastAsia="zh-CN"/>
              </w:rPr>
              <w:t>2.25%</w:t>
            </w:r>
            <w:r>
              <w:rPr>
                <w:rFonts w:ascii="宋体" w:hAnsi="宋体" w:cs="宋体"/>
                <w:bCs/>
                <w:color w:val="auto"/>
                <w:sz w:val="18"/>
                <w:szCs w:val="18"/>
              </w:rPr>
              <w:t>】</w:t>
            </w:r>
            <w:r>
              <w:rPr>
                <w:rFonts w:hint="eastAsia" w:ascii="Calibri" w:hAnsi="宋体" w:cs="宋体"/>
                <w:color w:val="auto"/>
                <w:sz w:val="18"/>
                <w:szCs w:val="18"/>
              </w:rPr>
              <w:t>（适用【</w:t>
            </w:r>
            <w:r>
              <w:rPr>
                <w:rFonts w:hint="eastAsia" w:ascii="Calibri" w:hAnsi="宋体" w:cs="宋体"/>
                <w:color w:val="auto"/>
                <w:sz w:val="18"/>
                <w:szCs w:val="18"/>
                <w:lang w:val="en-US" w:eastAsia="zh-CN"/>
              </w:rPr>
              <w:t>A】</w:t>
            </w:r>
            <w:r>
              <w:rPr>
                <w:rFonts w:hint="eastAsia" w:ascii="Calibri" w:hAnsi="宋体" w:cs="宋体"/>
                <w:color w:val="auto"/>
                <w:sz w:val="18"/>
                <w:szCs w:val="18"/>
              </w:rPr>
              <w:t>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w:t>
            </w:r>
            <w:r>
              <w:rPr>
                <w:rFonts w:hint="eastAsia" w:ascii="宋体" w:hAnsi="宋体" w:cs="宋体"/>
                <w:bCs/>
                <w:color w:val="auto"/>
                <w:sz w:val="18"/>
                <w:szCs w:val="18"/>
              </w:rPr>
              <w:t>【</w:t>
            </w:r>
            <w:r>
              <w:rPr>
                <w:rFonts w:hint="eastAsia" w:ascii="宋体" w:hAnsi="宋体" w:cs="宋体"/>
                <w:bCs/>
                <w:color w:val="auto"/>
                <w:sz w:val="18"/>
                <w:szCs w:val="18"/>
                <w:lang w:val="en-US" w:eastAsia="zh-CN"/>
              </w:rPr>
              <w:t>2.21%</w:t>
            </w:r>
            <w:r>
              <w:rPr>
                <w:rFonts w:ascii="宋体" w:hAnsi="宋体" w:cs="宋体"/>
                <w:bCs/>
                <w:color w:val="auto"/>
                <w:sz w:val="18"/>
                <w:szCs w:val="18"/>
              </w:rPr>
              <w:t>】</w:t>
            </w:r>
            <w:r>
              <w:rPr>
                <w:rFonts w:hint="eastAsia" w:ascii="宋体" w:hAnsi="宋体" w:cs="宋体"/>
                <w:color w:val="auto"/>
                <w:sz w:val="18"/>
                <w:szCs w:val="22"/>
                <w:lang w:val="en-US" w:eastAsia="zh-CN"/>
              </w:rPr>
              <w:t>（适用【B】类份额）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年化【2.16%】（适用【C】类份额）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年化【2.11%】（适用【D】类份额）</w:t>
            </w:r>
          </w:p>
          <w:p>
            <w:pPr>
              <w:autoSpaceDE w:val="0"/>
              <w:autoSpaceDN w:val="0"/>
              <w:adjustRightInd w:val="0"/>
              <w:spacing w:line="360" w:lineRule="auto"/>
              <w:jc w:val="left"/>
              <w:rPr>
                <w:rFonts w:hint="eastAsia" w:ascii="Calibri" w:hAnsi="宋体" w:cs="宋体"/>
                <w:sz w:val="18"/>
                <w:szCs w:val="18"/>
              </w:rPr>
            </w:pPr>
          </w:p>
          <w:p>
            <w:pPr>
              <w:spacing w:line="360" w:lineRule="auto"/>
              <w:jc w:val="left"/>
              <w:rPr>
                <w:rFonts w:ascii="宋体" w:hAnsi="宋体" w:cs="宋体"/>
                <w:bCs/>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产品管理人不设置业绩报酬计提基准。</w:t>
            </w:r>
          </w:p>
          <w:p>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1.理财产品的费率标准</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1）认购费：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pPr>
              <w:spacing w:line="360" w:lineRule="auto"/>
              <w:rPr>
                <w:rFonts w:hint="eastAsia"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2）销售服</w:t>
            </w:r>
            <w:r>
              <w:rPr>
                <w:rFonts w:hint="eastAsia" w:ascii="黑体" w:hAnsi="黑体" w:eastAsia="黑体" w:cs="宋体"/>
                <w:bCs/>
                <w:color w:val="000000"/>
                <w:sz w:val="18"/>
                <w:szCs w:val="18"/>
              </w:rPr>
              <w:t>务费：</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0.06</w:t>
            </w:r>
            <w:r>
              <w:rPr>
                <w:rFonts w:hint="eastAsia" w:ascii="宋体" w:hAnsi="宋体" w:eastAsia="宋体" w:cs="宋体"/>
                <w:bCs/>
                <w:color w:val="auto"/>
                <w:sz w:val="18"/>
                <w:szCs w:val="18"/>
                <w:lang w:val="en-US" w:eastAsia="zh-CN"/>
              </w:rPr>
              <w:t>%</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A</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0.10</w:t>
            </w:r>
            <w:r>
              <w:rPr>
                <w:rFonts w:hint="eastAsia" w:ascii="宋体" w:hAnsi="宋体" w:eastAsia="宋体" w:cs="宋体"/>
                <w:bCs/>
                <w:color w:val="auto"/>
                <w:sz w:val="18"/>
                <w:szCs w:val="18"/>
                <w:lang w:val="en-US" w:eastAsia="zh-CN"/>
              </w:rPr>
              <w:t>%</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B</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0.15</w:t>
            </w:r>
            <w:r>
              <w:rPr>
                <w:rFonts w:hint="eastAsia" w:ascii="宋体" w:hAnsi="宋体" w:eastAsia="宋体" w:cs="宋体"/>
                <w:bCs/>
                <w:color w:val="auto"/>
                <w:sz w:val="18"/>
                <w:szCs w:val="18"/>
                <w:lang w:val="en-US" w:eastAsia="zh-CN"/>
              </w:rPr>
              <w:t>%</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C</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0.20</w:t>
            </w:r>
            <w:r>
              <w:rPr>
                <w:rFonts w:hint="eastAsia" w:ascii="宋体" w:hAnsi="宋体" w:eastAsia="宋体" w:cs="宋体"/>
                <w:bCs/>
                <w:color w:val="auto"/>
                <w:sz w:val="18"/>
                <w:szCs w:val="18"/>
                <w:lang w:val="en-US" w:eastAsia="zh-CN"/>
              </w:rPr>
              <w:t>%</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D</w:t>
            </w:r>
            <w:r>
              <w:rPr>
                <w:rFonts w:hint="eastAsia" w:ascii="宋体" w:hAnsi="宋体" w:eastAsia="宋体" w:cs="宋体"/>
                <w:bCs/>
                <w:color w:val="auto"/>
                <w:sz w:val="18"/>
                <w:szCs w:val="18"/>
              </w:rPr>
              <w:t>】类份额）</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3）投资管理费：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sz w:val="18"/>
                <w:szCs w:val="18"/>
                <w:lang w:val="en-US" w:eastAsia="zh-CN"/>
              </w:rPr>
              <w:t>0.01%</w:t>
            </w:r>
            <w:r>
              <w:rPr>
                <w:rFonts w:ascii="黑体" w:hAnsi="黑体" w:eastAsia="黑体" w:cs="宋体"/>
                <w:sz w:val="18"/>
                <w:szCs w:val="18"/>
              </w:rPr>
              <w:t>】</w:t>
            </w:r>
            <w:r>
              <w:rPr>
                <w:rFonts w:hint="eastAsia" w:ascii="黑体" w:hAnsi="黑体" w:eastAsia="黑体" w:cs="宋体"/>
                <w:bCs/>
                <w:color w:val="000000"/>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sz w:val="18"/>
                <w:szCs w:val="18"/>
                <w:lang w:val="en-US" w:eastAsia="zh-CN"/>
              </w:rPr>
              <w:t>0.01%</w:t>
            </w:r>
            <w:r>
              <w:rPr>
                <w:rFonts w:ascii="黑体" w:hAnsi="黑体" w:eastAsia="黑体" w:cs="宋体"/>
                <w:sz w:val="18"/>
                <w:szCs w:val="18"/>
              </w:rPr>
              <w:t>】</w:t>
            </w:r>
            <w:r>
              <w:rPr>
                <w:rFonts w:hint="eastAsia" w:ascii="黑体" w:hAnsi="黑体" w:eastAsia="黑体" w:cs="宋体"/>
                <w:bCs/>
                <w:color w:val="000000"/>
                <w:sz w:val="18"/>
                <w:szCs w:val="18"/>
              </w:rPr>
              <w:t>。</w:t>
            </w:r>
          </w:p>
          <w:p>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5）超额业绩报酬：</w:t>
            </w:r>
          </w:p>
          <w:p>
            <w:pPr>
              <w:widowControl/>
              <w:spacing w:line="360" w:lineRule="auto"/>
              <w:jc w:val="left"/>
              <w:rPr>
                <w:rFonts w:ascii="宋体" w:hAnsi="宋体" w:cs="宋体"/>
                <w:sz w:val="18"/>
                <w:szCs w:val="18"/>
              </w:rPr>
            </w:pPr>
            <w:r>
              <w:rPr>
                <w:rFonts w:hint="eastAsia" w:ascii="宋体" w:hAnsi="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w:t>
            </w:r>
            <w:r>
              <w:rPr>
                <w:rFonts w:hint="eastAsia" w:ascii="宋体" w:hAnsi="宋体" w:cs="宋体"/>
                <w:sz w:val="18"/>
                <w:szCs w:val="18"/>
                <w:lang w:val="en-US" w:eastAsia="zh-CN"/>
              </w:rPr>
              <w:t>50%</w:t>
            </w:r>
            <w:r>
              <w:rPr>
                <w:rFonts w:hint="eastAsia" w:ascii="宋体" w:hAnsi="宋体" w:cs="宋体"/>
                <w:sz w:val="18"/>
                <w:szCs w:val="18"/>
              </w:rPr>
              <w:t>】作为超额业绩报酬。</w:t>
            </w:r>
          </w:p>
          <w:p>
            <w:pPr>
              <w:spacing w:line="360" w:lineRule="auto"/>
              <w:rPr>
                <w:rFonts w:ascii="黑体" w:hAnsi="黑体" w:eastAsia="黑体" w:cs="宋体"/>
                <w:bCs/>
                <w:sz w:val="18"/>
                <w:szCs w:val="18"/>
              </w:rPr>
            </w:pPr>
            <w:r>
              <w:rPr>
                <w:rFonts w:ascii="宋体" w:hAnsi="宋体" w:cs="宋体"/>
                <w:bCs/>
                <w:sz w:val="18"/>
                <w:szCs w:val="18"/>
              </w:rPr>
              <w:t>2</w:t>
            </w:r>
            <w:r>
              <w:rPr>
                <w:rFonts w:hint="eastAsia" w:ascii="宋体" w:hAnsi="宋体" w:eastAsia="宋体" w:cs="宋体"/>
                <w:bCs/>
                <w:sz w:val="18"/>
                <w:szCs w:val="18"/>
              </w:rPr>
              <w:t>.</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3266"/>
      <w:bookmarkStart w:id="78" w:name="_Toc7151"/>
      <w:bookmarkStart w:id="79" w:name="_Toc22074"/>
      <w:bookmarkStart w:id="80" w:name="_Toc74065741"/>
      <w:bookmarkStart w:id="81" w:name="_Toc6714"/>
      <w:bookmarkStart w:id="82" w:name="_Toc15203"/>
      <w:bookmarkStart w:id="83" w:name="_Toc27189"/>
      <w:bookmarkStart w:id="84" w:name="_Toc90742321"/>
      <w:bookmarkStart w:id="85" w:name="_Toc29784"/>
      <w:bookmarkStart w:id="86" w:name="_Toc90742390"/>
      <w:bookmarkStart w:id="87" w:name="_Toc16265"/>
      <w:bookmarkStart w:id="88" w:name="_Toc90742688"/>
      <w:bookmarkStart w:id="89" w:name="_Toc79154668"/>
      <w:bookmarkStart w:id="90" w:name="_Toc29948"/>
      <w:bookmarkStart w:id="91" w:name="_Toc2722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（1）银行存款、债券逆回购、货币基金等货币市场工具及其它银行间和交易所资金融通工具；</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（3）符合监管要求的债权类资产。</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000000"/>
          <w:sz w:val="18"/>
          <w:szCs w:val="18"/>
          <w:lang w:val="en-US" w:eastAsia="zh-CN" w:bidi="ar-SA"/>
        </w:rPr>
        <w:t>（4）</w:t>
      </w:r>
      <w:r>
        <w:rPr>
          <w:rFonts w:hint="eastAsia" w:ascii="宋体" w:hAnsi="宋体" w:eastAsia="宋体" w:cs="宋体"/>
          <w:bCs/>
          <w:color w:val="auto"/>
          <w:sz w:val="18"/>
          <w:szCs w:val="18"/>
          <w:lang w:val="en-US" w:eastAsia="zh-CN" w:bidi="ar-SA"/>
        </w:rPr>
        <w:t>投资于上述资产的资产管理产品，包括资金信托，证券公司、证券公司子公司、基金管理公</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司、基金管理子公司、期货公司、期货公司子公司、保险资产管理机构、金融资产投资公司发行的</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w:t>
      </w:r>
      <w:r>
        <w:rPr>
          <w:rFonts w:hint="eastAsia" w:ascii="宋体" w:hAnsi="宋体" w:eastAsia="宋体" w:cs="宋体"/>
          <w:bCs/>
          <w:sz w:val="18"/>
          <w:szCs w:val="18"/>
        </w:rPr>
        <w:t>符合监管要求的非标准化债权类资产占产品净资产比例不高于50%</w:t>
      </w:r>
      <w:r>
        <w:rPr>
          <w:rFonts w:hint="eastAsia" w:ascii="宋体" w:hAnsi="宋体" w:eastAsia="宋体" w:cs="宋体"/>
          <w:bCs/>
          <w:kern w:val="0"/>
          <w:sz w:val="18"/>
          <w:szCs w:val="18"/>
        </w:rPr>
        <w:t>。</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eastAsia="zh-CN"/>
        </w:rPr>
      </w:pPr>
      <w:r>
        <w:rPr>
          <w:rFonts w:hint="eastAsia" w:ascii="宋体" w:hAnsi="宋体" w:eastAsia="宋体" w:cs="宋体"/>
          <w:bCs/>
          <w:sz w:val="18"/>
          <w:szCs w:val="18"/>
          <w:lang w:eastAsia="zh-CN"/>
        </w:rPr>
        <w:t>（</w:t>
      </w:r>
      <w:r>
        <w:rPr>
          <w:rFonts w:hint="eastAsia" w:ascii="宋体" w:hAnsi="宋体" w:eastAsia="宋体" w:cs="宋体"/>
          <w:bCs/>
          <w:sz w:val="18"/>
          <w:szCs w:val="18"/>
          <w:lang w:val="en-US" w:eastAsia="zh-CN"/>
        </w:rPr>
        <w:t>6</w:t>
      </w:r>
      <w:r>
        <w:rPr>
          <w:rFonts w:hint="eastAsia" w:ascii="宋体" w:hAnsi="宋体" w:eastAsia="宋体" w:cs="宋体"/>
          <w:bCs/>
          <w:sz w:val="18"/>
          <w:szCs w:val="18"/>
          <w:lang w:eastAsia="zh-CN"/>
        </w:rPr>
        <w:t>）本产品投资于信用债券、银行存款、非标准化债权类资产融资人的信用评级均不得低于AA+。</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【产品采取绝对收益策略，追求资产长期稳定增值。】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7848"/>
      <w:bookmarkStart w:id="94" w:name="_Toc4741"/>
      <w:bookmarkStart w:id="95" w:name="_Toc18797"/>
      <w:bookmarkStart w:id="96" w:name="_Toc14893"/>
      <w:bookmarkStart w:id="97" w:name="_Toc74065742"/>
      <w:bookmarkStart w:id="98" w:name="_Toc139991735"/>
      <w:bookmarkStart w:id="99" w:name="_Toc18526"/>
      <w:bookmarkStart w:id="100" w:name="_Toc17912"/>
      <w:bookmarkStart w:id="101" w:name="_Toc1823"/>
      <w:bookmarkStart w:id="102" w:name="_Toc141703885"/>
      <w:bookmarkStart w:id="103" w:name="_Toc18329"/>
      <w:bookmarkStart w:id="104" w:name="_Toc21988"/>
      <w:bookmarkStart w:id="105" w:name="_Toc26986"/>
      <w:bookmarkStart w:id="106" w:name="_Toc176189758"/>
      <w:bookmarkStart w:id="107" w:name="_Toc79154669"/>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23102453"/>
      <w:bookmarkStart w:id="110" w:name="_Toc123112234"/>
      <w:bookmarkStart w:id="111" w:name="_Toc23822"/>
      <w:bookmarkStart w:id="112" w:name="_Toc123051452"/>
      <w:bookmarkStart w:id="113" w:name="_Toc139991736"/>
      <w:bookmarkStart w:id="114" w:name="_Toc10463"/>
      <w:bookmarkStart w:id="115" w:name="_Toc23261"/>
      <w:bookmarkStart w:id="116" w:name="_Toc79154670"/>
      <w:bookmarkStart w:id="117" w:name="_Toc141703886"/>
      <w:bookmarkStart w:id="118" w:name="_Toc7920"/>
      <w:bookmarkStart w:id="119" w:name="_Toc176189759"/>
      <w:bookmarkStart w:id="120" w:name="_Toc48649707"/>
      <w:bookmarkStart w:id="121" w:name="_Toc610"/>
      <w:bookmarkStart w:id="122" w:name="_Toc79392606"/>
      <w:bookmarkStart w:id="123" w:name="_Toc17244"/>
      <w:bookmarkStart w:id="124" w:name="_Toc98560352"/>
      <w:bookmarkStart w:id="125" w:name="_Toc74065743"/>
      <w:bookmarkStart w:id="126" w:name="_Toc20733"/>
      <w:bookmarkStart w:id="127" w:name="_Toc1270"/>
      <w:bookmarkStart w:id="128" w:name="_Toc1427"/>
      <w:bookmarkStart w:id="129" w:name="_Toc400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1.产品份额净值是按照估值日产品资产净值除以当日产品总份额计算，四舍五入保留5位小数。国家另有规定的，从其规定。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4835"/>
      <w:bookmarkStart w:id="132" w:name="_Toc176189760"/>
      <w:bookmarkStart w:id="133" w:name="_Toc31644"/>
      <w:bookmarkStart w:id="134" w:name="_Toc123051453"/>
      <w:bookmarkStart w:id="135" w:name="_Toc141703887"/>
      <w:bookmarkStart w:id="136" w:name="_Toc31235"/>
      <w:bookmarkStart w:id="137" w:name="_Toc79154671"/>
      <w:bookmarkStart w:id="138" w:name="_Toc123102454"/>
      <w:bookmarkStart w:id="139" w:name="_Toc31653"/>
      <w:bookmarkStart w:id="140" w:name="_Toc12245"/>
      <w:bookmarkStart w:id="141" w:name="_Toc98560353"/>
      <w:bookmarkStart w:id="142" w:name="_Toc74065744"/>
      <w:bookmarkStart w:id="143" w:name="_Toc6405"/>
      <w:bookmarkStart w:id="144" w:name="_Toc139991737"/>
      <w:bookmarkStart w:id="145" w:name="_Toc15143"/>
      <w:bookmarkStart w:id="146" w:name="_Toc123112235"/>
      <w:bookmarkStart w:id="147" w:name="_Toc26207"/>
      <w:bookmarkStart w:id="148" w:name="_Toc3601"/>
      <w:bookmarkStart w:id="149" w:name="_Toc29251"/>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57530239"/>
      <w:bookmarkStart w:id="153" w:name="_Toc15118234"/>
      <w:bookmarkStart w:id="154" w:name="_Toc79392580"/>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7058"/>
      <w:bookmarkStart w:id="158" w:name="_Toc176189761"/>
      <w:bookmarkStart w:id="159" w:name="_Toc123102455"/>
      <w:bookmarkStart w:id="160" w:name="_Toc79154672"/>
      <w:bookmarkStart w:id="161" w:name="_Toc18567"/>
      <w:bookmarkStart w:id="162" w:name="_Toc74065745"/>
      <w:bookmarkStart w:id="163" w:name="_Toc9706"/>
      <w:bookmarkStart w:id="164" w:name="_Toc4559"/>
      <w:bookmarkStart w:id="165" w:name="_Toc25783"/>
      <w:bookmarkStart w:id="166" w:name="_Toc10650"/>
      <w:bookmarkStart w:id="167" w:name="_Toc3771"/>
      <w:bookmarkStart w:id="168" w:name="_Toc11030"/>
      <w:bookmarkStart w:id="169" w:name="_Toc6447"/>
      <w:bookmarkStart w:id="170" w:name="_Toc98560354"/>
      <w:bookmarkStart w:id="171" w:name="_Toc139991738"/>
      <w:bookmarkStart w:id="172" w:name="_Toc3321"/>
      <w:bookmarkStart w:id="173" w:name="_Toc79392583"/>
      <w:bookmarkStart w:id="174" w:name="_Toc123051454"/>
      <w:bookmarkStart w:id="175" w:name="_Toc141703888"/>
      <w:bookmarkStart w:id="176" w:name="_Toc123112236"/>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w:t>
      </w:r>
    </w:p>
    <w:p>
      <w:pPr>
        <w:widowControl/>
        <w:spacing w:line="360" w:lineRule="auto"/>
        <w:ind w:firstLine="360" w:firstLineChars="200"/>
        <w:jc w:val="left"/>
        <w:rPr>
          <w:rFonts w:ascii="宋体" w:hAnsi="宋体" w:cs="宋体"/>
          <w:sz w:val="18"/>
          <w:szCs w:val="18"/>
        </w:rPr>
      </w:pP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本产品的销售服务费于产品成立日一次性计提，每日摊销。销售服务费的计算方法如下：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H＝E×销售服务费年费率×产品期限总天数÷365</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H为应计提的产品销售服务费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E为产品成立日的产品总份额</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val="0"/>
        <w:autoSpaceDE w:val="0"/>
        <w:autoSpaceDN w:val="0"/>
        <w:adjustRightInd w:val="0"/>
        <w:spacing w:line="360" w:lineRule="auto"/>
        <w:ind w:firstLine="361" w:firstLineChars="200"/>
        <w:rPr>
          <w:rFonts w:ascii="宋体" w:hAnsi="宋体" w:eastAsia="宋体" w:cs="宋体"/>
          <w:color w:val="auto"/>
          <w:kern w:val="2"/>
          <w:sz w:val="18"/>
          <w:szCs w:val="18"/>
          <w:lang w:val="en-US" w:eastAsia="zh-CN" w:bidi="ar-SA"/>
        </w:rPr>
      </w:pPr>
      <w:r>
        <w:rPr>
          <w:rFonts w:hint="eastAsia" w:ascii="黑体" w:hAnsi="黑体" w:eastAsia="黑体" w:cs="宋体"/>
          <w:b/>
          <w:bCs/>
          <w:color w:val="000000"/>
          <w:sz w:val="18"/>
          <w:szCs w:val="18"/>
          <w:lang w:val="en-US" w:eastAsia="zh-CN" w:bidi="ar-SA"/>
        </w:rPr>
        <w:t>注：如本产品发生提前终止或提前退出，则产品管理人根据实际产品期限天数/实际份额计算销售服务费，多收取的销售服务费退还至理财产品资产。</w:t>
      </w:r>
    </w:p>
    <w:p>
      <w:pPr>
        <w:widowControl w:val="0"/>
        <w:autoSpaceDE w:val="0"/>
        <w:autoSpaceDN w:val="0"/>
        <w:adjustRightInd w:val="0"/>
        <w:spacing w:line="360" w:lineRule="auto"/>
        <w:ind w:firstLine="360" w:firstLineChars="200"/>
        <w:rPr>
          <w:rFonts w:ascii="宋体" w:hAnsi="宋体" w:eastAsia="宋体" w:cs="宋体"/>
          <w:color w:val="auto"/>
          <w:kern w:val="2"/>
          <w:sz w:val="18"/>
          <w:szCs w:val="18"/>
          <w:lang w:val="en-US" w:eastAsia="zh-CN" w:bidi="ar-SA"/>
        </w:rPr>
      </w:pP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cs="宋体"/>
          <w:sz w:val="18"/>
          <w:szCs w:val="18"/>
        </w:rPr>
        <w:t>★</w:t>
      </w:r>
      <w:r>
        <w:rPr>
          <w:rFonts w:hint="eastAsia" w:ascii="宋体" w:hAnsi="宋体" w:eastAsia="宋体" w:cs="宋体"/>
          <w:sz w:val="18"/>
          <w:szCs w:val="18"/>
        </w:rPr>
        <w:t>由此造成超额业绩报酬计提日产品份额净值调整的，以调整后的数值为准进行利益分配。</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业绩报酬计提基准的设置、超额业绩报酬的具体比例数值以《</w:t>
      </w:r>
      <w:r>
        <w:rPr>
          <w:rFonts w:hint="eastAsia" w:ascii="宋体" w:hAnsi="宋体" w:eastAsia="宋体" w:cs="宋体"/>
          <w:bCs/>
          <w:sz w:val="18"/>
          <w:szCs w:val="18"/>
        </w:rPr>
        <w:t>产品说明</w:t>
      </w:r>
      <w:r>
        <w:rPr>
          <w:rFonts w:hint="eastAsia" w:ascii="宋体" w:hAnsi="宋体" w:eastAsia="宋体" w:cs="宋体"/>
          <w:sz w:val="18"/>
          <w:szCs w:val="18"/>
        </w:rPr>
        <w:t>书》“第二条 理财产品基本情况”为准。</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1）收取超额业绩报酬的原则：</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①按投资者每</w:t>
      </w:r>
      <w:r>
        <w:rPr>
          <w:rFonts w:ascii="宋体" w:hAnsi="宋体" w:eastAsia="宋体" w:cs="宋体"/>
          <w:sz w:val="18"/>
          <w:szCs w:val="18"/>
        </w:rPr>
        <w:t>份</w:t>
      </w:r>
      <w:r>
        <w:rPr>
          <w:rFonts w:hint="eastAsia" w:ascii="宋体" w:hAnsi="宋体" w:eastAsia="宋体" w:cs="宋体"/>
          <w:sz w:val="18"/>
          <w:szCs w:val="18"/>
        </w:rPr>
        <w:t>产品份额分别计算年化收益率并计提超额业绩报酬；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③在产品终止日提取超额业绩报酬的，超额业绩报酬从清算资金中扣除；</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2）超额业绩报酬计提方法</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份</w:t>
      </w:r>
      <w:r>
        <w:rPr>
          <w:rFonts w:hint="eastAsia" w:ascii="宋体" w:hAnsi="宋体" w:eastAsia="宋体" w:cs="宋体"/>
          <w:sz w:val="18"/>
          <w:szCs w:val="18"/>
        </w:rPr>
        <w:t>产品份额超额业绩报酬计提起始日为：募集期内认购的产品份额，以产品成立日为该</w:t>
      </w:r>
      <w:r>
        <w:rPr>
          <w:rFonts w:ascii="宋体" w:hAnsi="宋体" w:eastAsia="宋体" w:cs="宋体"/>
          <w:sz w:val="18"/>
          <w:szCs w:val="18"/>
        </w:rPr>
        <w:t>份</w:t>
      </w:r>
      <w:r>
        <w:rPr>
          <w:rFonts w:hint="eastAsia" w:ascii="宋体" w:hAnsi="宋体" w:eastAsia="宋体" w:cs="宋体"/>
          <w:sz w:val="18"/>
          <w:szCs w:val="18"/>
        </w:rPr>
        <w:t>产品份额超额业绩报酬计提起始日。</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sz w:val="18"/>
          <w:szCs w:val="18"/>
        </w:rPr>
        <w:t>②超额业绩报酬计提日</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每份产品份额超额业绩报酬每日计提，产品终止日</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lang w:val="en-US" w:eastAsia="zh-CN"/>
        </w:rPr>
        <w:t>不含部分终止日</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rPr>
        <w:t>结算。</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③超额业绩报酬的计算</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产品管理人对每</w:t>
      </w:r>
      <w:r>
        <w:rPr>
          <w:rFonts w:ascii="宋体" w:hAnsi="宋体" w:eastAsia="宋体" w:cs="宋体"/>
          <w:b w:val="0"/>
          <w:bCs w:val="0"/>
          <w:sz w:val="18"/>
          <w:szCs w:val="18"/>
        </w:rPr>
        <w:t>份</w:t>
      </w:r>
      <w:r>
        <w:rPr>
          <w:rFonts w:hint="eastAsia" w:ascii="宋体" w:hAnsi="宋体" w:eastAsia="宋体" w:cs="宋体"/>
          <w:b w:val="0"/>
          <w:bCs w:val="0"/>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当R≤当前业绩报酬计提基准，超额业绩报酬=0；</w:t>
      </w:r>
    </w:p>
    <w:p>
      <w:pPr>
        <w:widowControl/>
        <w:spacing w:line="360" w:lineRule="auto"/>
        <w:ind w:firstLine="360" w:firstLineChars="200"/>
        <w:jc w:val="left"/>
        <w:rPr>
          <w:rFonts w:hint="eastAsia" w:ascii="宋体" w:hAnsi="宋体" w:eastAsia="宋体" w:cs="宋体"/>
          <w:sz w:val="18"/>
          <w:szCs w:val="18"/>
        </w:rPr>
      </w:pPr>
      <w:r>
        <w:rPr>
          <w:rFonts w:hint="eastAsia" w:ascii="宋体" w:hAnsi="宋体" w:eastAsia="宋体" w:cs="宋体"/>
          <w:b w:val="0"/>
          <w:bCs w:val="0"/>
          <w:sz w:val="18"/>
          <w:szCs w:val="18"/>
        </w:rPr>
        <w:t>当R＞当前业绩报酬计提基准，超额业绩报酬=产品终止</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lang w:val="en-US" w:eastAsia="zh-CN"/>
        </w:rPr>
        <w:t>不含部分终止</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rPr>
        <w:t>时投资者持有的产</w:t>
      </w:r>
      <w:r>
        <w:rPr>
          <w:rFonts w:hint="eastAsia" w:ascii="宋体" w:hAnsi="宋体" w:eastAsia="宋体" w:cs="宋体"/>
          <w:sz w:val="18"/>
          <w:szCs w:val="18"/>
        </w:rPr>
        <w:t>品份额×产品成立日产品份额净值×（R-当前业绩报酬计提基准）×N×D/365。</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361" w:firstLineChars="200"/>
        <w:jc w:val="left"/>
        <w:rPr>
          <w:rFonts w:hint="eastAsia" w:ascii="宋体" w:hAnsi="宋体" w:eastAsia="宋体" w:cs="宋体"/>
          <w:b/>
          <w:bCs/>
          <w:kern w:val="0"/>
          <w:sz w:val="18"/>
          <w:szCs w:val="18"/>
          <w:lang w:val="en-US" w:eastAsia="zh-CN" w:bidi="ar-SA"/>
        </w:rPr>
      </w:pPr>
      <w:r>
        <w:rPr>
          <w:rFonts w:hint="eastAsia" w:ascii="宋体" w:hAnsi="宋体" w:eastAsia="宋体" w:cs="宋体"/>
          <w:b/>
          <w:bCs/>
          <w:kern w:val="0"/>
          <w:sz w:val="18"/>
          <w:szCs w:val="18"/>
          <w:lang w:val="en-US" w:eastAsia="zh-CN" w:bidi="ar-SA"/>
        </w:rPr>
        <w:t>注：产品部分提前终止情况下，部分提前终止份额不收取超额业绩报酬。</w:t>
      </w:r>
    </w:p>
    <w:p>
      <w:pPr>
        <w:widowControl/>
        <w:spacing w:line="360" w:lineRule="auto"/>
        <w:ind w:firstLine="360" w:firstLineChars="200"/>
        <w:jc w:val="left"/>
        <w:rPr>
          <w:rFonts w:ascii="宋体" w:hAnsi="宋体" w:eastAsia="宋体" w:cs="宋体"/>
          <w:sz w:val="18"/>
          <w:szCs w:val="18"/>
        </w:rPr>
      </w:pP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102456"/>
      <w:bookmarkStart w:id="180" w:name="_Toc139991739"/>
      <w:bookmarkStart w:id="181" w:name="_Toc3572"/>
      <w:bookmarkStart w:id="182" w:name="_Toc3080"/>
      <w:bookmarkStart w:id="183" w:name="_Toc21735"/>
      <w:bookmarkStart w:id="184" w:name="_Toc123112237"/>
      <w:bookmarkStart w:id="185" w:name="_Toc10398"/>
      <w:bookmarkStart w:id="186" w:name="_Toc98560355"/>
      <w:bookmarkStart w:id="187" w:name="_Toc31821"/>
      <w:bookmarkStart w:id="188" w:name="_Toc79154673"/>
      <w:bookmarkStart w:id="189" w:name="_Toc18206"/>
      <w:bookmarkStart w:id="190" w:name="_Toc725"/>
      <w:bookmarkStart w:id="191" w:name="_Toc74065746"/>
      <w:bookmarkStart w:id="192" w:name="_Toc16164"/>
      <w:bookmarkStart w:id="193" w:name="_Toc176189762"/>
      <w:bookmarkStart w:id="194" w:name="_Toc141703889"/>
      <w:bookmarkStart w:id="195" w:name="_Toc12305145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实际到账日之间，理财资金不计算</w:t>
      </w:r>
      <w:r>
        <w:rPr>
          <w:rFonts w:ascii="宋体" w:hAnsi="宋体" w:eastAsia="宋体" w:cs="宋体"/>
          <w:bCs/>
          <w:sz w:val="18"/>
          <w:szCs w:val="18"/>
        </w:rPr>
        <w:t>收益</w:t>
      </w:r>
      <w:r>
        <w:rPr>
          <w:rFonts w:hint="eastAsia" w:ascii="宋体" w:hAnsi="宋体" w:eastAsia="宋体" w:cs="宋体"/>
          <w:bCs/>
          <w:sz w:val="18"/>
          <w:szCs w:val="18"/>
        </w:rPr>
        <w:t>。</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76189763"/>
      <w:bookmarkStart w:id="200" w:name="_Toc21237"/>
      <w:bookmarkStart w:id="201" w:name="_Toc17920"/>
      <w:bookmarkStart w:id="202" w:name="_Toc139991740"/>
      <w:bookmarkStart w:id="203" w:name="_Toc3329"/>
      <w:bookmarkStart w:id="204" w:name="_Toc141703890"/>
      <w:bookmarkStart w:id="205" w:name="_Toc79392622"/>
      <w:bookmarkStart w:id="206" w:name="_Toc74065747"/>
      <w:bookmarkStart w:id="207" w:name="_Toc123112238"/>
      <w:bookmarkStart w:id="208" w:name="_Toc98560356"/>
      <w:bookmarkStart w:id="209" w:name="_Toc48649708"/>
      <w:bookmarkStart w:id="210" w:name="_Toc29408"/>
      <w:bookmarkStart w:id="211" w:name="_Toc739"/>
      <w:bookmarkStart w:id="212" w:name="_Toc123051456"/>
      <w:bookmarkStart w:id="213" w:name="_Toc17198"/>
      <w:bookmarkStart w:id="214" w:name="_Toc8791"/>
      <w:bookmarkStart w:id="215" w:name="_Toc123102457"/>
      <w:bookmarkStart w:id="216" w:name="_Toc5170"/>
      <w:bookmarkStart w:id="217" w:name="_Toc79154674"/>
      <w:bookmarkStart w:id="218" w:name="_Toc32092"/>
      <w:bookmarkStart w:id="219" w:name="_Toc32584"/>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hint="eastAsia" w:ascii="宋体" w:hAnsi="宋体" w:eastAsia="宋体" w:cs="宋体"/>
          <w:bCs/>
          <w:kern w:val="2"/>
          <w:sz w:val="18"/>
          <w:szCs w:val="18"/>
          <w:lang w:val="en-US" w:eastAsia="zh-CN" w:bidi="ar-SA"/>
        </w:rPr>
        <w:t>1.拟投资市场和资产的风险：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1）投资标准化债权类资产的风险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2）投资非标准化债权类资产的风险</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color w:val="auto"/>
          <w:kern w:val="0"/>
          <w:sz w:val="18"/>
          <w:szCs w:val="18"/>
        </w:rPr>
        <w:t>【兴银理财稳利安盈封闭式2025年</w:t>
      </w:r>
      <w:r>
        <w:rPr>
          <w:rFonts w:hint="eastAsia" w:ascii="宋体" w:hAnsi="宋体" w:cs="仿宋_GB2312"/>
          <w:color w:val="auto"/>
          <w:kern w:val="0"/>
          <w:sz w:val="18"/>
          <w:szCs w:val="18"/>
          <w:lang w:eastAsia="zh-CN"/>
        </w:rPr>
        <w:t>429期</w:t>
      </w:r>
      <w:r>
        <w:rPr>
          <w:rFonts w:hint="eastAsia" w:ascii="宋体" w:hAnsi="宋体" w:cs="仿宋_GB2312"/>
          <w:color w:val="auto"/>
          <w:kern w:val="0"/>
          <w:sz w:val="18"/>
          <w:szCs w:val="18"/>
        </w:rPr>
        <w:t>固收类理财产品</w:t>
      </w:r>
      <w:r>
        <w:rPr>
          <w:rFonts w:hint="eastAsia" w:cs="宋体" w:asciiTheme="majorEastAsia" w:hAnsiTheme="majorEastAsia" w:eastAsiaTheme="majorEastAsia"/>
          <w:bCs/>
          <w:color w:val="auto"/>
          <w:kern w:val="0"/>
          <w:sz w:val="18"/>
          <w:szCs w:val="18"/>
        </w:rPr>
        <w:t>】</w:t>
      </w:r>
    </w:p>
    <w:p>
      <w:pPr>
        <w:ind w:firstLine="448" w:firstLineChars="249"/>
        <w:rPr>
          <w:rFonts w:hint="eastAsia" w:ascii="宋体" w:hAnsi="宋体" w:cs="仿宋_GB2312"/>
          <w:color w:val="auto"/>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429期</w:t>
      </w:r>
      <w:r>
        <w:rPr>
          <w:rFonts w:hint="eastAsia" w:ascii="宋体" w:hAnsi="宋体" w:cs="仿宋_GB2312"/>
          <w:color w:val="auto"/>
          <w:kern w:val="0"/>
          <w:sz w:val="18"/>
          <w:szCs w:val="18"/>
        </w:rPr>
        <w:t>A】（适用【A】类份额）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429期</w:t>
      </w:r>
      <w:r>
        <w:rPr>
          <w:rFonts w:hint="eastAsia" w:ascii="宋体" w:hAnsi="宋体" w:cs="仿宋_GB2312"/>
          <w:color w:val="auto"/>
          <w:kern w:val="0"/>
          <w:sz w:val="18"/>
          <w:szCs w:val="18"/>
        </w:rPr>
        <w:t>B】（适用【</w:t>
      </w:r>
      <w:r>
        <w:rPr>
          <w:rFonts w:hint="eastAsia" w:ascii="宋体" w:hAnsi="宋体" w:cs="仿宋_GB2312"/>
          <w:color w:val="auto"/>
          <w:kern w:val="0"/>
          <w:sz w:val="18"/>
          <w:szCs w:val="18"/>
          <w:lang w:val="en-US" w:eastAsia="zh-CN"/>
        </w:rPr>
        <w:t>B</w:t>
      </w:r>
      <w:r>
        <w:rPr>
          <w:rFonts w:hint="eastAsia" w:ascii="宋体" w:hAnsi="宋体" w:cs="仿宋_GB2312"/>
          <w:color w:val="auto"/>
          <w:kern w:val="0"/>
          <w:sz w:val="18"/>
          <w:szCs w:val="18"/>
        </w:rPr>
        <w:t>】类份额）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429期</w:t>
      </w:r>
      <w:r>
        <w:rPr>
          <w:rFonts w:hint="eastAsia" w:ascii="宋体" w:hAnsi="宋体" w:cs="仿宋_GB2312"/>
          <w:color w:val="auto"/>
          <w:kern w:val="0"/>
          <w:sz w:val="18"/>
          <w:szCs w:val="18"/>
          <w:lang w:val="en-US" w:eastAsia="zh-CN"/>
        </w:rPr>
        <w:t>C</w:t>
      </w:r>
      <w:r>
        <w:rPr>
          <w:rFonts w:hint="eastAsia" w:ascii="宋体" w:hAnsi="宋体" w:cs="仿宋_GB2312"/>
          <w:color w:val="auto"/>
          <w:kern w:val="0"/>
          <w:sz w:val="18"/>
          <w:szCs w:val="18"/>
        </w:rPr>
        <w:t>】（适用【</w:t>
      </w:r>
      <w:r>
        <w:rPr>
          <w:rFonts w:hint="eastAsia" w:ascii="宋体" w:hAnsi="宋体" w:cs="仿宋_GB2312"/>
          <w:color w:val="auto"/>
          <w:kern w:val="0"/>
          <w:sz w:val="18"/>
          <w:szCs w:val="18"/>
          <w:lang w:val="en-US" w:eastAsia="zh-CN"/>
        </w:rPr>
        <w:t>C</w:t>
      </w:r>
      <w:r>
        <w:rPr>
          <w:rFonts w:hint="eastAsia" w:ascii="宋体" w:hAnsi="宋体" w:cs="仿宋_GB2312"/>
          <w:color w:val="auto"/>
          <w:kern w:val="0"/>
          <w:sz w:val="18"/>
          <w:szCs w:val="18"/>
        </w:rPr>
        <w:t>】类份额）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429期</w:t>
      </w:r>
      <w:r>
        <w:rPr>
          <w:rFonts w:hint="eastAsia" w:ascii="宋体" w:hAnsi="宋体" w:cs="仿宋_GB2312"/>
          <w:color w:val="auto"/>
          <w:kern w:val="0"/>
          <w:sz w:val="18"/>
          <w:szCs w:val="18"/>
          <w:lang w:val="en-US" w:eastAsia="zh-CN"/>
        </w:rPr>
        <w:t>D</w:t>
      </w:r>
      <w:r>
        <w:rPr>
          <w:rFonts w:hint="eastAsia" w:ascii="宋体" w:hAnsi="宋体" w:cs="仿宋_GB2312"/>
          <w:color w:val="auto"/>
          <w:kern w:val="0"/>
          <w:sz w:val="18"/>
          <w:szCs w:val="18"/>
        </w:rPr>
        <w:t>】（适用【</w:t>
      </w:r>
      <w:r>
        <w:rPr>
          <w:rFonts w:hint="eastAsia" w:ascii="宋体" w:hAnsi="宋体" w:cs="仿宋_GB2312"/>
          <w:color w:val="auto"/>
          <w:kern w:val="0"/>
          <w:sz w:val="18"/>
          <w:szCs w:val="18"/>
          <w:lang w:val="en-US" w:eastAsia="zh-CN"/>
        </w:rPr>
        <w:t>D</w:t>
      </w:r>
      <w:r>
        <w:rPr>
          <w:rFonts w:hint="eastAsia" w:ascii="宋体" w:hAnsi="宋体" w:cs="仿宋_GB2312"/>
          <w:color w:val="auto"/>
          <w:kern w:val="0"/>
          <w:sz w:val="18"/>
          <w:szCs w:val="18"/>
        </w:rPr>
        <w:t>】类份额）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ascii="宋体" w:hAnsi="宋体" w:cs="仿宋_GB2312"/>
          <w:color w:val="auto"/>
          <w:kern w:val="0"/>
          <w:sz w:val="18"/>
          <w:szCs w:val="18"/>
        </w:rPr>
        <w:t>【</w:t>
      </w:r>
      <w:r>
        <w:rPr>
          <w:rFonts w:hint="eastAsia" w:cs="宋体" w:asciiTheme="minorEastAsia" w:hAnsiTheme="minorEastAsia"/>
          <w:color w:val="auto"/>
          <w:sz w:val="18"/>
          <w:szCs w:val="18"/>
        </w:rPr>
        <w:t>Z7002025001353</w:t>
      </w:r>
      <w:r>
        <w:rPr>
          <w:rFonts w:ascii="宋体" w:hAnsi="宋体" w:cs="仿宋_GB2312"/>
          <w:color w:val="auto"/>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w:t>
      </w:r>
      <w:r>
        <w:rPr>
          <w:rFonts w:hint="eastAsia" w:ascii="宋体" w:hAnsi="宋体" w:cs="仿宋_GB2312"/>
          <w:color w:val="auto"/>
          <w:kern w:val="0"/>
          <w:sz w:val="18"/>
          <w:szCs w:val="18"/>
          <w:lang w:val="en-US" w:eastAsia="zh-CN"/>
        </w:rPr>
        <w:t>432</w:t>
      </w:r>
      <w:r>
        <w:rPr>
          <w:rFonts w:hint="eastAsia" w:ascii="宋体" w:hAnsi="宋体" w:cs="仿宋_GB2312"/>
          <w:kern w:val="0"/>
          <w:sz w:val="18"/>
          <w:szCs w:val="18"/>
        </w:rPr>
        <w:t>】</w:t>
      </w:r>
      <w:r>
        <w:rPr>
          <w:rFonts w:hint="eastAsia" w:ascii="宋体" w:hAnsi="宋体" w:cs="仿宋_GB2312"/>
          <w:kern w:val="0"/>
          <w:sz w:val="18"/>
          <w:szCs w:val="18"/>
          <w:lang w:val="en-US" w:eastAsia="zh-CN"/>
        </w:rPr>
        <w:t>天</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w:t>
      </w:r>
      <w:r>
        <w:rPr>
          <w:rFonts w:hint="eastAsia" w:ascii="宋体" w:hAnsi="宋体" w:cs="仿宋_GB2312"/>
          <w:kern w:val="0"/>
          <w:sz w:val="18"/>
          <w:szCs w:val="18"/>
          <w:lang w:val="en-US" w:eastAsia="zh-CN"/>
        </w:rPr>
        <w:t>1</w:t>
      </w:r>
      <w:r>
        <w:rPr>
          <w:rFonts w:ascii="宋体" w:hAnsi="宋体" w:cs="仿宋_GB2312"/>
          <w:kern w:val="0"/>
          <w:sz w:val="18"/>
          <w:szCs w:val="18"/>
        </w:rPr>
        <w:t>】</w:t>
      </w:r>
      <w:r>
        <w:rPr>
          <w:rFonts w:hint="eastAsia" w:ascii="宋体" w:hAnsi="宋体" w:cs="仿宋_GB2312"/>
          <w:kern w:val="0"/>
          <w:sz w:val="18"/>
          <w:szCs w:val="18"/>
        </w:rPr>
        <w:t>（产品管理人定义的产品风险评级为【R</w:t>
      </w:r>
      <w:r>
        <w:rPr>
          <w:rFonts w:hint="eastAsia" w:ascii="宋体" w:hAnsi="宋体" w:cs="仿宋_GB2312"/>
          <w:kern w:val="0"/>
          <w:sz w:val="18"/>
          <w:szCs w:val="18"/>
          <w:lang w:val="en-US" w:eastAsia="zh-CN"/>
        </w:rPr>
        <w:t>1</w:t>
      </w:r>
      <w:r>
        <w:rPr>
          <w:rFonts w:hint="eastAsia" w:ascii="宋体" w:hAnsi="宋体" w:cs="仿宋_GB2312"/>
          <w:kern w:val="0"/>
          <w:sz w:val="18"/>
          <w:szCs w:val="18"/>
        </w:rPr>
        <w:t>】；代理销售机构定义的产品风险评级为【R</w:t>
      </w:r>
      <w:r>
        <w:rPr>
          <w:rFonts w:hint="eastAsia" w:ascii="宋体" w:hAnsi="宋体" w:cs="仿宋_GB2312"/>
          <w:kern w:val="0"/>
          <w:sz w:val="18"/>
          <w:szCs w:val="18"/>
          <w:lang w:val="en-US" w:eastAsia="zh-CN"/>
        </w:rPr>
        <w:t>1</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sz w:val="18"/>
          <w:szCs w:val="18"/>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w:t>
      </w:r>
      <w:r>
        <w:rPr>
          <w:rFonts w:hint="eastAsia" w:cs="宋体" w:asciiTheme="majorEastAsia" w:hAnsiTheme="majorEastAsia" w:eastAsiaTheme="majorEastAsia"/>
          <w:bCs/>
          <w:color w:val="000000" w:themeColor="text1"/>
          <w:sz w:val="18"/>
          <w:szCs w:val="18"/>
          <w:lang w:val="en-US" w:eastAsia="zh-CN"/>
          <w14:textFill>
            <w14:solidFill>
              <w14:schemeClr w14:val="tx1"/>
            </w14:solidFill>
          </w14:textFill>
        </w:rPr>
        <w:t>6</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机构投资者：【</w:t>
      </w:r>
      <w:r>
        <w:rPr>
          <w:rFonts w:hint="eastAsia" w:cs="宋体" w:asciiTheme="majorEastAsia" w:hAnsiTheme="majorEastAsia" w:eastAsiaTheme="majorEastAsia"/>
          <w:bCs/>
          <w:sz w:val="18"/>
          <w:szCs w:val="18"/>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hint="eastAsia" w:ascii="宋体" w:hAnsi="宋体" w:eastAsia="宋体" w:cs="宋体"/>
          <w:bCs/>
          <w:kern w:val="2"/>
          <w:sz w:val="18"/>
          <w:szCs w:val="18"/>
          <w:lang w:val="en-US" w:eastAsia="zh-CN" w:bidi="ar-SA"/>
        </w:rPr>
        <w:t>1.拟投资市场和资产的风险：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1）投资标准化债权类资产的风险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2）投资非标准化债权类资产的风险</w:t>
      </w:r>
    </w:p>
    <w:p>
      <w:pPr>
        <w:widowControl w:val="0"/>
        <w:spacing w:line="240" w:lineRule="auto"/>
        <w:ind w:firstLine="360" w:firstLineChars="200"/>
        <w:jc w:val="both"/>
        <w:rPr>
          <w:rFonts w:ascii="宋体" w:hAnsi="宋体" w:eastAsia="宋体" w:cs="宋体"/>
          <w:kern w:val="2"/>
          <w:sz w:val="18"/>
          <w:szCs w:val="18"/>
          <w:lang w:val="en-US" w:eastAsia="zh-CN" w:bidi="ar-SA"/>
        </w:rPr>
      </w:pPr>
      <w:r>
        <w:rPr>
          <w:rFonts w:hint="eastAsia" w:ascii="宋体" w:hAnsi="宋体" w:eastAsia="宋体" w:cs="宋体"/>
          <w:bCs/>
          <w:kern w:val="2"/>
          <w:sz w:val="18"/>
          <w:szCs w:val="18"/>
          <w:lang w:val="en-US" w:eastAsia="zh-CN" w:bidi="ar-SA"/>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eastAsia="宋体" w:cs="宋体"/>
          <w:kern w:val="2"/>
          <w:sz w:val="18"/>
          <w:szCs w:val="18"/>
          <w:lang w:val="en-US" w:eastAsia="zh-CN" w:bidi="ar-SA"/>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val="en-US" w:eastAsia="zh-CN"/>
        </w:rPr>
        <w:t>安盈</w:t>
      </w:r>
      <w:r>
        <w:rPr>
          <w:rStyle w:val="10"/>
          <w:rFonts w:hint="eastAsia" w:ascii="黑体" w:hAnsi="黑体" w:eastAsia="黑体" w:cstheme="minorBidi"/>
          <w:sz w:val="28"/>
          <w:szCs w:val="28"/>
        </w:rPr>
        <w:t>封闭式】理财产品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兴银理财【稳利安盈封闭式】理财产品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outlineLvl w:val="2"/>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358E7252"/>
    <w:rsid w:val="637F58C5"/>
    <w:rsid w:val="75787CC7"/>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44813</Words>
  <Characters>45750</Characters>
  <Lines>0</Lines>
  <Paragraphs>0</Paragraphs>
  <TotalTime>0</TotalTime>
  <ScaleCrop>false</ScaleCrop>
  <LinksUpToDate>false</LinksUpToDate>
  <CharactersWithSpaces>46203</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2025-10-22T06:41:48Z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FCB3D6789B474E628221651AEFB9B798</vt:lpwstr>
  </property>
</Properties>
</file>