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天津银行个人理财产品销售协议书</w:t>
      </w:r>
    </w:p>
    <w:tbl>
      <w:tblPr>
        <w:tblStyle w:val="9"/>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27" w:hRule="atLeast"/>
          <w:jc w:val="center"/>
        </w:trPr>
        <w:tc>
          <w:tcPr>
            <w:tcW w:w="8969" w:type="dxa"/>
          </w:tcPr>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r>
              <w:rPr>
                <w:rFonts w:ascii="黑体" w:hAnsi="黑体" w:eastAsia="黑体"/>
                <w:b/>
                <w:bCs/>
                <w:sz w:val="18"/>
                <w:szCs w:val="18"/>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Ok017YAAAACgEAAA8AAAAAAAAA&#10;AQAgAAAAIgAAAGRycy9kb3ducmV2LnhtbFBLAQIUABQAAAAIAIdO4kBGN5wN2AEAAJwDAAAOAAAA&#10;AAAAAAEAIAAAACcBAABkcnMvZTJvRG9jLnhtbFBLBQYAAAAABgAGAFkBAABx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02" w:hRule="atLeast"/>
          <w:jc w:val="center"/>
        </w:trPr>
        <w:tc>
          <w:tcPr>
            <w:tcW w:w="8969" w:type="dxa"/>
            <w:vAlign w:val="center"/>
          </w:tcPr>
          <w:p>
            <w:pPr>
              <w:ind w:firstLine="527" w:firstLineChars="250"/>
              <w:rPr>
                <w:rFonts w:ascii="宋体" w:hAnsi="宋体"/>
                <w:b/>
                <w:szCs w:val="21"/>
              </w:rPr>
            </w:pPr>
            <w:r>
              <w:rPr>
                <w:rFonts w:ascii="宋体" w:hAnsi="宋体"/>
                <w:b/>
                <w:szCs w:val="21"/>
              </w:rPr>
              <w:t>1.</w:t>
            </w:r>
            <w:r>
              <w:rPr>
                <w:rFonts w:hint="eastAsia" w:ascii="宋体" w:hAnsi="宋体"/>
                <w:b/>
                <w:szCs w:val="21"/>
              </w:rPr>
              <w:t>银行</w:t>
            </w:r>
            <w:r>
              <w:rPr>
                <w:rFonts w:ascii="宋体" w:hAnsi="宋体"/>
                <w:b/>
                <w:szCs w:val="21"/>
              </w:rPr>
              <w:t>已提请</w:t>
            </w:r>
            <w:r>
              <w:rPr>
                <w:rFonts w:hint="eastAsia" w:ascii="宋体" w:hAnsi="宋体"/>
                <w:b/>
                <w:szCs w:val="21"/>
              </w:rPr>
              <w:t>客户</w:t>
            </w:r>
            <w:r>
              <w:rPr>
                <w:rFonts w:ascii="宋体" w:hAnsi="宋体"/>
                <w:b/>
                <w:szCs w:val="21"/>
              </w:rPr>
              <w:t>注意对本协议各条款，特别是黑体字条款作全面、准确的理解，并作了相应条款的说明。签约</w:t>
            </w:r>
            <w:r>
              <w:rPr>
                <w:rFonts w:hint="eastAsia" w:ascii="宋体" w:hAnsi="宋体"/>
                <w:b/>
                <w:szCs w:val="21"/>
              </w:rPr>
              <w:t>双</w:t>
            </w:r>
            <w:r>
              <w:rPr>
                <w:rFonts w:ascii="宋体" w:hAnsi="宋体"/>
                <w:b/>
                <w:szCs w:val="21"/>
              </w:rPr>
              <w:t>方对本协议的含义认识一致，认同并接受本协议全部条款。</w:t>
            </w:r>
          </w:p>
          <w:p>
            <w:pPr>
              <w:ind w:firstLine="527" w:firstLineChars="250"/>
              <w:rPr>
                <w:rFonts w:ascii="宋体" w:hAnsi="宋体"/>
                <w:b/>
                <w:szCs w:val="21"/>
              </w:rPr>
            </w:pPr>
            <w:r>
              <w:rPr>
                <w:rFonts w:ascii="宋体" w:hAnsi="宋体"/>
                <w:b/>
                <w:szCs w:val="21"/>
              </w:rPr>
              <w:t>2.</w:t>
            </w:r>
            <w:r>
              <w:rPr>
                <w:rFonts w:hint="eastAsia" w:ascii="宋体" w:hAnsi="宋体"/>
                <w:b/>
                <w:szCs w:val="21"/>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rPr>
            </w:pPr>
          </w:p>
          <w:p>
            <w:pPr>
              <w:adjustRightInd w:val="0"/>
              <w:snapToGrid w:val="0"/>
              <w:ind w:firstLine="630" w:firstLineChars="300"/>
              <w:rPr>
                <w:rFonts w:ascii="宋体" w:hAnsi="宋体"/>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IOEj9oAAAAKAQAADwAAAAAA&#10;AAABACAAAAAiAAAAZHJzL2Rvd25yZXYueG1sUEsBAhQAFAAAAAgAh07iQAiYYzPYAQAAmwMAAA4A&#10;AAAAAAAAAQAgAAAAKQEAAGRycy9lMm9Eb2MueG1sUEsFBgAAAAAGAAYAWQEAAHM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rPr>
              <w:t xml:space="preserve">客户签章               </w:t>
            </w:r>
            <w:r>
              <w:rPr>
                <w:rFonts w:hint="eastAsia" w:ascii="宋体" w:hAnsi="宋体"/>
                <w:szCs w:val="21"/>
              </w:rPr>
              <w:t xml:space="preserve">   </w:t>
            </w:r>
            <w:r>
              <w:rPr>
                <w:rFonts w:ascii="宋体" w:hAnsi="宋体"/>
                <w:szCs w:val="21"/>
              </w:rPr>
              <w:t>银行签章</w:t>
            </w: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r>
              <w:rPr>
                <w:rFonts w:hint="eastAsia" w:ascii="宋体" w:hAnsi="宋体"/>
                <w:szCs w:val="21"/>
              </w:rPr>
              <w:t>客户手机号码：</w:t>
            </w:r>
          </w:p>
          <w:p>
            <w:pPr>
              <w:adjustRightInd w:val="0"/>
              <w:snapToGrid w:val="0"/>
              <w:ind w:firstLine="540" w:firstLineChars="300"/>
              <w:rPr>
                <w:rFonts w:ascii="宋体" w:hAnsi="宋体"/>
                <w:sz w:val="18"/>
                <w:szCs w:val="21"/>
              </w:rPr>
            </w:pPr>
            <w:r>
              <w:rPr>
                <w:rFonts w:hint="eastAsia" w:ascii="宋体" w:hAnsi="宋体"/>
                <w:sz w:val="18"/>
                <w:szCs w:val="21"/>
              </w:rPr>
              <w:t>（</w:t>
            </w:r>
            <w:r>
              <w:rPr>
                <w:rFonts w:ascii="宋体" w:hAnsi="宋体"/>
                <w:sz w:val="18"/>
                <w:szCs w:val="21"/>
              </w:rPr>
              <w:t>如</w:t>
            </w:r>
            <w:r>
              <w:rPr>
                <w:rFonts w:hint="eastAsia" w:ascii="宋体" w:hAnsi="宋体"/>
                <w:sz w:val="18"/>
                <w:szCs w:val="21"/>
              </w:rPr>
              <w:t>手机</w:t>
            </w:r>
            <w:r>
              <w:rPr>
                <w:rFonts w:ascii="宋体" w:hAnsi="宋体"/>
                <w:sz w:val="18"/>
                <w:szCs w:val="21"/>
              </w:rPr>
              <w:t>号码与我行金信通</w:t>
            </w:r>
            <w:r>
              <w:rPr>
                <w:rFonts w:hint="eastAsia" w:ascii="宋体" w:hAnsi="宋体"/>
                <w:sz w:val="18"/>
                <w:szCs w:val="21"/>
              </w:rPr>
              <w:t>业务</w:t>
            </w:r>
            <w:r>
              <w:rPr>
                <w:rFonts w:ascii="宋体" w:hAnsi="宋体"/>
                <w:sz w:val="18"/>
                <w:szCs w:val="21"/>
              </w:rPr>
              <w:t>登记手机号码不一致，请及时</w:t>
            </w:r>
            <w:r>
              <w:rPr>
                <w:rFonts w:hint="eastAsia" w:ascii="宋体" w:hAnsi="宋体"/>
                <w:sz w:val="18"/>
                <w:szCs w:val="21"/>
              </w:rPr>
              <w:t>另行</w:t>
            </w:r>
            <w:r>
              <w:rPr>
                <w:rFonts w:ascii="宋体" w:hAnsi="宋体"/>
                <w:sz w:val="18"/>
                <w:szCs w:val="21"/>
              </w:rPr>
              <w:t>办理金信通</w:t>
            </w:r>
            <w:r>
              <w:rPr>
                <w:rFonts w:hint="eastAsia" w:ascii="宋体" w:hAnsi="宋体"/>
                <w:sz w:val="18"/>
                <w:szCs w:val="21"/>
              </w:rPr>
              <w:t>业务相关</w:t>
            </w:r>
            <w:r>
              <w:rPr>
                <w:rFonts w:ascii="宋体" w:hAnsi="宋体"/>
                <w:sz w:val="18"/>
                <w:szCs w:val="21"/>
              </w:rPr>
              <w:t>变更</w:t>
            </w:r>
            <w:r>
              <w:rPr>
                <w:rFonts w:hint="eastAsia" w:ascii="宋体" w:hAnsi="宋体"/>
                <w:sz w:val="18"/>
                <w:szCs w:val="21"/>
              </w:rPr>
              <w:t>手续。）</w:t>
            </w:r>
          </w:p>
          <w:p>
            <w:pPr>
              <w:adjustRightInd w:val="0"/>
              <w:snapToGrid w:val="0"/>
              <w:ind w:firstLine="630" w:firstLineChars="300"/>
              <w:rPr>
                <w:rFonts w:ascii="宋体" w:hAnsi="宋体"/>
                <w:szCs w:val="21"/>
              </w:rPr>
            </w:pPr>
          </w:p>
          <w:p>
            <w:pPr>
              <w:adjustRightInd w:val="0"/>
              <w:snapToGrid w:val="0"/>
              <w:ind w:firstLine="2625" w:firstLineChars="1250"/>
              <w:rPr>
                <w:rFonts w:ascii="宋体" w:hAnsi="宋体"/>
                <w:szCs w:val="21"/>
              </w:rPr>
            </w:pPr>
          </w:p>
          <w:p>
            <w:pPr>
              <w:adjustRightInd w:val="0"/>
              <w:snapToGrid w:val="0"/>
              <w:jc w:val="left"/>
              <w:rPr>
                <w:rFonts w:ascii="宋体" w:hAnsi="宋体"/>
                <w:szCs w:val="21"/>
              </w:rPr>
            </w:pPr>
            <w:r>
              <w:rPr>
                <w:rFonts w:hint="eastAsia" w:ascii="宋体" w:hAnsi="宋体"/>
                <w:szCs w:val="21"/>
              </w:rPr>
              <w:t xml:space="preserve">      </w:t>
            </w:r>
            <w:r>
              <w:rPr>
                <w:rFonts w:ascii="宋体" w:hAnsi="宋体"/>
                <w:szCs w:val="21"/>
              </w:rPr>
              <w:t xml:space="preserve">签订日期：    </w:t>
            </w: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rPr>
            </w:pPr>
            <w:r>
              <w:rPr>
                <w:rFonts w:hint="eastAsia" w:ascii="宋体" w:hAnsi="宋体"/>
                <w:szCs w:val="21"/>
              </w:rPr>
              <w:t xml:space="preserve">     经办：                              复核: </w:t>
            </w:r>
          </w:p>
        </w:tc>
      </w:tr>
    </w:tbl>
    <w:p>
      <w:pPr>
        <w:spacing w:line="440" w:lineRule="exact"/>
        <w:ind w:right="-82"/>
        <w:jc w:val="center"/>
        <w:rPr>
          <w:rFonts w:ascii="黑体" w:hAnsi="宋体" w:eastAsia="黑体"/>
          <w:b/>
          <w:sz w:val="24"/>
          <w:szCs w:val="24"/>
        </w:rPr>
      </w:pPr>
      <w:r>
        <w:rPr>
          <w:rFonts w:ascii="宋体" w:hAnsi="宋体"/>
          <w:sz w:val="15"/>
          <w:szCs w:val="15"/>
        </w:rPr>
        <w:br w:type="page"/>
      </w:r>
      <w:r>
        <w:rPr>
          <w:rFonts w:hint="eastAsia" w:ascii="黑体" w:hAnsi="宋体" w:eastAsia="黑体"/>
          <w:b/>
          <w:sz w:val="24"/>
          <w:szCs w:val="24"/>
        </w:rPr>
        <w:t>理财产品销售协议条款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rPr>
        <w:t>资金</w:t>
      </w:r>
      <w:r>
        <w:rPr>
          <w:rFonts w:hint="eastAsia" w:ascii="黑体" w:hAnsi="宋体" w:eastAsia="黑体"/>
          <w:b/>
          <w:sz w:val="15"/>
          <w:szCs w:val="15"/>
        </w:rPr>
        <w:t>的产品。</w:t>
      </w:r>
      <w:r>
        <w:rPr>
          <w:rFonts w:hint="eastAsia" w:ascii="黑体" w:hAnsi="宋体" w:eastAsia="黑体"/>
          <w:sz w:val="15"/>
          <w:szCs w:val="15"/>
        </w:rPr>
        <w:t>理财资金账户：指客户在银行开立的用于完成理财合同项下交易的活期账户。理财</w:t>
      </w:r>
      <w:r>
        <w:rPr>
          <w:rFonts w:ascii="黑体" w:hAnsi="宋体" w:eastAsia="黑体"/>
          <w:sz w:val="15"/>
          <w:szCs w:val="15"/>
        </w:rPr>
        <w:t>产品销售协议书：</w:t>
      </w:r>
      <w:r>
        <w:rPr>
          <w:rFonts w:hint="eastAsia" w:ascii="黑体" w:hAnsi="宋体" w:eastAsia="黑体"/>
          <w:sz w:val="15"/>
          <w:szCs w:val="15"/>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二、协议的构成和效力。</w:t>
      </w:r>
      <w:r>
        <w:rPr>
          <w:rFonts w:hint="eastAsia" w:ascii="黑体" w:hAnsi="宋体" w:eastAsia="黑体"/>
          <w:sz w:val="15"/>
          <w:szCs w:val="15"/>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根据相关法律</w:t>
      </w:r>
      <w:r>
        <w:rPr>
          <w:rFonts w:ascii="黑体" w:hAnsi="宋体" w:eastAsia="黑体"/>
          <w:b/>
          <w:sz w:val="15"/>
          <w:szCs w:val="15"/>
        </w:rPr>
        <w:t>、法规规定及监管部门要求，银行在</w:t>
      </w:r>
      <w:r>
        <w:rPr>
          <w:rFonts w:hint="eastAsia" w:ascii="黑体" w:hAnsi="宋体" w:eastAsia="黑体"/>
          <w:b/>
          <w:sz w:val="15"/>
          <w:szCs w:val="15"/>
        </w:rPr>
        <w:t>向</w:t>
      </w:r>
      <w:r>
        <w:rPr>
          <w:rFonts w:ascii="黑体" w:hAnsi="宋体" w:eastAsia="黑体"/>
          <w:b/>
          <w:sz w:val="15"/>
          <w:szCs w:val="15"/>
        </w:rPr>
        <w:t>客户销售理财产品时，会对产品销售过程</w:t>
      </w:r>
      <w:r>
        <w:rPr>
          <w:rFonts w:hint="eastAsia" w:ascii="黑体" w:hAnsi="宋体" w:eastAsia="黑体"/>
          <w:b/>
          <w:sz w:val="15"/>
          <w:szCs w:val="15"/>
        </w:rPr>
        <w:t>以及</w:t>
      </w:r>
      <w:r>
        <w:rPr>
          <w:rFonts w:ascii="黑体" w:hAnsi="宋体" w:eastAsia="黑体"/>
          <w:b/>
          <w:sz w:val="15"/>
          <w:szCs w:val="15"/>
        </w:rPr>
        <w:t>销售记录进行客观审慎的记录；其中，客户通过银行营业网点销售专区购买</w:t>
      </w:r>
      <w:r>
        <w:rPr>
          <w:rFonts w:hint="eastAsia" w:ascii="黑体" w:hAnsi="宋体" w:eastAsia="黑体"/>
          <w:b/>
          <w:sz w:val="15"/>
          <w:szCs w:val="15"/>
        </w:rPr>
        <w:t>理财</w:t>
      </w:r>
      <w:r>
        <w:rPr>
          <w:rFonts w:ascii="黑体" w:hAnsi="宋体" w:eastAsia="黑体"/>
          <w:b/>
          <w:sz w:val="15"/>
          <w:szCs w:val="15"/>
        </w:rPr>
        <w:t>产品的，即授权银行对销售行为进行</w:t>
      </w:r>
      <w:r>
        <w:rPr>
          <w:rFonts w:hint="eastAsia" w:ascii="黑体" w:hAnsi="宋体" w:eastAsia="黑体"/>
          <w:b/>
          <w:sz w:val="15"/>
          <w:szCs w:val="15"/>
        </w:rPr>
        <w:t>音像</w:t>
      </w:r>
      <w:r>
        <w:rPr>
          <w:rFonts w:ascii="黑体" w:hAnsi="宋体" w:eastAsia="黑体"/>
          <w:b/>
          <w:sz w:val="15"/>
          <w:szCs w:val="15"/>
        </w:rPr>
        <w:t>采集。</w:t>
      </w:r>
      <w:r>
        <w:rPr>
          <w:rFonts w:hint="eastAsia" w:ascii="黑体" w:hAnsi="宋体" w:eastAsia="黑体"/>
          <w:b/>
          <w:sz w:val="15"/>
          <w:szCs w:val="15"/>
        </w:rPr>
        <w:t>客户通过</w:t>
      </w:r>
      <w:r>
        <w:rPr>
          <w:rFonts w:ascii="黑体" w:hAnsi="宋体" w:eastAsia="黑体"/>
          <w:b/>
          <w:sz w:val="15"/>
          <w:szCs w:val="15"/>
        </w:rPr>
        <w:t>电子渠道（</w:t>
      </w:r>
      <w:r>
        <w:rPr>
          <w:rFonts w:hint="eastAsia" w:ascii="黑体" w:hAnsi="宋体" w:eastAsia="黑体"/>
          <w:b/>
          <w:sz w:val="15"/>
          <w:szCs w:val="15"/>
        </w:rPr>
        <w:t>含</w:t>
      </w:r>
      <w:r>
        <w:rPr>
          <w:rFonts w:ascii="黑体" w:hAnsi="宋体" w:eastAsia="黑体"/>
          <w:b/>
          <w:sz w:val="15"/>
          <w:szCs w:val="15"/>
        </w:rPr>
        <w:t>自助终端渠道）</w:t>
      </w:r>
      <w:r>
        <w:rPr>
          <w:rFonts w:hint="eastAsia" w:ascii="黑体" w:hAnsi="宋体" w:eastAsia="黑体"/>
          <w:b/>
          <w:sz w:val="15"/>
          <w:szCs w:val="15"/>
        </w:rPr>
        <w:t>购买</w:t>
      </w:r>
      <w:r>
        <w:rPr>
          <w:rFonts w:ascii="黑体" w:hAnsi="宋体" w:eastAsia="黑体"/>
          <w:b/>
          <w:sz w:val="15"/>
          <w:szCs w:val="15"/>
        </w:rPr>
        <w:t>银行销售的理财</w:t>
      </w:r>
      <w:r>
        <w:rPr>
          <w:rFonts w:hint="eastAsia" w:ascii="黑体" w:hAnsi="宋体" w:eastAsia="黑体"/>
          <w:b/>
          <w:sz w:val="15"/>
          <w:szCs w:val="15"/>
        </w:rPr>
        <w:t>产品</w:t>
      </w:r>
      <w:r>
        <w:rPr>
          <w:rFonts w:ascii="黑体" w:hAnsi="宋体" w:eastAsia="黑体"/>
          <w:b/>
          <w:sz w:val="15"/>
          <w:szCs w:val="15"/>
        </w:rPr>
        <w:t>的，即</w:t>
      </w:r>
      <w:r>
        <w:rPr>
          <w:rFonts w:hint="eastAsia" w:ascii="黑体" w:hAnsi="宋体" w:eastAsia="黑体"/>
          <w:b/>
          <w:sz w:val="15"/>
          <w:szCs w:val="15"/>
        </w:rPr>
        <w:t>客户</w:t>
      </w:r>
      <w:r>
        <w:rPr>
          <w:rFonts w:ascii="黑体" w:hAnsi="宋体" w:eastAsia="黑体"/>
          <w:b/>
          <w:sz w:val="15"/>
          <w:szCs w:val="15"/>
        </w:rPr>
        <w:t>授权银行完整客观记录营销推介、产品风险和相关提示、确认和反馈</w:t>
      </w:r>
      <w:r>
        <w:rPr>
          <w:rFonts w:hint="eastAsia" w:ascii="黑体" w:hAnsi="宋体" w:eastAsia="黑体"/>
          <w:b/>
          <w:sz w:val="15"/>
          <w:szCs w:val="15"/>
        </w:rPr>
        <w:t>等</w:t>
      </w:r>
      <w:r>
        <w:rPr>
          <w:rFonts w:ascii="黑体" w:hAnsi="宋体" w:eastAsia="黑体"/>
          <w:b/>
          <w:sz w:val="15"/>
          <w:szCs w:val="15"/>
        </w:rPr>
        <w:t>重点销售环节，用于回溯检查和核查取证用途</w:t>
      </w:r>
      <w:r>
        <w:rPr>
          <w:rFonts w:hint="eastAsia" w:ascii="黑体" w:hAnsi="宋体" w:eastAsia="黑体"/>
          <w:b/>
          <w:sz w:val="15"/>
          <w:szCs w:val="15"/>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客户</w:t>
      </w:r>
      <w:r>
        <w:rPr>
          <w:rFonts w:ascii="黑体" w:hAnsi="宋体" w:eastAsia="黑体"/>
          <w:b/>
          <w:sz w:val="15"/>
          <w:szCs w:val="15"/>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rPr>
        <w:t>客户</w:t>
      </w:r>
      <w:r>
        <w:rPr>
          <w:rFonts w:ascii="黑体" w:hAnsi="宋体" w:eastAsia="黑体"/>
          <w:b/>
          <w:sz w:val="15"/>
          <w:szCs w:val="15"/>
        </w:rPr>
        <w:t>在银行营业网点销售专区内购买</w:t>
      </w:r>
      <w:r>
        <w:rPr>
          <w:rFonts w:hint="eastAsia" w:ascii="黑体" w:hAnsi="宋体" w:eastAsia="黑体"/>
          <w:b/>
          <w:sz w:val="15"/>
          <w:szCs w:val="15"/>
        </w:rPr>
        <w:t>理财</w:t>
      </w:r>
      <w:r>
        <w:rPr>
          <w:rFonts w:ascii="黑体" w:hAnsi="宋体" w:eastAsia="黑体"/>
          <w:b/>
          <w:sz w:val="15"/>
          <w:szCs w:val="15"/>
        </w:rPr>
        <w:t>产品的录音录像、电子渠道（</w:t>
      </w:r>
      <w:r>
        <w:rPr>
          <w:rFonts w:hint="eastAsia" w:ascii="黑体" w:hAnsi="宋体" w:eastAsia="黑体"/>
          <w:b/>
          <w:sz w:val="15"/>
          <w:szCs w:val="15"/>
        </w:rPr>
        <w:t>含自助</w:t>
      </w:r>
      <w:r>
        <w:rPr>
          <w:rFonts w:ascii="黑体" w:hAnsi="宋体" w:eastAsia="黑体"/>
          <w:b/>
          <w:sz w:val="15"/>
          <w:szCs w:val="15"/>
        </w:rPr>
        <w:t>终端渠道）</w:t>
      </w:r>
      <w:r>
        <w:rPr>
          <w:rFonts w:hint="eastAsia" w:ascii="黑体" w:hAnsi="宋体" w:eastAsia="黑体"/>
          <w:b/>
          <w:sz w:val="15"/>
          <w:szCs w:val="15"/>
        </w:rPr>
        <w:t>重点</w:t>
      </w:r>
      <w:r>
        <w:rPr>
          <w:rFonts w:ascii="黑体" w:hAnsi="宋体" w:eastAsia="黑体"/>
          <w:b/>
          <w:sz w:val="15"/>
          <w:szCs w:val="15"/>
        </w:rPr>
        <w:t>销售记录、交易凭证</w:t>
      </w:r>
      <w:r>
        <w:rPr>
          <w:rFonts w:hint="eastAsia" w:ascii="黑体" w:hAnsi="宋体" w:eastAsia="黑体"/>
          <w:b/>
          <w:sz w:val="15"/>
          <w:szCs w:val="15"/>
        </w:rPr>
        <w:t>影像</w:t>
      </w:r>
      <w:r>
        <w:rPr>
          <w:rFonts w:ascii="黑体" w:hAnsi="宋体" w:eastAsia="黑体"/>
          <w:b/>
          <w:sz w:val="15"/>
          <w:szCs w:val="15"/>
        </w:rPr>
        <w:t>、交易明细数据等资料</w:t>
      </w:r>
      <w:r>
        <w:rPr>
          <w:rFonts w:hint="eastAsia" w:ascii="黑体" w:hAnsi="宋体" w:eastAsia="黑体"/>
          <w:b/>
          <w:sz w:val="15"/>
          <w:szCs w:val="15"/>
        </w:rPr>
        <w:t>传递至</w:t>
      </w:r>
      <w:r>
        <w:rPr>
          <w:rFonts w:ascii="黑体" w:hAnsi="宋体" w:eastAsia="黑体"/>
          <w:b/>
          <w:sz w:val="15"/>
          <w:szCs w:val="15"/>
        </w:rPr>
        <w:t>监管机构、理财产品登记机构</w:t>
      </w:r>
      <w:r>
        <w:rPr>
          <w:rFonts w:hint="eastAsia" w:ascii="黑体" w:hAnsi="宋体" w:eastAsia="黑体"/>
          <w:b/>
          <w:sz w:val="15"/>
          <w:szCs w:val="15"/>
        </w:rPr>
        <w:t>。</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四、理财产品的认购。</w:t>
      </w:r>
      <w:r>
        <w:rPr>
          <w:rFonts w:hint="eastAsia" w:ascii="黑体" w:hAnsi="宋体" w:eastAsia="黑体"/>
          <w:sz w:val="15"/>
          <w:szCs w:val="15"/>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rPr>
        <w:t>客户投资本</w:t>
      </w:r>
      <w:r>
        <w:rPr>
          <w:rFonts w:ascii="黑体" w:hAnsi="宋体" w:eastAsia="黑体"/>
          <w:b/>
          <w:sz w:val="15"/>
          <w:szCs w:val="15"/>
        </w:rPr>
        <w:t>理财产品并签署</w:t>
      </w:r>
      <w:r>
        <w:rPr>
          <w:rFonts w:hint="eastAsia" w:ascii="黑体" w:hAnsi="宋体" w:eastAsia="黑体"/>
          <w:b/>
          <w:sz w:val="15"/>
          <w:szCs w:val="15"/>
        </w:rPr>
        <w:t>本协议后</w:t>
      </w:r>
      <w:r>
        <w:rPr>
          <w:rFonts w:ascii="黑体" w:hAnsi="宋体" w:eastAsia="黑体"/>
          <w:b/>
          <w:sz w:val="15"/>
          <w:szCs w:val="15"/>
        </w:rPr>
        <w:t>，</w:t>
      </w:r>
      <w:r>
        <w:rPr>
          <w:rFonts w:hint="eastAsia" w:ascii="黑体" w:hAnsi="宋体" w:eastAsia="黑体"/>
          <w:b/>
          <w:sz w:val="15"/>
          <w:szCs w:val="15"/>
        </w:rPr>
        <w:t>即</w:t>
      </w:r>
      <w:r>
        <w:rPr>
          <w:rFonts w:ascii="黑体" w:hAnsi="宋体" w:eastAsia="黑体"/>
          <w:b/>
          <w:sz w:val="15"/>
          <w:szCs w:val="15"/>
        </w:rPr>
        <w:t>授权银行</w:t>
      </w:r>
      <w:r>
        <w:rPr>
          <w:rFonts w:hint="eastAsia" w:ascii="黑体" w:hAnsi="宋体" w:eastAsia="黑体"/>
          <w:b/>
          <w:sz w:val="15"/>
          <w:szCs w:val="15"/>
        </w:rPr>
        <w:t>在</w:t>
      </w:r>
      <w:r>
        <w:rPr>
          <w:rFonts w:ascii="黑体" w:hAnsi="宋体" w:eastAsia="黑体"/>
          <w:b/>
          <w:sz w:val="15"/>
          <w:szCs w:val="15"/>
        </w:rPr>
        <w:t>客户理财资金</w:t>
      </w:r>
      <w:r>
        <w:rPr>
          <w:rFonts w:hint="eastAsia" w:ascii="黑体" w:hAnsi="宋体" w:eastAsia="黑体"/>
          <w:b/>
          <w:sz w:val="15"/>
          <w:szCs w:val="15"/>
        </w:rPr>
        <w:t>账户</w:t>
      </w:r>
      <w:r>
        <w:rPr>
          <w:rFonts w:ascii="黑体" w:hAnsi="宋体" w:eastAsia="黑体"/>
          <w:b/>
          <w:sz w:val="15"/>
          <w:szCs w:val="15"/>
        </w:rPr>
        <w:t>中</w:t>
      </w:r>
      <w:r>
        <w:rPr>
          <w:rFonts w:hint="eastAsia" w:ascii="黑体" w:hAnsi="宋体" w:eastAsia="黑体"/>
          <w:b/>
          <w:sz w:val="15"/>
          <w:szCs w:val="15"/>
        </w:rPr>
        <w:t>扣划客户</w:t>
      </w:r>
      <w:r>
        <w:rPr>
          <w:rFonts w:ascii="黑体" w:hAnsi="宋体" w:eastAsia="黑体"/>
          <w:b/>
          <w:sz w:val="15"/>
          <w:szCs w:val="15"/>
        </w:rPr>
        <w:t>本协议项下</w:t>
      </w:r>
      <w:r>
        <w:rPr>
          <w:rFonts w:hint="eastAsia" w:ascii="黑体" w:hAnsi="宋体" w:eastAsia="黑体"/>
          <w:b/>
          <w:sz w:val="15"/>
          <w:szCs w:val="15"/>
        </w:rPr>
        <w:t>的</w:t>
      </w:r>
      <w:r>
        <w:rPr>
          <w:rFonts w:ascii="黑体" w:hAnsi="宋体" w:eastAsia="黑体"/>
          <w:b/>
          <w:sz w:val="15"/>
          <w:szCs w:val="15"/>
        </w:rPr>
        <w:t>理财款项</w:t>
      </w:r>
      <w:r>
        <w:rPr>
          <w:rFonts w:hint="eastAsia" w:ascii="黑体" w:hAnsi="宋体" w:eastAsia="黑体"/>
          <w:b/>
          <w:sz w:val="15"/>
          <w:szCs w:val="15"/>
        </w:rPr>
        <w:t>，</w:t>
      </w:r>
      <w:r>
        <w:rPr>
          <w:rFonts w:ascii="黑体" w:hAnsi="宋体" w:eastAsia="黑体"/>
          <w:b/>
          <w:sz w:val="15"/>
          <w:szCs w:val="15"/>
        </w:rPr>
        <w:t>银行划款</w:t>
      </w:r>
      <w:r>
        <w:rPr>
          <w:rFonts w:hint="eastAsia" w:ascii="黑体" w:hAnsi="宋体" w:eastAsia="黑体"/>
          <w:b/>
          <w:sz w:val="15"/>
          <w:szCs w:val="15"/>
        </w:rPr>
        <w:t>前</w:t>
      </w:r>
      <w:r>
        <w:rPr>
          <w:rFonts w:ascii="黑体" w:hAnsi="宋体" w:eastAsia="黑体"/>
          <w:b/>
          <w:sz w:val="15"/>
          <w:szCs w:val="15"/>
        </w:rPr>
        <w:t>无需</w:t>
      </w:r>
      <w:r>
        <w:rPr>
          <w:rFonts w:hint="eastAsia" w:ascii="黑体" w:hAnsi="宋体" w:eastAsia="黑体"/>
          <w:b/>
          <w:sz w:val="15"/>
          <w:szCs w:val="15"/>
        </w:rPr>
        <w:t>再同</w:t>
      </w:r>
      <w:r>
        <w:rPr>
          <w:rFonts w:ascii="黑体" w:hAnsi="宋体" w:eastAsia="黑体"/>
          <w:b/>
          <w:sz w:val="15"/>
          <w:szCs w:val="15"/>
        </w:rPr>
        <w:t>客户进行确认。</w:t>
      </w:r>
      <w:r>
        <w:rPr>
          <w:rFonts w:hint="eastAsia" w:ascii="黑体" w:hAnsi="宋体" w:eastAsia="黑体"/>
          <w:b/>
          <w:sz w:val="15"/>
          <w:szCs w:val="15"/>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五、理财产品的起息。</w:t>
      </w:r>
      <w:r>
        <w:rPr>
          <w:rFonts w:hint="eastAsia" w:ascii="黑体" w:hAnsi="宋体" w:eastAsia="黑体"/>
          <w:sz w:val="15"/>
          <w:szCs w:val="15"/>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七、理财产品申购和赎回。银行根据各款理财产品的投资管理需要决定是否受理客户的申购和赎回。</w:t>
      </w:r>
      <w:r>
        <w:rPr>
          <w:rFonts w:hint="eastAsia" w:ascii="黑体" w:hAnsi="宋体" w:eastAsia="黑体"/>
          <w:sz w:val="15"/>
          <w:szCs w:val="15"/>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1</w:t>
      </w:r>
      <w:r>
        <w:rPr>
          <w:rFonts w:hint="eastAsia" w:ascii="黑体" w:hAnsi="宋体" w:eastAsia="黑体"/>
          <w:b/>
          <w:sz w:val="15"/>
          <w:szCs w:val="15"/>
        </w:rPr>
        <w:t>.</w:t>
      </w:r>
      <w:r>
        <w:rPr>
          <w:rFonts w:ascii="黑体" w:hAnsi="宋体" w:eastAsia="黑体"/>
          <w:b/>
          <w:sz w:val="15"/>
          <w:szCs w:val="15"/>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因不可抗力原因导致理财产品无法继续运作；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因</w:t>
      </w:r>
      <w:r>
        <w:rPr>
          <w:rFonts w:hint="eastAsia" w:ascii="黑体" w:hAnsi="宋体" w:eastAsia="黑体"/>
          <w:b/>
          <w:sz w:val="15"/>
          <w:szCs w:val="15"/>
        </w:rPr>
        <w:t>客户</w:t>
      </w:r>
      <w:r>
        <w:rPr>
          <w:rFonts w:ascii="黑体" w:hAnsi="宋体" w:eastAsia="黑体"/>
          <w:b/>
          <w:sz w:val="15"/>
          <w:szCs w:val="15"/>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6</w:t>
      </w:r>
      <w:r>
        <w:rPr>
          <w:rFonts w:hint="eastAsia" w:ascii="黑体" w:hAnsi="宋体" w:eastAsia="黑体"/>
          <w:b/>
          <w:sz w:val="15"/>
          <w:szCs w:val="15"/>
        </w:rPr>
        <w:t>.</w:t>
      </w:r>
      <w:r>
        <w:rPr>
          <w:rFonts w:ascii="黑体" w:hAnsi="宋体" w:eastAsia="黑体"/>
          <w:b/>
          <w:sz w:val="15"/>
          <w:szCs w:val="15"/>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7</w:t>
      </w:r>
      <w:r>
        <w:rPr>
          <w:rFonts w:hint="eastAsia" w:ascii="黑体" w:hAnsi="宋体" w:eastAsia="黑体"/>
          <w:b/>
          <w:sz w:val="15"/>
          <w:szCs w:val="15"/>
        </w:rPr>
        <w:t>.</w:t>
      </w:r>
      <w:r>
        <w:rPr>
          <w:rFonts w:ascii="黑体" w:hAnsi="宋体" w:eastAsia="黑体"/>
          <w:b/>
          <w:sz w:val="15"/>
          <w:szCs w:val="15"/>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8.法律法规规定或监管部门认定的其他情形。</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十、资金清算和收益分配。</w:t>
      </w:r>
      <w:r>
        <w:rPr>
          <w:rFonts w:hint="eastAsia" w:ascii="黑体" w:hAnsi="宋体" w:eastAsia="黑体"/>
          <w:sz w:val="15"/>
          <w:szCs w:val="15"/>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十二、税收处理。</w:t>
      </w:r>
      <w:r>
        <w:rPr>
          <w:rFonts w:hint="eastAsia" w:ascii="黑体" w:hAnsi="宋体" w:eastAsia="黑体"/>
          <w:sz w:val="15"/>
          <w:szCs w:val="15"/>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十三、信息披露。</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十五、其他约定。</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客户因投资理财产品与银行及分支机构发生争议的，由双方协商解决；协商不成，以诉讼方式解决，由协议书上所载的</w:t>
      </w:r>
      <w:r>
        <w:rPr>
          <w:rFonts w:hint="eastAsia" w:ascii="黑体" w:hAnsi="宋体" w:eastAsia="黑体"/>
          <w:b/>
          <w:sz w:val="15"/>
          <w:szCs w:val="15"/>
        </w:rPr>
        <w:t>银行</w:t>
      </w:r>
      <w:r>
        <w:rPr>
          <w:rFonts w:ascii="黑体" w:hAnsi="宋体" w:eastAsia="黑体"/>
          <w:b/>
          <w:sz w:val="15"/>
          <w:szCs w:val="15"/>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6.其他需补充的条款。</w:t>
      </w:r>
    </w:p>
    <w:p>
      <w:pPr>
        <w:adjustRightInd w:val="0"/>
        <w:snapToGrid w:val="0"/>
        <w:spacing w:line="170" w:lineRule="exact"/>
        <w:ind w:firstLine="301" w:firstLineChars="200"/>
        <w:rPr>
          <w:rFonts w:hint="eastAsia" w:ascii="黑体" w:hAnsi="宋体" w:eastAsia="黑体"/>
          <w:b/>
          <w:sz w:val="15"/>
          <w:szCs w:val="15"/>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rPr>
      </w:pPr>
      <w:r>
        <w:rPr>
          <w:rFonts w:hint="eastAsia" w:ascii="黑体" w:hAnsi="黑体" w:eastAsia="黑体"/>
          <w:b/>
          <w:bCs/>
          <w:sz w:val="28"/>
          <w:szCs w:val="28"/>
        </w:rPr>
        <w:t>风险揭示书</w:t>
      </w:r>
    </w:p>
    <w:p>
      <w:pPr>
        <w:pStyle w:val="22"/>
        <w:jc w:val="center"/>
        <w:rPr>
          <w:b/>
          <w:szCs w:val="21"/>
        </w:rPr>
      </w:pPr>
      <w:r>
        <w:rPr>
          <w:rFonts w:hint="eastAsia"/>
          <w:b/>
          <w:szCs w:val="21"/>
        </w:rPr>
        <w:t>理财非存款、产品有风险、投资须谨慎。</w:t>
      </w:r>
    </w:p>
    <w:p>
      <w:pPr>
        <w:spacing w:line="360" w:lineRule="auto"/>
        <w:jc w:val="center"/>
        <w:rPr>
          <w:rFonts w:ascii="黑体" w:hAnsi="黑体" w:eastAsia="黑体"/>
          <w:b/>
          <w:bCs/>
          <w:sz w:val="36"/>
          <w:szCs w:val="28"/>
        </w:rPr>
      </w:pPr>
      <w:r>
        <w:rPr>
          <w:rFonts w:hint="eastAsia"/>
          <w:b/>
          <w:sz w:val="24"/>
          <w:szCs w:val="21"/>
        </w:rPr>
        <w:t>理财产品过往业绩不代表其未来表现，不等于理财产品实际收益，投资须谨慎。</w:t>
      </w:r>
    </w:p>
    <w:p>
      <w:pPr>
        <w:jc w:val="left"/>
        <w:rPr>
          <w:rFonts w:ascii="黑体" w:hAnsi="黑体" w:eastAsia="黑体"/>
          <w:bCs/>
          <w:sz w:val="18"/>
          <w:szCs w:val="18"/>
        </w:rPr>
      </w:pPr>
      <w:r>
        <w:rPr>
          <w:rFonts w:hint="eastAsia" w:ascii="黑体" w:hAnsi="黑体" w:eastAsia="黑体"/>
          <w:bCs/>
          <w:sz w:val="18"/>
          <w:szCs w:val="18"/>
        </w:rPr>
        <w:t>尊敬的客户：</w:t>
      </w:r>
    </w:p>
    <w:p>
      <w:pPr>
        <w:ind w:firstLine="360"/>
        <w:rPr>
          <w:rFonts w:ascii="黑体" w:hAnsi="黑体" w:eastAsia="黑体"/>
          <w:b/>
          <w:bCs/>
          <w:sz w:val="18"/>
          <w:szCs w:val="18"/>
        </w:rPr>
      </w:pPr>
      <w:r>
        <w:rPr>
          <w:rFonts w:ascii="黑体" w:hAnsi="黑体" w:eastAsia="黑体"/>
          <w:bCs/>
          <w:sz w:val="18"/>
          <w:szCs w:val="18"/>
        </w:rPr>
        <w:t>由于理财资金管理运用过程中，可能会面临多种风险因素</w:t>
      </w:r>
      <w:r>
        <w:rPr>
          <w:rFonts w:hint="eastAsia" w:ascii="黑体" w:hAnsi="黑体" w:eastAsia="黑体"/>
          <w:bCs/>
          <w:sz w:val="18"/>
          <w:szCs w:val="18"/>
        </w:rPr>
        <w:t>。</w:t>
      </w:r>
      <w:r>
        <w:rPr>
          <w:rFonts w:ascii="黑体" w:hAnsi="黑体" w:eastAsia="黑体"/>
          <w:bCs/>
          <w:sz w:val="18"/>
          <w:szCs w:val="18"/>
        </w:rPr>
        <w:t>因此，根据</w:t>
      </w:r>
      <w:r>
        <w:rPr>
          <w:rFonts w:hint="eastAsia" w:ascii="黑体" w:hAnsi="黑体" w:eastAsia="黑体"/>
          <w:bCs/>
          <w:sz w:val="18"/>
          <w:szCs w:val="18"/>
        </w:rPr>
        <w:t>相关法律法规、监管规定的要求，</w:t>
      </w:r>
      <w:r>
        <w:rPr>
          <w:rFonts w:ascii="黑体" w:hAnsi="黑体" w:eastAsia="黑体"/>
          <w:bCs/>
          <w:sz w:val="18"/>
          <w:szCs w:val="18"/>
        </w:rPr>
        <w:t>在您选择购买本理财计划</w:t>
      </w:r>
      <w:r>
        <w:rPr>
          <w:rFonts w:hint="eastAsia" w:ascii="黑体" w:hAnsi="黑体" w:eastAsia="黑体"/>
          <w:bCs/>
          <w:sz w:val="18"/>
          <w:szCs w:val="18"/>
        </w:rPr>
        <w:t>前，请仔细阅读对应期次的理财销售文件和以下重要内容。</w:t>
      </w:r>
      <w:r>
        <w:rPr>
          <w:rFonts w:hint="eastAsia" w:ascii="黑体" w:hAnsi="黑体" w:eastAsia="黑体"/>
          <w:b/>
          <w:bCs/>
          <w:sz w:val="18"/>
          <w:szCs w:val="18"/>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rPr>
        <w:t>您应当充分认识投资风险，谨慎投资：</w:t>
      </w:r>
    </w:p>
    <w:p>
      <w:pPr>
        <w:rPr>
          <w:rFonts w:ascii="黑体" w:hAnsi="黑体" w:eastAsia="黑体"/>
          <w:b/>
          <w:sz w:val="18"/>
          <w:szCs w:val="18"/>
        </w:rPr>
      </w:pPr>
      <w:r>
        <w:rPr>
          <w:rFonts w:ascii="黑体" w:hAnsi="黑体" w:eastAsia="黑体"/>
          <w:b/>
          <w:sz w:val="18"/>
          <w:szCs w:val="18"/>
        </w:rPr>
        <w:t>1.</w:t>
      </w:r>
      <w:r>
        <w:rPr>
          <w:rFonts w:hint="eastAsia" w:ascii="黑体" w:hAnsi="黑体" w:eastAsia="黑体"/>
          <w:b/>
          <w:sz w:val="18"/>
          <w:szCs w:val="18"/>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rPr>
      </w:pPr>
      <w:r>
        <w:rPr>
          <w:rFonts w:ascii="黑体" w:hAnsi="黑体" w:eastAsia="黑体"/>
          <w:b/>
          <w:sz w:val="18"/>
          <w:szCs w:val="18"/>
        </w:rPr>
        <w:t>2.信用风险：</w:t>
      </w:r>
      <w:r>
        <w:rPr>
          <w:rFonts w:hint="eastAsia" w:ascii="黑体" w:hAnsi="黑体" w:eastAsia="黑体"/>
          <w:b/>
          <w:sz w:val="18"/>
          <w:szCs w:val="18"/>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rPr>
      </w:pPr>
      <w:r>
        <w:rPr>
          <w:rFonts w:ascii="黑体" w:hAnsi="黑体" w:eastAsia="黑体"/>
          <w:b/>
          <w:sz w:val="18"/>
          <w:szCs w:val="18"/>
        </w:rPr>
        <w:t>3.市场风险：</w:t>
      </w:r>
      <w:r>
        <w:rPr>
          <w:rFonts w:hint="eastAsia" w:ascii="黑体" w:hAnsi="黑体" w:eastAsia="黑体"/>
          <w:b/>
          <w:sz w:val="18"/>
          <w:szCs w:val="18"/>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rPr>
        <w:t>。</w:t>
      </w:r>
    </w:p>
    <w:p>
      <w:pPr>
        <w:rPr>
          <w:rFonts w:ascii="黑体" w:hAnsi="黑体" w:eastAsia="黑体"/>
          <w:b/>
          <w:sz w:val="18"/>
          <w:szCs w:val="18"/>
        </w:rPr>
      </w:pPr>
      <w:r>
        <w:rPr>
          <w:rFonts w:ascii="黑体" w:hAnsi="黑体" w:eastAsia="黑体"/>
          <w:b/>
          <w:sz w:val="18"/>
          <w:szCs w:val="18"/>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g0JO9QAAAAFAQAA&#10;DwAAAAAAAAABACAAAAAiAAAAZHJzL2Rvd25yZXYueG1sUEsBAhQAFAAAAAgAh07iQHWDxRvkAQAA&#10;tgMAAA4AAAAAAAAAAQAgAAAAIwEAAGRycy9lMm9Eb2MueG1sUEsFBgAAAAAGAAYAWQEAAHkFAAAA&#10;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rPr>
        <w:t>4.管理风险：</w:t>
      </w:r>
      <w:r>
        <w:rPr>
          <w:rFonts w:hint="eastAsia" w:ascii="黑体" w:hAnsi="黑体" w:eastAsia="黑体"/>
          <w:b/>
          <w:sz w:val="18"/>
          <w:szCs w:val="18"/>
        </w:rPr>
        <w:t>基础资产管理方受经验、技能、判断力、执行力等方面的限制，可能对本产品的运作及管理造成一定影响，并因此影响投资收益。</w:t>
      </w:r>
    </w:p>
    <w:p>
      <w:pPr>
        <w:rPr>
          <w:rFonts w:ascii="黑体" w:hAnsi="黑体" w:eastAsia="黑体"/>
          <w:b/>
          <w:sz w:val="18"/>
          <w:szCs w:val="18"/>
        </w:rPr>
      </w:pPr>
      <w:r>
        <w:rPr>
          <w:rFonts w:hint="eastAsia" w:ascii="黑体" w:hAnsi="黑体" w:eastAsia="黑体"/>
          <w:b/>
          <w:sz w:val="18"/>
          <w:szCs w:val="18"/>
        </w:rPr>
        <w:t>5.操作风险</w:t>
      </w:r>
      <w:r>
        <w:rPr>
          <w:rFonts w:ascii="黑体" w:hAnsi="黑体" w:eastAsia="黑体"/>
          <w:b/>
          <w:sz w:val="18"/>
          <w:szCs w:val="18"/>
        </w:rPr>
        <w:t>：</w:t>
      </w:r>
      <w:r>
        <w:rPr>
          <w:rFonts w:hint="eastAsia" w:ascii="黑体" w:hAnsi="黑体" w:eastAsia="黑体"/>
          <w:b/>
          <w:sz w:val="18"/>
          <w:szCs w:val="18"/>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rPr>
      </w:pPr>
      <w:r>
        <w:rPr>
          <w:rFonts w:ascii="黑体" w:hAnsi="黑体" w:eastAsia="黑体"/>
          <w:b/>
          <w:sz w:val="18"/>
          <w:szCs w:val="18"/>
        </w:rPr>
        <w:t>6.</w:t>
      </w:r>
      <w:r>
        <w:rPr>
          <w:rFonts w:hint="eastAsia" w:ascii="黑体" w:hAnsi="黑体" w:eastAsia="黑体"/>
          <w:b/>
          <w:sz w:val="18"/>
          <w:szCs w:val="18"/>
        </w:rPr>
        <w:t>税务</w:t>
      </w:r>
      <w:r>
        <w:rPr>
          <w:rFonts w:ascii="黑体" w:hAnsi="黑体" w:eastAsia="黑体"/>
          <w:b/>
          <w:sz w:val="18"/>
          <w:szCs w:val="18"/>
        </w:rPr>
        <w:t>风险：</w:t>
      </w:r>
      <w:r>
        <w:rPr>
          <w:rFonts w:hint="eastAsia" w:ascii="黑体" w:hAnsi="黑体" w:eastAsia="黑体"/>
          <w:b/>
          <w:sz w:val="18"/>
          <w:szCs w:val="18"/>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rPr>
      </w:pPr>
      <w:r>
        <w:rPr>
          <w:rFonts w:ascii="黑体" w:hAnsi="黑体" w:eastAsia="黑体"/>
          <w:b/>
          <w:sz w:val="18"/>
          <w:szCs w:val="18"/>
        </w:rPr>
        <w:t>7.</w:t>
      </w:r>
      <w:r>
        <w:rPr>
          <w:rFonts w:hint="eastAsia" w:ascii="黑体" w:hAnsi="黑体" w:eastAsia="黑体"/>
          <w:b/>
          <w:sz w:val="18"/>
          <w:szCs w:val="18"/>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rPr>
      </w:pPr>
      <w:r>
        <w:rPr>
          <w:rFonts w:hint="eastAsia" w:ascii="黑体" w:hAnsi="黑体" w:eastAsia="黑体"/>
          <w:b/>
          <w:sz w:val="18"/>
          <w:szCs w:val="18"/>
        </w:rPr>
        <w:t>8.代销风险</w:t>
      </w:r>
      <w:r>
        <w:rPr>
          <w:rFonts w:ascii="黑体" w:hAnsi="黑体" w:eastAsia="黑体"/>
          <w:b/>
          <w:sz w:val="18"/>
          <w:szCs w:val="18"/>
        </w:rPr>
        <w:t>：</w:t>
      </w:r>
      <w:r>
        <w:rPr>
          <w:rFonts w:hint="eastAsia" w:ascii="黑体" w:hAnsi="黑体" w:eastAsia="黑体"/>
          <w:b/>
          <w:sz w:val="18"/>
          <w:szCs w:val="18"/>
        </w:rPr>
        <w:t>本理财产品通过</w:t>
      </w:r>
      <w:r>
        <w:rPr>
          <w:rFonts w:ascii="黑体" w:hAnsi="黑体" w:eastAsia="黑体"/>
          <w:b/>
          <w:sz w:val="18"/>
          <w:szCs w:val="18"/>
        </w:rPr>
        <w:t>代销</w:t>
      </w:r>
      <w:r>
        <w:rPr>
          <w:rFonts w:hint="eastAsia" w:ascii="黑体" w:hAnsi="黑体" w:eastAsia="黑体"/>
          <w:b/>
          <w:sz w:val="18"/>
          <w:szCs w:val="18"/>
        </w:rPr>
        <w:t>渠道</w:t>
      </w:r>
      <w:r>
        <w:rPr>
          <w:rFonts w:ascii="黑体" w:hAnsi="黑体" w:eastAsia="黑体"/>
          <w:b/>
          <w:sz w:val="18"/>
          <w:szCs w:val="18"/>
        </w:rPr>
        <w:t>销售，</w:t>
      </w:r>
      <w:r>
        <w:rPr>
          <w:rFonts w:hint="eastAsia" w:ascii="黑体" w:hAnsi="黑体" w:eastAsia="黑体"/>
          <w:b/>
          <w:sz w:val="18"/>
          <w:szCs w:val="18"/>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rPr>
      </w:pPr>
      <w:r>
        <w:rPr>
          <w:rFonts w:ascii="黑体" w:hAnsi="黑体" w:eastAsia="黑体"/>
          <w:b/>
          <w:sz w:val="18"/>
          <w:szCs w:val="18"/>
        </w:rPr>
        <w:t>9.</w:t>
      </w:r>
      <w:r>
        <w:rPr>
          <w:rFonts w:hint="eastAsia" w:ascii="黑体" w:hAnsi="黑体" w:eastAsia="黑体"/>
          <w:b/>
          <w:sz w:val="18"/>
          <w:szCs w:val="18"/>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rPr>
        <w:t xml:space="preserve">                                                             </w:t>
      </w:r>
    </w:p>
    <w:p>
      <w:pPr>
        <w:rPr>
          <w:rFonts w:ascii="黑体" w:hAnsi="黑体" w:eastAsia="黑体"/>
          <w:b/>
          <w:sz w:val="18"/>
          <w:szCs w:val="18"/>
        </w:rPr>
      </w:pPr>
      <w:r>
        <w:rPr>
          <w:rFonts w:ascii="黑体" w:hAnsi="黑体" w:eastAsia="黑体"/>
          <w:b/>
          <w:sz w:val="18"/>
          <w:szCs w:val="18"/>
        </w:rPr>
        <w:t>10.流动性风险：</w:t>
      </w:r>
      <w:r>
        <w:rPr>
          <w:rFonts w:hint="eastAsia" w:ascii="黑体" w:hAnsi="黑体" w:eastAsia="黑体"/>
          <w:b/>
          <w:sz w:val="18"/>
          <w:szCs w:val="18"/>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rPr>
      </w:pPr>
      <w:r>
        <w:rPr>
          <w:rFonts w:ascii="黑体" w:hAnsi="黑体" w:eastAsia="黑体"/>
          <w:b/>
          <w:sz w:val="18"/>
          <w:szCs w:val="18"/>
        </w:rPr>
        <w:t>11.信息传递风险：</w:t>
      </w:r>
      <w:r>
        <w:rPr>
          <w:rFonts w:hint="eastAsia" w:ascii="黑体" w:hAnsi="黑体" w:eastAsia="黑体"/>
          <w:b/>
          <w:sz w:val="18"/>
          <w:szCs w:val="18"/>
        </w:rPr>
        <w:t>我行将最迟在到期日后</w:t>
      </w:r>
      <w:r>
        <w:rPr>
          <w:rFonts w:ascii="黑体" w:hAnsi="黑体" w:eastAsia="黑体"/>
          <w:b/>
          <w:sz w:val="18"/>
          <w:szCs w:val="18"/>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rPr>
      </w:pPr>
      <w:r>
        <w:rPr>
          <w:rFonts w:ascii="黑体" w:hAnsi="黑体" w:eastAsia="黑体"/>
          <w:b/>
          <w:sz w:val="18"/>
          <w:szCs w:val="18"/>
        </w:rPr>
        <w:t>12</w:t>
      </w:r>
      <w:r>
        <w:rPr>
          <w:rFonts w:hint="eastAsia" w:ascii="黑体" w:hAnsi="黑体" w:eastAsia="黑体"/>
          <w:b/>
          <w:sz w:val="18"/>
          <w:szCs w:val="18"/>
        </w:rPr>
        <w:t>．产品不成立风险：如因募集规模低于说明书约定的最低规模或其他因素导致我行宣布本理财产品不成立的情形，客户将面临再投资风险。</w:t>
      </w:r>
    </w:p>
    <w:p>
      <w:pPr>
        <w:rPr>
          <w:rFonts w:ascii="黑体" w:hAnsi="黑体" w:eastAsia="黑体"/>
          <w:b/>
          <w:sz w:val="18"/>
          <w:szCs w:val="18"/>
        </w:rPr>
      </w:pPr>
      <w:r>
        <w:rPr>
          <w:rFonts w:ascii="黑体" w:hAnsi="黑体" w:eastAsia="黑体"/>
          <w:b/>
          <w:sz w:val="18"/>
          <w:szCs w:val="18"/>
        </w:rPr>
        <w:t>13.不可抗力风险：</w:t>
      </w:r>
      <w:r>
        <w:rPr>
          <w:rFonts w:hint="eastAsia" w:ascii="黑体" w:hAnsi="黑体" w:eastAsia="黑体"/>
          <w:b/>
          <w:sz w:val="18"/>
          <w:szCs w:val="18"/>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rPr>
      </w:pPr>
      <w:r>
        <w:rPr>
          <w:rFonts w:ascii="黑体" w:hAnsi="黑体" w:eastAsia="黑体"/>
          <w:b/>
          <w:sz w:val="18"/>
          <w:szCs w:val="18"/>
        </w:rPr>
        <w:t>14.最不利的投资情形：</w:t>
      </w:r>
      <w:r>
        <w:rPr>
          <w:rFonts w:hint="eastAsia" w:ascii="黑体" w:hAnsi="黑体" w:eastAsia="黑体"/>
          <w:b/>
          <w:sz w:val="18"/>
          <w:szCs w:val="18"/>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rPr>
      </w:pPr>
      <w:r>
        <w:rPr>
          <w:rFonts w:hint="eastAsia" w:ascii="黑体" w:hAnsi="黑体" w:eastAsia="黑体"/>
          <w:b/>
          <w:sz w:val="18"/>
          <w:szCs w:val="18"/>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rPr>
      </w:pPr>
      <w:r>
        <w:rPr>
          <w:rFonts w:hint="eastAsia" w:ascii="黑体" w:hAnsi="黑体" w:eastAsia="黑体"/>
          <w:sz w:val="18"/>
          <w:szCs w:val="18"/>
        </w:rPr>
        <w:t>本理财产品编号</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 xml:space="preserve">2025GW388D </w:t>
      </w:r>
      <w:r>
        <w:rPr>
          <w:rFonts w:hint="eastAsia" w:ascii="黑体" w:hAnsi="黑体" w:eastAsia="黑体"/>
          <w:sz w:val="18"/>
          <w:szCs w:val="18"/>
          <w:u w:val="single"/>
        </w:rPr>
        <w:t xml:space="preserve"> </w:t>
      </w:r>
      <w:r>
        <w:rPr>
          <w:rFonts w:hint="eastAsia" w:ascii="黑体" w:hAnsi="黑体" w:eastAsia="黑体"/>
          <w:sz w:val="18"/>
          <w:szCs w:val="18"/>
        </w:rPr>
        <w:t>，产品内部评价为</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中低</w:t>
      </w:r>
      <w:r>
        <w:rPr>
          <w:rFonts w:hint="eastAsia" w:ascii="黑体" w:hAnsi="黑体" w:eastAsia="黑体"/>
          <w:sz w:val="18"/>
          <w:szCs w:val="18"/>
          <w:u w:val="single"/>
        </w:rPr>
        <w:t xml:space="preserve"> </w:t>
      </w:r>
      <w:r>
        <w:rPr>
          <w:rFonts w:hint="eastAsia" w:ascii="黑体" w:hAnsi="黑体" w:eastAsia="黑体"/>
          <w:sz w:val="18"/>
          <w:szCs w:val="18"/>
        </w:rPr>
        <w:t>风险级别，产品期限为□最短持有期</w:t>
      </w:r>
      <w:r>
        <w:rPr>
          <w:rFonts w:ascii="黑体" w:hAnsi="黑体" w:eastAsia="黑体"/>
          <w:sz w:val="18"/>
          <w:szCs w:val="18"/>
          <w:u w:val="single"/>
        </w:rPr>
        <w:t xml:space="preserve">    </w:t>
      </w:r>
      <w:r>
        <w:rPr>
          <w:rFonts w:hint="eastAsia" w:ascii="黑体" w:hAnsi="黑体" w:eastAsia="黑体"/>
          <w:sz w:val="18"/>
          <w:szCs w:val="18"/>
        </w:rPr>
        <w:t>天型产品，</w:t>
      </w:r>
      <w:r>
        <w:rPr>
          <w:rFonts w:hint="eastAsia" w:ascii="黑体" w:hAnsi="黑体" w:eastAsia="黑体"/>
          <w:sz w:val="18"/>
          <w:szCs w:val="18"/>
        </w:rPr>
        <w:sym w:font="Wingdings 2" w:char="00A3"/>
      </w:r>
      <w:r>
        <w:rPr>
          <w:rFonts w:hint="eastAsia" w:ascii="黑体" w:hAnsi="黑体" w:eastAsia="黑体"/>
          <w:sz w:val="18"/>
          <w:szCs w:val="18"/>
        </w:rPr>
        <w:t>周期型产品以</w:t>
      </w:r>
      <w:r>
        <w:rPr>
          <w:rFonts w:hint="eastAsia" w:ascii="黑体" w:hAnsi="黑体" w:eastAsia="黑体"/>
          <w:sz w:val="18"/>
          <w:szCs w:val="18"/>
          <w:u w:val="single"/>
        </w:rPr>
        <w:t xml:space="preserve">   </w:t>
      </w:r>
      <w:r>
        <w:rPr>
          <w:rFonts w:hint="eastAsia" w:ascii="黑体" w:hAnsi="黑体" w:eastAsia="黑体"/>
          <w:sz w:val="18"/>
          <w:szCs w:val="18"/>
        </w:rPr>
        <w:t>天为周期开放，</w:t>
      </w:r>
      <w:r>
        <w:rPr>
          <w:rFonts w:hint="eastAsia" w:ascii="黑体" w:hAnsi="黑体" w:eastAsia="黑体"/>
          <w:sz w:val="18"/>
          <w:szCs w:val="18"/>
        </w:rPr>
        <w:sym w:font="Wingdings 2" w:char="0052"/>
      </w:r>
      <w:r>
        <w:rPr>
          <w:rFonts w:hint="eastAsia" w:ascii="黑体" w:hAnsi="黑体" w:eastAsia="黑体"/>
          <w:sz w:val="18"/>
          <w:szCs w:val="18"/>
        </w:rPr>
        <w:t>封闭型产品封闭期</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100</w:t>
      </w:r>
      <w:r>
        <w:rPr>
          <w:rFonts w:hint="eastAsia" w:ascii="黑体" w:hAnsi="黑体" w:eastAsia="黑体"/>
          <w:sz w:val="18"/>
          <w:szCs w:val="18"/>
        </w:rPr>
        <w:t>天，产品类型为</w:t>
      </w:r>
      <w:r>
        <w:rPr>
          <w:rFonts w:hint="eastAsia" w:ascii="黑体" w:hAnsi="黑体" w:eastAsia="黑体"/>
          <w:sz w:val="18"/>
          <w:szCs w:val="18"/>
        </w:rPr>
        <w:sym w:font="Wingdings 2" w:char="0052"/>
      </w:r>
      <w:r>
        <w:rPr>
          <w:rFonts w:hint="eastAsia" w:ascii="黑体" w:hAnsi="黑体" w:eastAsia="黑体"/>
          <w:sz w:val="18"/>
          <w:szCs w:val="18"/>
        </w:rPr>
        <w:t>固定收益类□权益类□商品及金融衍生品类</w:t>
      </w:r>
      <w:r>
        <w:rPr>
          <w:rFonts w:hint="eastAsia" w:ascii="黑体" w:hAnsi="黑体" w:eastAsia="黑体"/>
          <w:sz w:val="18"/>
          <w:szCs w:val="18"/>
        </w:rPr>
        <w:sym w:font="Wingdings 2" w:char="00A3"/>
      </w:r>
      <w:r>
        <w:rPr>
          <w:rFonts w:hint="eastAsia" w:ascii="黑体" w:hAnsi="黑体" w:eastAsia="黑体"/>
          <w:sz w:val="18"/>
          <w:szCs w:val="18"/>
        </w:rPr>
        <w:t>混合类非保本浮动收益</w:t>
      </w:r>
      <w:r>
        <w:rPr>
          <w:rFonts w:hint="eastAsia" w:ascii="黑体" w:hAnsi="黑体" w:eastAsia="黑体"/>
          <w:sz w:val="18"/>
          <w:szCs w:val="18"/>
        </w:rPr>
        <w:sym w:font="Wingdings 2" w:char="0052"/>
      </w:r>
      <w:r>
        <w:rPr>
          <w:rFonts w:hint="eastAsia" w:ascii="黑体" w:hAnsi="黑体" w:eastAsia="黑体"/>
          <w:sz w:val="18"/>
          <w:szCs w:val="18"/>
        </w:rPr>
        <w:t>封闭式</w:t>
      </w:r>
      <w:r>
        <w:rPr>
          <w:rFonts w:hint="eastAsia" w:ascii="黑体" w:hAnsi="黑体" w:eastAsia="黑体"/>
          <w:sz w:val="18"/>
          <w:szCs w:val="18"/>
        </w:rPr>
        <w:sym w:font="Wingdings 2" w:char="00A3"/>
      </w:r>
      <w:r>
        <w:rPr>
          <w:rFonts w:hint="eastAsia" w:ascii="黑体" w:hAnsi="黑体" w:eastAsia="黑体"/>
          <w:sz w:val="18"/>
          <w:szCs w:val="18"/>
        </w:rPr>
        <w:t>开放式净值型，适合□保守型</w:t>
      </w:r>
      <w:r>
        <w:rPr>
          <w:rFonts w:hint="eastAsia" w:ascii="黑体" w:hAnsi="黑体" w:eastAsia="黑体"/>
          <w:sz w:val="18"/>
          <w:szCs w:val="18"/>
        </w:rPr>
        <w:sym w:font="Wingdings 2" w:char="0052"/>
      </w:r>
      <w:r>
        <w:rPr>
          <w:rFonts w:hint="eastAsia" w:ascii="黑体" w:hAnsi="黑体" w:eastAsia="黑体"/>
          <w:sz w:val="18"/>
          <w:szCs w:val="18"/>
        </w:rPr>
        <w:t>谨慎型</w:t>
      </w:r>
      <w:r>
        <w:rPr>
          <w:rFonts w:hint="eastAsia" w:ascii="黑体" w:hAnsi="黑体" w:eastAsia="黑体"/>
          <w:sz w:val="18"/>
          <w:szCs w:val="18"/>
        </w:rPr>
        <w:sym w:font="Wingdings 2" w:char="0052"/>
      </w:r>
      <w:r>
        <w:rPr>
          <w:rFonts w:hint="eastAsia" w:ascii="黑体" w:hAnsi="黑体" w:eastAsia="黑体"/>
          <w:sz w:val="18"/>
          <w:szCs w:val="18"/>
        </w:rPr>
        <w:t>稳健型</w:t>
      </w:r>
      <w:r>
        <w:rPr>
          <w:rFonts w:hint="eastAsia" w:ascii="黑体" w:hAnsi="黑体" w:eastAsia="黑体"/>
          <w:sz w:val="18"/>
          <w:szCs w:val="18"/>
        </w:rPr>
        <w:sym w:font="Wingdings 2" w:char="0052"/>
      </w:r>
      <w:r>
        <w:rPr>
          <w:rFonts w:hint="eastAsia" w:ascii="黑体" w:hAnsi="黑体" w:eastAsia="黑体"/>
          <w:sz w:val="18"/>
          <w:szCs w:val="18"/>
        </w:rPr>
        <w:t>进取型</w:t>
      </w:r>
      <w:r>
        <w:rPr>
          <w:rFonts w:hint="eastAsia" w:ascii="黑体" w:hAnsi="黑体" w:eastAsia="黑体"/>
          <w:sz w:val="18"/>
          <w:szCs w:val="18"/>
        </w:rPr>
        <w:sym w:font="Wingdings 2" w:char="0052"/>
      </w:r>
      <w:r>
        <w:rPr>
          <w:rFonts w:hint="eastAsia" w:ascii="黑体" w:hAnsi="黑体" w:eastAsia="黑体"/>
          <w:sz w:val="18"/>
          <w:szCs w:val="18"/>
        </w:rPr>
        <w:t>激进型的客户认购。</w:t>
      </w:r>
      <w:r>
        <w:rPr>
          <w:rFonts w:ascii="黑体" w:hAnsi="黑体" w:eastAsia="黑体"/>
          <w:b/>
          <w:sz w:val="18"/>
          <w:szCs w:val="18"/>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NAaDrXAAAA&#10;BgEAAA8AAAAAAAAAAQAgAAAAIgAAAGRycy9kb3ducmV2LnhtbFBLAQIUABQAAAAIAIdO4kAOY9p5&#10;5QEAALYDAAAOAAAAAAAAAAEAIAAAACYBAABkcnMvZTJvRG9jLnhtbFBLBQYAAAAABgAGAFkBAAB9&#10;BQ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rPr>
        <w:t>客户可根据实际需求选择持续持有多个周期，</w:t>
      </w:r>
      <w:r>
        <w:rPr>
          <w:rFonts w:hint="eastAsia" w:ascii="黑体" w:hAnsi="黑体" w:eastAsia="黑体"/>
          <w:b/>
          <w:sz w:val="18"/>
          <w:szCs w:val="18"/>
        </w:rPr>
        <w:t>理财</w:t>
      </w:r>
      <w:r>
        <w:rPr>
          <w:rFonts w:ascii="黑体" w:hAnsi="黑体" w:eastAsia="黑体"/>
          <w:b/>
          <w:sz w:val="18"/>
          <w:szCs w:val="18"/>
        </w:rPr>
        <w:t>天数</w:t>
      </w:r>
      <w:r>
        <w:rPr>
          <w:rFonts w:hint="eastAsia" w:ascii="黑体" w:hAnsi="黑体" w:eastAsia="黑体"/>
          <w:b/>
          <w:sz w:val="18"/>
          <w:szCs w:val="18"/>
        </w:rPr>
        <w:t>最终</w:t>
      </w:r>
      <w:r>
        <w:rPr>
          <w:rFonts w:ascii="黑体" w:hAnsi="黑体" w:eastAsia="黑体"/>
          <w:b/>
          <w:sz w:val="18"/>
          <w:szCs w:val="18"/>
        </w:rPr>
        <w:t>以实际持有天数为准。</w:t>
      </w:r>
    </w:p>
    <w:p>
      <w:pPr>
        <w:spacing w:line="440" w:lineRule="exact"/>
        <w:rPr>
          <w:rFonts w:ascii="黑体" w:hAnsi="黑体" w:eastAsia="黑体"/>
          <w:b/>
          <w:sz w:val="18"/>
          <w:szCs w:val="18"/>
        </w:rPr>
      </w:pPr>
    </w:p>
    <w:p>
      <w:pPr>
        <w:spacing w:line="440" w:lineRule="exact"/>
        <w:rPr>
          <w:rFonts w:ascii="仿宋_GB2312" w:hAnsi="Calibri"/>
          <w:sz w:val="24"/>
          <w:szCs w:val="24"/>
          <w:u w:val="single"/>
        </w:rPr>
      </w:pPr>
      <w:r>
        <w:rPr>
          <w:rFonts w:ascii="仿宋_GB2312" w:hAnsi="Calibri"/>
          <w:sz w:val="24"/>
          <w:szCs w:val="24"/>
        </w:rPr>
        <w:t>客户投资风险承受能力评级结果（客户本人填写）：</w:t>
      </w:r>
      <w:r>
        <w:rPr>
          <w:rFonts w:ascii="仿宋_GB2312" w:hAnsi="Calibri"/>
          <w:sz w:val="24"/>
          <w:szCs w:val="24"/>
          <w:u w:val="single"/>
        </w:rPr>
        <w:t xml:space="preserve">              </w:t>
      </w:r>
    </w:p>
    <w:p>
      <w:pPr>
        <w:spacing w:line="440" w:lineRule="exact"/>
        <w:rPr>
          <w:rFonts w:ascii="黑体" w:hAnsi="黑体" w:eastAsia="黑体"/>
          <w:b/>
          <w:sz w:val="18"/>
          <w:szCs w:val="18"/>
        </w:rPr>
      </w:pPr>
      <w:r>
        <w:rPr>
          <w:rFonts w:hint="eastAsia" w:ascii="黑体" w:hAnsi="黑体" w:eastAsia="黑体"/>
          <w:b/>
          <w:sz w:val="18"/>
          <w:szCs w:val="18"/>
        </w:rPr>
        <w:t>（如影响您风险承受能力的因素发生变化，请您再次购买理财产品时主动要求我行重新进行风险承受能力评估。）</w:t>
      </w:r>
    </w:p>
    <w:p>
      <w:pPr>
        <w:spacing w:line="440" w:lineRule="exact"/>
        <w:rPr>
          <w:rFonts w:ascii="仿宋_GB2312" w:hAnsi="Calibri"/>
          <w:sz w:val="24"/>
          <w:szCs w:val="24"/>
        </w:rPr>
      </w:pPr>
      <w:r>
        <w:rPr>
          <w:rFonts w:ascii="仿宋_GB2312" w:hAnsi="Calibri"/>
          <w:sz w:val="24"/>
          <w:szCs w:val="24"/>
        </w:rPr>
        <w:t>请您抄录以下语句：</w:t>
      </w:r>
      <w:r>
        <w:rPr>
          <w:rFonts w:ascii="仿宋_GB2312" w:hAnsi="Calibri"/>
          <w:b/>
          <w:sz w:val="24"/>
          <w:szCs w:val="24"/>
        </w:rPr>
        <w:t>“本人已经阅读风险揭示，愿意承担投资风险。”</w:t>
      </w:r>
    </w:p>
    <w:p>
      <w:pPr>
        <w:spacing w:line="440" w:lineRule="exact"/>
        <w:rPr>
          <w:rFonts w:ascii="仿宋_GB2312" w:hAnsi="Calibri"/>
          <w:sz w:val="24"/>
          <w:szCs w:val="24"/>
        </w:rPr>
      </w:pPr>
    </w:p>
    <w:p>
      <w:pPr>
        <w:spacing w:line="440" w:lineRule="exact"/>
        <w:rPr>
          <w:rFonts w:ascii="仿宋_GB2312" w:hAnsi="宋体" w:cs="宋体"/>
          <w:sz w:val="28"/>
          <w:szCs w:val="28"/>
        </w:rPr>
      </w:pPr>
      <w:r>
        <w:rPr>
          <w:rFonts w:ascii="仿宋_GB2312" w:hAnsi="Calibri"/>
          <w:sz w:val="24"/>
          <w:szCs w:val="24"/>
        </w:rPr>
        <w:t>本人郑重声明：＿＿＿＿＿＿＿＿＿＿＿＿＿＿＿＿＿＿＿＿＿＿＿＿＿＿＿＿＿＿＿＿</w:t>
      </w:r>
    </w:p>
    <w:p>
      <w:pPr>
        <w:autoSpaceDE w:val="0"/>
        <w:ind w:right="1120"/>
        <w:rPr>
          <w:rFonts w:ascii="仿宋_GB2312" w:hAnsi="Calibri"/>
          <w:szCs w:val="21"/>
        </w:rPr>
      </w:pPr>
    </w:p>
    <w:p>
      <w:pPr>
        <w:autoSpaceDE w:val="0"/>
        <w:ind w:right="1120"/>
        <w:rPr>
          <w:rFonts w:ascii="仿宋_GB2312" w:hAnsi="Calibri"/>
          <w:szCs w:val="21"/>
        </w:rPr>
      </w:pPr>
      <w:r>
        <w:rPr>
          <w:rFonts w:ascii="仿宋_GB2312" w:hAnsi="Calibri"/>
          <w:szCs w:val="21"/>
        </w:rPr>
        <w:t>客户签字：                            日期：</w:t>
      </w:r>
      <w:r>
        <w:rPr>
          <w:rFonts w:hint="eastAsia" w:ascii="仿宋_GB2312" w:hAnsi="Calibri"/>
          <w:szCs w:val="21"/>
        </w:rPr>
        <w:t xml:space="preserve">  年  月  日</w:t>
      </w:r>
    </w:p>
    <w:p>
      <w:pPr>
        <w:rPr>
          <w:rFonts w:ascii="仿宋_GB2312" w:hAnsi="Calibri"/>
          <w:szCs w:val="21"/>
        </w:rPr>
      </w:pPr>
    </w:p>
    <w:p>
      <w:pPr>
        <w:rPr>
          <w:rFonts w:ascii="黑体" w:hAnsi="黑体" w:eastAsia="黑体"/>
          <w:b/>
          <w:bCs/>
          <w:sz w:val="18"/>
          <w:szCs w:val="18"/>
        </w:rPr>
      </w:pPr>
      <w:r>
        <w:rPr>
          <w:rFonts w:ascii="仿宋_GB2312" w:hAnsi="Calibri"/>
          <w:szCs w:val="21"/>
        </w:rPr>
        <w:t>银行签章：</w:t>
      </w:r>
      <w:r>
        <w:rPr>
          <w:rFonts w:hint="eastAsia" w:ascii="黑体" w:hAnsi="黑体" w:eastAsia="黑体"/>
          <w:b/>
          <w:bCs/>
          <w:sz w:val="18"/>
          <w:szCs w:val="18"/>
        </w:rPr>
        <w:t xml:space="preserve">                                </w:t>
      </w:r>
      <w:r>
        <w:rPr>
          <w:rFonts w:hint="eastAsia" w:ascii="仿宋_GB2312" w:hAnsi="Calibri"/>
          <w:szCs w:val="21"/>
        </w:rPr>
        <w:t xml:space="preserve">销售人员：     </w:t>
      </w:r>
      <w:r>
        <w:rPr>
          <w:rFonts w:hint="eastAsia" w:ascii="黑体" w:hAnsi="黑体" w:eastAsia="黑体"/>
          <w:b/>
          <w:bCs/>
          <w:sz w:val="18"/>
          <w:szCs w:val="18"/>
        </w:rPr>
        <w:t xml:space="preserve">            </w:t>
      </w:r>
    </w:p>
    <w:p>
      <w:pPr>
        <w:rPr>
          <w:rFonts w:ascii="黑体" w:hAnsi="黑体" w:eastAsia="黑体"/>
          <w:b/>
          <w:bCs/>
          <w:sz w:val="18"/>
          <w:szCs w:val="18"/>
        </w:rPr>
      </w:pPr>
    </w:p>
    <w:p>
      <w:pPr>
        <w:jc w:val="right"/>
        <w:rPr>
          <w:rFonts w:ascii="黑体" w:hAnsi="黑体" w:eastAsia="黑体"/>
          <w:b/>
          <w:bCs/>
          <w:sz w:val="18"/>
          <w:szCs w:val="18"/>
        </w:rPr>
      </w:pPr>
      <w:r>
        <w:rPr>
          <w:rFonts w:hint="eastAsia" w:ascii="黑体" w:hAnsi="黑体" w:eastAsia="黑体"/>
          <w:b/>
          <w:bCs/>
          <w:sz w:val="18"/>
          <w:szCs w:val="18"/>
        </w:rPr>
        <w:t>风险提示方：天津银行股份有限公司</w:t>
      </w: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r>
        <w:rPr>
          <w:rFonts w:hint="eastAsia" w:ascii="宋体" w:hAnsi="宋体"/>
          <w:b/>
          <w:sz w:val="24"/>
          <w:szCs w:val="24"/>
        </w:rPr>
        <w:t>客户权益须知</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尊敬的客户：</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一、客户购买理财产品的流程：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二、客户风险承受能力评估流程及评级。</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1.</w:t>
      </w:r>
      <w:r>
        <w:rPr>
          <w:rFonts w:hint="eastAsia"/>
        </w:rPr>
        <w:t xml:space="preserve"> </w:t>
      </w:r>
      <w:r>
        <w:rPr>
          <w:rFonts w:hint="eastAsia" w:ascii="黑体" w:hAnsi="宋体" w:eastAsia="黑体"/>
          <w:sz w:val="18"/>
          <w:szCs w:val="18"/>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w:t>
      </w:r>
      <w:r>
        <w:rPr>
          <w:rFonts w:hint="eastAsia"/>
        </w:rPr>
        <w:t xml:space="preserve"> </w:t>
      </w:r>
      <w:r>
        <w:rPr>
          <w:rFonts w:hint="eastAsia" w:ascii="黑体" w:hAnsi="宋体" w:eastAsia="黑体"/>
          <w:sz w:val="18"/>
          <w:szCs w:val="18"/>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rPr>
      </w:pPr>
      <w:r>
        <w:rPr>
          <w:rFonts w:hint="eastAsia" w:ascii="黑体" w:hAnsi="宋体" w:eastAsia="黑体"/>
          <w:b/>
          <w:sz w:val="18"/>
          <w:szCs w:val="18"/>
        </w:rPr>
        <w:t>3.</w:t>
      </w:r>
      <w:r>
        <w:rPr>
          <w:rFonts w:hint="eastAsia"/>
          <w:b/>
        </w:rPr>
        <w:t xml:space="preserve"> </w:t>
      </w:r>
      <w:r>
        <w:rPr>
          <w:rFonts w:hint="eastAsia" w:ascii="黑体" w:hAnsi="宋体" w:eastAsia="黑体"/>
          <w:b/>
          <w:sz w:val="18"/>
          <w:szCs w:val="18"/>
        </w:rPr>
        <w:t>根据投资者风险承受能力与理财产品风险等级相匹配的原则，您只能购买不超过自身风险承受能力的理财产品。</w:t>
      </w:r>
      <w:r>
        <w:rPr>
          <w:rFonts w:hint="eastAsia" w:ascii="黑体" w:hAnsi="宋体" w:eastAsia="黑体"/>
          <w:sz w:val="18"/>
          <w:szCs w:val="18"/>
        </w:rPr>
        <w:t>（详见下表）</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4.</w:t>
      </w:r>
      <w:r>
        <w:rPr>
          <w:rFonts w:hint="eastAsia"/>
        </w:rPr>
        <w:t xml:space="preserve"> </w:t>
      </w:r>
      <w:r>
        <w:rPr>
          <w:rFonts w:hint="eastAsia" w:ascii="黑体" w:hAnsi="宋体" w:eastAsia="黑体"/>
          <w:sz w:val="18"/>
          <w:szCs w:val="18"/>
        </w:rPr>
        <w:t>您如需购买中高风险（R4）以上理财产品，请到天津银行营业网点进行购买。</w:t>
      </w:r>
    </w:p>
    <w:p>
      <w:pPr>
        <w:adjustRightInd w:val="0"/>
        <w:snapToGrid w:val="0"/>
        <w:ind w:firstLine="360" w:firstLineChars="200"/>
        <w:rPr>
          <w:rFonts w:ascii="黑体" w:hAnsi="宋体" w:eastAsia="黑体"/>
          <w:sz w:val="18"/>
          <w:szCs w:val="18"/>
        </w:rPr>
      </w:pPr>
      <w:r>
        <w:rPr>
          <w:rFonts w:ascii="黑体" w:hAnsi="宋体" w:eastAsia="黑体"/>
          <w:sz w:val="18"/>
          <w:szCs w:val="18"/>
        </w:rPr>
        <w:t>5</w:t>
      </w:r>
      <w:r>
        <w:rPr>
          <w:rFonts w:hint="eastAsia" w:ascii="黑体" w:hAnsi="宋体" w:eastAsia="黑体"/>
          <w:sz w:val="18"/>
          <w:szCs w:val="18"/>
        </w:rPr>
        <w:t>.</w:t>
      </w:r>
      <w:r>
        <w:rPr>
          <w:rFonts w:hint="eastAsia"/>
        </w:rPr>
        <w:t xml:space="preserve"> </w:t>
      </w:r>
      <w:r>
        <w:rPr>
          <w:rFonts w:hint="eastAsia" w:ascii="黑体" w:hAnsi="宋体" w:eastAsia="黑体"/>
          <w:sz w:val="18"/>
          <w:szCs w:val="18"/>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0"/>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rPr>
            </w:pPr>
            <w:r>
              <w:rPr>
                <w:rFonts w:hint="eastAsia" w:ascii="黑体" w:hAnsi="宋体" w:eastAsia="黑体"/>
                <w:kern w:val="0"/>
                <w:sz w:val="13"/>
                <w:szCs w:val="13"/>
              </w:rPr>
              <w:t>产品风险情况</w:t>
            </w:r>
          </w:p>
          <w:p>
            <w:pPr>
              <w:adjustRightInd w:val="0"/>
              <w:snapToGrid w:val="0"/>
              <w:rPr>
                <w:rFonts w:ascii="黑体" w:hAnsi="宋体" w:eastAsia="黑体"/>
                <w:kern w:val="0"/>
                <w:sz w:val="13"/>
                <w:szCs w:val="13"/>
              </w:rPr>
            </w:pPr>
            <w:r>
              <w:rPr>
                <w:rFonts w:hint="eastAsia" w:ascii="黑体" w:hAnsi="宋体" w:eastAsia="黑体"/>
                <w:kern w:val="0"/>
                <w:sz w:val="13"/>
                <w:szCs w:val="13"/>
              </w:rPr>
              <w:t>客户</w:t>
            </w:r>
          </w:p>
          <w:p>
            <w:pPr>
              <w:adjustRightInd w:val="0"/>
              <w:snapToGrid w:val="0"/>
              <w:rPr>
                <w:rFonts w:ascii="黑体" w:hAnsi="宋体" w:eastAsia="黑体"/>
                <w:kern w:val="0"/>
                <w:sz w:val="13"/>
                <w:szCs w:val="13"/>
              </w:rPr>
            </w:pPr>
            <w:r>
              <w:rPr>
                <w:rFonts w:hint="eastAsia" w:ascii="黑体" w:hAnsi="宋体" w:eastAsia="黑体"/>
                <w:kern w:val="0"/>
                <w:sz w:val="13"/>
                <w:szCs w:val="13"/>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bl>
    <w:p>
      <w:pPr>
        <w:adjustRightInd w:val="0"/>
        <w:snapToGrid w:val="0"/>
        <w:ind w:firstLine="360" w:firstLineChars="200"/>
        <w:rPr>
          <w:rFonts w:ascii="黑体" w:hAnsi="宋体" w:eastAsia="黑体"/>
          <w:sz w:val="18"/>
          <w:szCs w:val="18"/>
        </w:rPr>
      </w:pP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三、信息披露的方式、渠道和频率。</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四、因金融</w:t>
      </w:r>
      <w:r>
        <w:rPr>
          <w:rFonts w:ascii="黑体" w:hAnsi="宋体" w:eastAsia="黑体"/>
          <w:b/>
          <w:sz w:val="18"/>
          <w:szCs w:val="18"/>
        </w:rPr>
        <w:t>产品或者服务</w:t>
      </w:r>
      <w:r>
        <w:rPr>
          <w:rFonts w:hint="eastAsia" w:ascii="黑体" w:hAnsi="宋体" w:eastAsia="黑体"/>
          <w:b/>
          <w:sz w:val="18"/>
          <w:szCs w:val="18"/>
        </w:rPr>
        <w:t>产生</w:t>
      </w:r>
      <w:r>
        <w:rPr>
          <w:rFonts w:ascii="黑体" w:hAnsi="宋体" w:eastAsia="黑体"/>
          <w:b/>
          <w:sz w:val="18"/>
          <w:szCs w:val="18"/>
        </w:rPr>
        <w:t>纠纷的处理</w:t>
      </w:r>
      <w:r>
        <w:rPr>
          <w:rFonts w:hint="eastAsia" w:ascii="黑体" w:hAnsi="宋体" w:eastAsia="黑体"/>
          <w:b/>
          <w:sz w:val="18"/>
          <w:szCs w:val="18"/>
        </w:rPr>
        <w:t>及</w:t>
      </w:r>
      <w:r>
        <w:rPr>
          <w:rFonts w:ascii="黑体" w:hAnsi="宋体" w:eastAsia="黑体"/>
          <w:b/>
          <w:sz w:val="18"/>
          <w:szCs w:val="18"/>
        </w:rPr>
        <w:t>投诉途径</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五、天津银行联络方式及其他需要向客户说明的内容</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网址：www.bankoftianjin.com</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24小时客服电话：</w:t>
      </w:r>
      <w:r>
        <w:rPr>
          <w:rFonts w:ascii="黑体" w:hAnsi="宋体" w:eastAsia="黑体"/>
          <w:sz w:val="18"/>
          <w:szCs w:val="18"/>
        </w:rPr>
        <w:t>956056</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注：销售文本均一式两联，由银行与客户分别保管。</w:t>
      </w:r>
    </w:p>
    <w:p>
      <w:pPr>
        <w:jc w:val="left"/>
        <w:rPr>
          <w:rFonts w:ascii="黑体" w:hAnsi="黑体" w:eastAsia="黑体"/>
          <w:b/>
          <w:szCs w:val="21"/>
        </w:rPr>
      </w:pPr>
    </w:p>
    <w:p>
      <w:pPr>
        <w:adjustRightInd w:val="0"/>
        <w:snapToGrid w:val="0"/>
        <w:spacing w:line="170" w:lineRule="exact"/>
        <w:ind w:firstLine="301" w:firstLineChars="200"/>
        <w:rPr>
          <w:rFonts w:hint="eastAsia" w:ascii="黑体" w:hAnsi="宋体" w:eastAsia="黑体"/>
          <w:b/>
          <w:sz w:val="15"/>
          <w:szCs w:val="15"/>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lang w:val="en-US" w:eastAsia="zh-CN"/>
        </w:rPr>
      </w:pPr>
      <w:r>
        <w:rPr>
          <w:rFonts w:hint="eastAsia" w:ascii="仿宋" w:hAnsi="仿宋" w:eastAsia="仿宋"/>
          <w:b/>
          <w:kern w:val="0"/>
          <w:sz w:val="32"/>
          <w:szCs w:val="32"/>
          <w:lang w:val="en-US" w:eastAsia="zh-CN"/>
        </w:rPr>
        <w:t>2025年港湾财富388期封闭式净值型理财产品说明书</w:t>
      </w:r>
    </w:p>
    <w:p>
      <w:pPr>
        <w:ind w:left="-178" w:leftChars="-85" w:right="-120" w:rightChars="-57"/>
        <w:jc w:val="center"/>
        <w:rPr>
          <w:rFonts w:hint="eastAsia" w:ascii="仿宋" w:hAnsi="仿宋" w:eastAsia="仿宋"/>
          <w:b/>
          <w:sz w:val="24"/>
        </w:rPr>
      </w:pPr>
      <w:r>
        <w:rPr>
          <w:rFonts w:hint="eastAsia" w:ascii="仿宋" w:hAnsi="仿宋" w:eastAsia="仿宋"/>
          <w:b/>
          <w:sz w:val="24"/>
        </w:rPr>
        <w:t>理财非存款 产品有风险 投资须谨慎</w:t>
      </w:r>
    </w:p>
    <w:tbl>
      <w:tblPr>
        <w:tblStyle w:val="9"/>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kern w:val="0"/>
                <w:sz w:val="24"/>
                <w:szCs w:val="24"/>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color w:val="000000"/>
                <w:kern w:val="0"/>
                <w:szCs w:val="21"/>
                <w:highlight w:val="none"/>
                <w:lang w:eastAsia="zh-CN"/>
              </w:rPr>
              <w:t>2025港湾财富388期-D金秋专属</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kern w:val="0"/>
                <w:szCs w:val="21"/>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u w:val="wave"/>
              </w:rPr>
            </w:pPr>
            <w:r>
              <w:rPr>
                <w:rFonts w:hint="eastAsia" w:ascii="仿宋" w:hAnsi="仿宋" w:eastAsia="仿宋"/>
                <w:kern w:val="0"/>
                <w:szCs w:val="21"/>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lang w:val="en-US"/>
              </w:rPr>
            </w:pPr>
            <w:r>
              <w:rPr>
                <w:rFonts w:hint="eastAsia" w:ascii="仿宋" w:hAnsi="仿宋" w:eastAsia="仿宋"/>
                <w:color w:val="000000"/>
                <w:kern w:val="0"/>
                <w:szCs w:val="21"/>
                <w:highlight w:val="none"/>
                <w:lang w:eastAsia="zh-CN"/>
              </w:rPr>
              <w:t>2025GW388D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bCs/>
                <w:color w:val="000000"/>
                <w:szCs w:val="21"/>
                <w:highlight w:val="yellow"/>
                <w:lang w:val="en-US"/>
              </w:rPr>
            </w:pPr>
            <w:r>
              <w:rPr>
                <w:rFonts w:hint="eastAsia" w:ascii="仿宋" w:hAnsi="仿宋" w:eastAsia="仿宋"/>
                <w:bCs/>
                <w:color w:val="000000"/>
                <w:szCs w:val="21"/>
                <w:highlight w:val="none"/>
                <w:lang w:eastAsia="zh-CN"/>
              </w:rPr>
              <w:t>C1080325000678</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eastAsia="仿宋_GB2312"/>
                <w:szCs w:val="16"/>
              </w:rPr>
              <w:t>可登陆中国理财网</w:t>
            </w:r>
            <w:r>
              <w:rPr>
                <w:rFonts w:eastAsia="仿宋_GB2312"/>
                <w:szCs w:val="16"/>
              </w:rPr>
              <w:t>www.chinawealth.com.cn</w:t>
            </w:r>
            <w:r>
              <w:rPr>
                <w:rFonts w:hint="eastAsia" w:eastAsia="仿宋_GB2312"/>
                <w:szCs w:val="16"/>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rPr>
            </w:pPr>
            <w:r>
              <w:rPr>
                <w:rFonts w:hint="eastAsia" w:ascii="仿宋" w:hAnsi="仿宋" w:eastAsia="仿宋"/>
                <w:bCs/>
                <w:color w:val="000000"/>
                <w:szCs w:val="21"/>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本产品内部评价为</w:t>
            </w:r>
            <w:r>
              <w:rPr>
                <w:rFonts w:hint="eastAsia" w:ascii="仿宋_GB2312" w:hAnsi="仿宋_GB2312" w:eastAsia="仿宋_GB2312" w:cs="仿宋_GB2312"/>
                <w:kern w:val="0"/>
                <w:sz w:val="21"/>
                <w:szCs w:val="21"/>
                <w:lang w:eastAsia="zh-CN"/>
              </w:rPr>
              <w:t>R2</w:t>
            </w: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中低</w:t>
            </w:r>
            <w:r>
              <w:rPr>
                <w:rFonts w:hint="eastAsia" w:ascii="仿宋_GB2312" w:hAnsi="仿宋_GB2312" w:eastAsia="仿宋_GB2312" w:cs="仿宋_GB2312"/>
                <w:kern w:val="0"/>
                <w:sz w:val="21"/>
                <w:szCs w:val="21"/>
              </w:rPr>
              <w:t>风险)</w:t>
            </w:r>
            <w:r>
              <w:rPr>
                <w:rFonts w:hint="eastAsia" w:ascii="仿宋_GB2312" w:hAnsi="仿宋_GB2312" w:eastAsia="仿宋_GB2312" w:cs="仿宋_GB2312"/>
                <w:kern w:val="0"/>
                <w:sz w:val="21"/>
                <w:szCs w:val="21"/>
                <w:lang w:val="en-US" w:eastAsia="zh-CN"/>
              </w:rPr>
              <w:t>级别</w:t>
            </w:r>
            <w:r>
              <w:rPr>
                <w:rFonts w:hint="eastAsia" w:ascii="仿宋_GB2312" w:hAnsi="仿宋_GB2312" w:eastAsia="仿宋_GB2312" w:cs="仿宋_GB2312"/>
                <w:kern w:val="0"/>
                <w:sz w:val="21"/>
                <w:szCs w:val="21"/>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
                <w:kern w:val="0"/>
                <w:sz w:val="21"/>
                <w:szCs w:val="21"/>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初始计划发行量</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首次认购起点金额</w:t>
            </w:r>
            <w:r>
              <w:rPr>
                <w:rFonts w:hint="eastAsia" w:ascii="仿宋_GB2312" w:hAnsi="仿宋_GB2312" w:eastAsia="仿宋_GB2312" w:cs="仿宋_GB2312"/>
                <w:bCs/>
                <w:sz w:val="21"/>
                <w:szCs w:val="21"/>
                <w:lang w:val="en-US" w:eastAsia="zh-CN"/>
              </w:rPr>
              <w:t>1万</w:t>
            </w:r>
            <w:r>
              <w:rPr>
                <w:rFonts w:hint="eastAsia" w:ascii="仿宋_GB2312" w:hAnsi="仿宋_GB2312" w:eastAsia="仿宋_GB2312" w:cs="仿宋_GB2312"/>
                <w:bCs/>
                <w:sz w:val="21"/>
                <w:szCs w:val="21"/>
              </w:rPr>
              <w:t>元，高于起点金额以</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元整数倍递增；追加投资时，追加申购金额按照</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的整数倍递增。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Cs/>
                <w:sz w:val="21"/>
                <w:szCs w:val="21"/>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highlight w:val="none"/>
                <w:lang w:eastAsia="zh-CN"/>
              </w:rPr>
              <w:t>2025年10月21日起至2025年10月27日止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highlight w:val="none"/>
                <w:lang w:eastAsia="zh-CN"/>
              </w:rPr>
              <w:t>2025年10月28日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highlight w:val="none"/>
                <w:lang w:eastAsia="zh-CN"/>
              </w:rPr>
              <w:t>2026年2月5日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highlight w:val="none"/>
                <w:lang w:val="en-US" w:eastAsia="zh-CN"/>
              </w:rPr>
              <w:t>100</w:t>
            </w:r>
            <w:r>
              <w:rPr>
                <w:rFonts w:hint="eastAsia" w:ascii="仿宋_GB2312" w:hAnsi="仿宋_GB2312" w:eastAsia="仿宋_GB2312" w:cs="仿宋_GB2312"/>
                <w:sz w:val="21"/>
                <w:szCs w:val="21"/>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产品到期日或提前终止日至理财资金返还到账日之间，最迟不超过</w:t>
            </w:r>
            <w:r>
              <w:rPr>
                <w:rFonts w:hint="eastAsia" w:ascii="仿宋_GB2312" w:hAnsi="仿宋_GB2312" w:eastAsia="仿宋_GB2312" w:cs="仿宋_GB2312"/>
                <w:bCs/>
                <w:sz w:val="21"/>
                <w:szCs w:val="21"/>
                <w:lang w:val="en-US" w:eastAsia="zh-CN"/>
              </w:rPr>
              <w:t>两</w:t>
            </w:r>
            <w:r>
              <w:rPr>
                <w:rFonts w:hint="eastAsia" w:ascii="仿宋_GB2312" w:hAnsi="仿宋_GB2312" w:eastAsia="仿宋_GB2312" w:cs="仿宋_GB2312"/>
                <w:bCs/>
                <w:sz w:val="21"/>
                <w:szCs w:val="21"/>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认购份额＝认购金额÷1</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2.本产品业绩比较基准为</w:t>
            </w:r>
            <w:r>
              <w:rPr>
                <w:rFonts w:hint="eastAsia" w:ascii="仿宋_GB2312" w:hAnsi="仿宋_GB2312" w:eastAsia="仿宋_GB2312" w:cs="仿宋_GB2312"/>
                <w:b/>
                <w:bCs w:val="0"/>
                <w:color w:val="000000"/>
                <w:sz w:val="21"/>
                <w:szCs w:val="21"/>
                <w:highlight w:val="none"/>
                <w:lang w:val="en-US" w:eastAsia="zh-CN"/>
              </w:rPr>
              <w:t>2.11%-2.61%</w:t>
            </w:r>
            <w:r>
              <w:rPr>
                <w:rFonts w:hint="eastAsia" w:ascii="仿宋_GB2312" w:hAnsi="仿宋_GB2312" w:eastAsia="仿宋_GB2312" w:cs="仿宋_GB2312"/>
                <w:b/>
                <w:bCs w:val="0"/>
                <w:color w:val="000000"/>
                <w:sz w:val="21"/>
                <w:szCs w:val="21"/>
                <w:lang w:eastAsia="zh-CN"/>
              </w:rPr>
              <w:t>（</w:t>
            </w:r>
            <w:r>
              <w:rPr>
                <w:rFonts w:hint="eastAsia" w:ascii="仿宋_GB2312" w:hAnsi="仿宋_GB2312" w:eastAsia="仿宋_GB2312" w:cs="仿宋_GB2312"/>
                <w:b/>
                <w:bCs w:val="0"/>
                <w:color w:val="000000"/>
                <w:sz w:val="21"/>
                <w:szCs w:val="21"/>
                <w:lang w:val="en-US" w:eastAsia="zh-CN"/>
              </w:rPr>
              <w:t>年化</w:t>
            </w:r>
            <w:r>
              <w:rPr>
                <w:rFonts w:hint="eastAsia" w:ascii="仿宋_GB2312" w:hAnsi="仿宋_GB2312" w:eastAsia="仿宋_GB2312" w:cs="仿宋_GB2312"/>
                <w:b/>
                <w:bCs w:val="0"/>
                <w:color w:val="000000"/>
                <w:sz w:val="21"/>
                <w:szCs w:val="21"/>
                <w:lang w:eastAsia="zh-CN"/>
              </w:rPr>
              <w:t>）</w:t>
            </w:r>
            <w:r>
              <w:rPr>
                <w:rFonts w:hint="eastAsia" w:ascii="仿宋_GB2312" w:hAnsi="仿宋_GB2312" w:eastAsia="仿宋_GB2312" w:cs="仿宋_GB2312"/>
                <w:bCs/>
                <w:color w:val="000000"/>
                <w:sz w:val="21"/>
                <w:szCs w:val="21"/>
              </w:rPr>
              <w:t>。</w:t>
            </w:r>
            <w:r>
              <w:rPr>
                <w:rFonts w:hint="eastAsia" w:ascii="仿宋_GB2312" w:hAnsi="仿宋_GB2312" w:eastAsia="仿宋_GB2312" w:cs="仿宋_GB2312"/>
                <w:b/>
                <w:bCs/>
                <w:color w:val="000000"/>
                <w:sz w:val="21"/>
                <w:szCs w:val="21"/>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color w:val="000000"/>
                <w:sz w:val="21"/>
                <w:szCs w:val="21"/>
              </w:rPr>
              <w:t>3.天津银行作为产品管理人，</w:t>
            </w:r>
            <w:r>
              <w:rPr>
                <w:rFonts w:hint="eastAsia" w:ascii="仿宋_GB2312" w:hAnsi="仿宋_GB2312" w:eastAsia="仿宋_GB2312" w:cs="仿宋_GB2312"/>
                <w:b/>
                <w:bCs/>
                <w:color w:val="000000"/>
                <w:sz w:val="21"/>
                <w:szCs w:val="21"/>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1.期间费用：销售手续费年化费率：</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，托管费年化费率</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每日销售手续费=产品本金×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lang w:val="en-US" w:eastAsia="zh-CN"/>
              </w:rPr>
              <w:t>80</w:t>
            </w:r>
            <w:r>
              <w:rPr>
                <w:rFonts w:hint="eastAsia" w:ascii="仿宋_GB2312" w:hAnsi="仿宋_GB2312" w:eastAsia="仿宋_GB2312" w:cs="仿宋_GB2312"/>
                <w:bCs/>
                <w:sz w:val="21"/>
                <w:szCs w:val="21"/>
              </w:rPr>
              <w:t>%作为产品管理人超额业绩管理费。天津银行有权根据市场情况调整超额业绩分配方案并及时公告。</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K=L*（M-N）*P/365*R</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K为产品成立日至估值日的期间超额业绩报酬；</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L为本产品总份额；</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N为超额业绩报酬计提基准；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P为产品成立日（含）至估值日（含）的期间天数；</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kern w:val="0"/>
                <w:sz w:val="21"/>
                <w:szCs w:val="21"/>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eastAsia="zh-CN"/>
              </w:rPr>
              <w:t>1.005781</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lang w:eastAsia="zh-CN"/>
              </w:rPr>
              <w:t>1.005781</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lang w:val="en-US" w:eastAsia="zh-CN"/>
              </w:rPr>
              <w:t>/100</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val="en-US" w:eastAsia="zh-CN"/>
              </w:rPr>
              <w:t>2.11</w:t>
            </w:r>
            <w:r>
              <w:rPr>
                <w:rFonts w:hint="eastAsia" w:ascii="仿宋_GB2312" w:hAnsi="仿宋_GB2312" w:eastAsia="仿宋_GB2312" w:cs="仿宋_GB2312"/>
                <w:bCs/>
                <w:sz w:val="21"/>
                <w:szCs w:val="21"/>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1.005781</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57.81</w:t>
            </w:r>
            <w:r>
              <w:rPr>
                <w:rFonts w:hint="eastAsia" w:ascii="仿宋_GB2312" w:hAnsi="仿宋_GB2312" w:eastAsia="仿宋_GB2312" w:cs="仿宋_GB2312"/>
                <w:bCs/>
                <w:sz w:val="21"/>
                <w:szCs w:val="21"/>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1.007151</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eastAsia="zh-CN"/>
              </w:rPr>
              <w:t>1.007151</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highlight w:val="none"/>
                <w:lang w:val="en-US" w:eastAsia="zh-CN"/>
              </w:rPr>
              <w:t>100</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val="en-US" w:eastAsia="zh-CN"/>
              </w:rPr>
              <w:t>2.61</w:t>
            </w:r>
            <w:r>
              <w:rPr>
                <w:rFonts w:hint="eastAsia" w:ascii="仿宋_GB2312" w:hAnsi="仿宋_GB2312" w:eastAsia="仿宋_GB2312" w:cs="仿宋_GB2312"/>
                <w:bCs/>
                <w:sz w:val="21"/>
                <w:szCs w:val="21"/>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1.007151</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71.51（</w:t>
            </w:r>
            <w:r>
              <w:rPr>
                <w:rFonts w:hint="eastAsia" w:ascii="仿宋_GB2312" w:hAnsi="仿宋_GB2312" w:eastAsia="仿宋_GB2312" w:cs="仿宋_GB2312"/>
                <w:bCs/>
                <w:sz w:val="21"/>
                <w:szCs w:val="21"/>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rPr>
            </w:pPr>
            <w:r>
              <w:rPr>
                <w:rFonts w:hint="eastAsia" w:ascii="仿宋_GB2312" w:hAnsi="仿宋_GB2312" w:eastAsia="仿宋_GB2312" w:cs="仿宋_GB2312"/>
                <w:bCs/>
                <w:color w:val="auto"/>
                <w:kern w:val="2"/>
                <w:sz w:val="21"/>
                <w:szCs w:val="21"/>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rPr>
            </w:pPr>
            <w:r>
              <w:rPr>
                <w:rFonts w:hint="eastAsia" w:ascii="仿宋_GB2312" w:hAnsi="仿宋_GB2312" w:eastAsia="仿宋_GB2312" w:cs="仿宋_GB2312"/>
                <w:b/>
                <w:bCs/>
                <w:color w:val="auto"/>
                <w:kern w:val="2"/>
                <w:sz w:val="21"/>
                <w:szCs w:val="21"/>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认购申请在实际募集结束日当天闭市后不允许撤单。闭市时间为</w:t>
            </w:r>
            <w:r>
              <w:rPr>
                <w:rFonts w:hint="eastAsia" w:ascii="仿宋_GB2312" w:hAnsi="仿宋_GB2312" w:eastAsia="仿宋_GB2312" w:cs="仿宋_GB2312"/>
                <w:b/>
                <w:bCs/>
                <w:sz w:val="21"/>
                <w:szCs w:val="21"/>
                <w:lang w:val="en-US" w:eastAsia="zh-CN"/>
              </w:rPr>
              <w:t>16:30</w:t>
            </w:r>
            <w:r>
              <w:rPr>
                <w:rFonts w:hint="eastAsia" w:ascii="仿宋_GB2312" w:hAnsi="仿宋_GB2312" w:eastAsia="仿宋_GB2312" w:cs="仿宋_GB2312"/>
                <w:b/>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销售</w:t>
            </w:r>
            <w:r>
              <w:rPr>
                <w:rFonts w:hint="eastAsia" w:ascii="仿宋_GB2312" w:hAnsi="仿宋_GB2312" w:eastAsia="仿宋_GB2312" w:cs="仿宋_GB2312"/>
                <w:b/>
                <w:bCs/>
                <w:kern w:val="0"/>
                <w:sz w:val="21"/>
                <w:szCs w:val="21"/>
                <w:lang w:val="en-US" w:eastAsia="zh-CN"/>
              </w:rPr>
              <w:t>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sz w:val="21"/>
                <w:szCs w:val="21"/>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eastAsia="zh-CN"/>
              </w:rPr>
            </w:pPr>
            <w:r>
              <w:rPr>
                <w:rFonts w:hint="eastAsia" w:ascii="仿宋_GB2312" w:hAnsi="仿宋_GB2312" w:eastAsia="仿宋_GB2312" w:cs="仿宋_GB2312"/>
                <w:sz w:val="21"/>
                <w:szCs w:val="21"/>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名称：</w:t>
            </w:r>
            <w:r>
              <w:rPr>
                <w:rFonts w:hint="eastAsia" w:ascii="仿宋_GB2312" w:hAnsi="仿宋_GB2312" w:eastAsia="仿宋_GB2312" w:cs="仿宋_GB2312"/>
                <w:bCs/>
                <w:kern w:val="0"/>
                <w:sz w:val="21"/>
                <w:szCs w:val="21"/>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地址：</w:t>
            </w:r>
            <w:r>
              <w:rPr>
                <w:rFonts w:hint="eastAsia" w:ascii="仿宋_GB2312" w:hAnsi="仿宋_GB2312" w:eastAsia="仿宋_GB2312" w:cs="仿宋_GB2312"/>
                <w:bCs/>
                <w:kern w:val="0"/>
                <w:sz w:val="21"/>
                <w:szCs w:val="21"/>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bCs/>
                <w:kern w:val="0"/>
                <w:sz w:val="21"/>
                <w:szCs w:val="21"/>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sz w:val="21"/>
                <w:szCs w:val="21"/>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kern w:val="0"/>
                <w:sz w:val="21"/>
                <w:szCs w:val="21"/>
              </w:rPr>
              <w:t>投资合作机构</w:t>
            </w:r>
            <w:r>
              <w:rPr>
                <w:rFonts w:hint="eastAsia" w:ascii="仿宋_GB2312" w:hAnsi="仿宋_GB2312" w:eastAsia="仿宋_GB2312" w:cs="仿宋_GB2312"/>
                <w:sz w:val="21"/>
                <w:szCs w:val="21"/>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sz w:val="21"/>
                <w:szCs w:val="21"/>
              </w:rPr>
              <w:t>1.本产品投资期内，客户无权提前终止本产品。</w:t>
            </w:r>
            <w:r>
              <w:rPr>
                <w:rFonts w:hint="eastAsia" w:ascii="仿宋_GB2312" w:hAnsi="仿宋_GB2312" w:eastAsia="仿宋_GB2312" w:cs="仿宋_GB2312"/>
                <w:bCs/>
                <w:sz w:val="21"/>
                <w:szCs w:val="21"/>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bCs/>
                <w:sz w:val="21"/>
                <w:szCs w:val="21"/>
              </w:rPr>
              <w:t>一旦天津银行提前终止/延期本理财产品，将提前</w:t>
            </w:r>
            <w:r>
              <w:rPr>
                <w:rFonts w:hint="eastAsia" w:ascii="仿宋_GB2312" w:hAnsi="仿宋_GB2312" w:eastAsia="仿宋_GB2312" w:cs="仿宋_GB2312"/>
                <w:bCs/>
                <w:sz w:val="21"/>
                <w:szCs w:val="21"/>
                <w:lang w:eastAsia="zh-CN"/>
              </w:rPr>
              <w:t>一</w:t>
            </w:r>
            <w:r>
              <w:rPr>
                <w:rFonts w:hint="eastAsia" w:ascii="仿宋_GB2312" w:hAnsi="仿宋_GB2312" w:eastAsia="仿宋_GB2312" w:cs="仿宋_GB2312"/>
                <w:bCs/>
                <w:sz w:val="21"/>
                <w:szCs w:val="21"/>
              </w:rPr>
              <w:t>个工作日以公告形式通知客户，并在提前终止日/延期到期日后</w:t>
            </w:r>
            <w:r>
              <w:rPr>
                <w:rFonts w:hint="eastAsia" w:ascii="仿宋_GB2312" w:hAnsi="仿宋_GB2312" w:eastAsia="仿宋_GB2312" w:cs="仿宋_GB2312"/>
                <w:bCs/>
                <w:sz w:val="21"/>
                <w:szCs w:val="21"/>
                <w:lang w:eastAsia="zh-CN"/>
              </w:rPr>
              <w:t>两</w:t>
            </w:r>
            <w:r>
              <w:rPr>
                <w:rFonts w:hint="eastAsia" w:ascii="仿宋_GB2312" w:hAnsi="仿宋_GB2312" w:eastAsia="仿宋_GB2312" w:cs="仿宋_GB2312"/>
                <w:bCs/>
                <w:sz w:val="21"/>
                <w:szCs w:val="21"/>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w:t>
            </w:r>
            <w:r>
              <w:rPr>
                <w:rFonts w:hint="eastAsia" w:ascii="仿宋_GB2312" w:hAnsi="仿宋_GB2312" w:eastAsia="仿宋_GB2312" w:cs="仿宋_GB2312"/>
                <w:b/>
                <w:sz w:val="21"/>
                <w:szCs w:val="21"/>
              </w:rPr>
              <w:t xml:space="preserve"> </w:t>
            </w:r>
            <w:r>
              <w:rPr>
                <w:rFonts w:hint="eastAsia" w:ascii="仿宋_GB2312" w:hAnsi="仿宋_GB2312" w:eastAsia="仿宋_GB2312" w:cs="仿宋_GB2312"/>
                <w:b/>
                <w:bCs/>
                <w:sz w:val="21"/>
                <w:szCs w:val="21"/>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8．客户不得利用金融产品和服务从事违法活动。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rPr>
            </w:pPr>
            <w:r>
              <w:rPr>
                <w:rFonts w:hint="eastAsia" w:ascii="仿宋_GB2312" w:hAnsi="仿宋_GB2312" w:eastAsia="仿宋_GB2312" w:cs="仿宋_GB2312"/>
                <w:b/>
                <w:sz w:val="21"/>
                <w:szCs w:val="21"/>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1.根据中国人民银行、</w:t>
            </w:r>
            <w:r>
              <w:rPr>
                <w:rFonts w:hint="eastAsia" w:ascii="仿宋_GB2312" w:hAnsi="仿宋_GB2312" w:eastAsia="仿宋_GB2312" w:cs="仿宋_GB2312"/>
                <w:b/>
                <w:sz w:val="21"/>
                <w:szCs w:val="21"/>
                <w:lang w:eastAsia="zh-CN"/>
              </w:rPr>
              <w:t>国家金融监督管理总局</w:t>
            </w:r>
            <w:r>
              <w:rPr>
                <w:rFonts w:hint="eastAsia" w:ascii="仿宋_GB2312" w:hAnsi="仿宋_GB2312" w:eastAsia="仿宋_GB2312" w:cs="仿宋_GB2312"/>
                <w:b/>
                <w:sz w:val="21"/>
                <w:szCs w:val="21"/>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lang w:val="en-US" w:eastAsia="zh-CN"/>
              </w:rPr>
              <w:t>固定收益</w:t>
            </w:r>
            <w:r>
              <w:rPr>
                <w:rFonts w:hint="eastAsia" w:ascii="仿宋_GB2312" w:hAnsi="仿宋_GB2312" w:eastAsia="仿宋_GB2312" w:cs="仿宋_GB2312"/>
                <w:b/>
                <w:sz w:val="21"/>
                <w:szCs w:val="21"/>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u w:val="single"/>
              </w:rPr>
            </w:pPr>
            <w:r>
              <w:rPr>
                <w:rFonts w:hint="eastAsia" w:ascii="仿宋_GB2312" w:hAnsi="仿宋_GB2312" w:eastAsia="仿宋_GB2312" w:cs="仿宋_GB2312"/>
                <w:sz w:val="21"/>
                <w:szCs w:val="21"/>
              </w:rPr>
              <w:t>5.</w:t>
            </w:r>
            <w:r>
              <w:rPr>
                <w:rFonts w:hint="eastAsia" w:ascii="仿宋_GB2312" w:hAnsi="仿宋_GB2312" w:eastAsia="仿宋_GB2312" w:cs="仿宋_GB2312"/>
                <w:b/>
                <w:sz w:val="21"/>
                <w:szCs w:val="21"/>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u w:val="single"/>
        </w:rPr>
      </w:pPr>
      <w:r>
        <w:rPr>
          <w:rFonts w:hint="eastAsia" w:ascii="仿宋_GB2312" w:eastAsia="仿宋_GB2312"/>
          <w:b/>
          <w:sz w:val="28"/>
          <w:szCs w:val="28"/>
        </w:rPr>
        <w:t>□本人已经充分阅读说明书内容，清楚知晓产品全部信息。客户</w:t>
      </w:r>
      <w:r>
        <w:rPr>
          <w:rFonts w:ascii="仿宋_GB2312" w:eastAsia="仿宋_GB2312"/>
          <w:b/>
          <w:sz w:val="28"/>
          <w:szCs w:val="28"/>
        </w:rPr>
        <w:t>签字：</w:t>
      </w:r>
      <w:r>
        <w:rPr>
          <w:rFonts w:hint="eastAsia" w:ascii="仿宋_GB2312" w:eastAsia="仿宋_GB2312"/>
          <w:b/>
          <w:sz w:val="28"/>
          <w:szCs w:val="28"/>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overflowPunct/>
        <w:topLinePunct w:val="0"/>
        <w:bidi w:val="0"/>
        <w:snapToGrid/>
        <w:spacing w:line="320" w:lineRule="exact"/>
        <w:textAlignment w:val="auto"/>
        <w:outlineLvl w:val="9"/>
        <w:rPr>
          <w:rFonts w:ascii="仿宋_GB2312"/>
          <w:b/>
          <w:szCs w:val="21"/>
        </w:rPr>
      </w:pPr>
      <w:r>
        <w:rPr>
          <w:rFonts w:hint="eastAsia" w:ascii="宋体" w:hAnsi="宋体"/>
          <w:b/>
          <w:szCs w:val="21"/>
        </w:rPr>
        <w:t>销售人员:                     日期:     年    月     日</w:t>
      </w:r>
    </w:p>
    <w:p>
      <w:pPr>
        <w:keepNext w:val="0"/>
        <w:keepLines w:val="0"/>
        <w:pageBreakBefore w:val="0"/>
        <w:kinsoku/>
        <w:wordWrap w:val="0"/>
        <w:overflowPunct/>
        <w:topLinePunct w:val="0"/>
        <w:bidi w:val="0"/>
        <w:snapToGrid/>
        <w:spacing w:line="320" w:lineRule="exact"/>
        <w:jc w:val="both"/>
        <w:textAlignment w:val="auto"/>
        <w:outlineLvl w:val="9"/>
        <w:rPr>
          <w:rFonts w:ascii="仿宋_GB2312"/>
          <w:b/>
          <w:szCs w:val="21"/>
        </w:rPr>
      </w:pPr>
    </w:p>
    <w:p>
      <w:pPr>
        <w:adjustRightInd w:val="0"/>
        <w:snapToGrid w:val="0"/>
        <w:spacing w:line="170" w:lineRule="exact"/>
        <w:ind w:firstLine="301" w:firstLineChars="200"/>
        <w:rPr>
          <w:rFonts w:hint="eastAsia" w:ascii="黑体" w:hAnsi="宋体" w:eastAsia="黑体"/>
          <w:b/>
          <w:sz w:val="15"/>
          <w:szCs w:val="15"/>
          <w:lang w:eastAsia="zh-CN"/>
        </w:rPr>
      </w:pPr>
      <w:bookmarkStart w:id="0" w:name="_GoBack"/>
      <w:bookmarkEnd w:id="0"/>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5"/>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6"/>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3E5F"/>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6D16553"/>
    <w:rsid w:val="0BAC4CA7"/>
    <w:rsid w:val="0C3C0EDA"/>
    <w:rsid w:val="0E063FDD"/>
    <w:rsid w:val="118D2019"/>
    <w:rsid w:val="17090146"/>
    <w:rsid w:val="1D652C67"/>
    <w:rsid w:val="1E154709"/>
    <w:rsid w:val="1ECE77D9"/>
    <w:rsid w:val="21B54D74"/>
    <w:rsid w:val="24C3005D"/>
    <w:rsid w:val="25DF7AE3"/>
    <w:rsid w:val="26485999"/>
    <w:rsid w:val="28372D49"/>
    <w:rsid w:val="2C493E89"/>
    <w:rsid w:val="2EC10C70"/>
    <w:rsid w:val="2FE55345"/>
    <w:rsid w:val="3167731A"/>
    <w:rsid w:val="32263F15"/>
    <w:rsid w:val="335B7966"/>
    <w:rsid w:val="397F3E4D"/>
    <w:rsid w:val="39E9593A"/>
    <w:rsid w:val="3E2C5149"/>
    <w:rsid w:val="3E3A53EA"/>
    <w:rsid w:val="3E961DBD"/>
    <w:rsid w:val="3F2B3A57"/>
    <w:rsid w:val="415F6EA2"/>
    <w:rsid w:val="44586FC4"/>
    <w:rsid w:val="45C96988"/>
    <w:rsid w:val="47DD670C"/>
    <w:rsid w:val="4A9A594A"/>
    <w:rsid w:val="4C593346"/>
    <w:rsid w:val="4E2D1044"/>
    <w:rsid w:val="4E2F15F1"/>
    <w:rsid w:val="4EB36727"/>
    <w:rsid w:val="4EF22B42"/>
    <w:rsid w:val="500A2237"/>
    <w:rsid w:val="51D610D4"/>
    <w:rsid w:val="54000D72"/>
    <w:rsid w:val="57410D47"/>
    <w:rsid w:val="59CC04C0"/>
    <w:rsid w:val="5ACD0F64"/>
    <w:rsid w:val="5CE73CE8"/>
    <w:rsid w:val="5F453950"/>
    <w:rsid w:val="60584485"/>
    <w:rsid w:val="660C1F70"/>
    <w:rsid w:val="66A5295A"/>
    <w:rsid w:val="6A6154CA"/>
    <w:rsid w:val="6D911228"/>
    <w:rsid w:val="6E644666"/>
    <w:rsid w:val="703C7C2A"/>
    <w:rsid w:val="748E269E"/>
    <w:rsid w:val="7501453C"/>
    <w:rsid w:val="762B149F"/>
    <w:rsid w:val="76985210"/>
    <w:rsid w:val="77F570B1"/>
    <w:rsid w:val="7B75497C"/>
    <w:rsid w:val="7C7E4252"/>
    <w:rsid w:val="7C956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ody Text Indent"/>
    <w:basedOn w:val="1"/>
    <w:link w:val="13"/>
    <w:semiHidden/>
    <w:unhideWhenUsed/>
    <w:qFormat/>
    <w:uiPriority w:val="99"/>
    <w:pPr>
      <w:ind w:firstLine="560" w:firstLineChars="200"/>
    </w:pPr>
    <w:rPr>
      <w:rFonts w:ascii="Times New Roman" w:hAnsi="Times New Roman"/>
      <w:sz w:val="28"/>
      <w:szCs w:val="24"/>
    </w:r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spacing w:beforeAutospacing="1" w:afterAutospacing="1"/>
      <w:jc w:val="left"/>
    </w:pPr>
    <w:rPr>
      <w:kern w:val="0"/>
      <w:sz w:val="24"/>
    </w:rPr>
  </w:style>
  <w:style w:type="paragraph" w:styleId="8">
    <w:name w:val="annotation subject"/>
    <w:basedOn w:val="2"/>
    <w:next w:val="2"/>
    <w:link w:val="18"/>
    <w:semiHidden/>
    <w:unhideWhenUsed/>
    <w:qFormat/>
    <w:uiPriority w:val="99"/>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semiHidden/>
    <w:unhideWhenUsed/>
    <w:qFormat/>
    <w:uiPriority w:val="99"/>
    <w:rPr>
      <w:sz w:val="21"/>
      <w:szCs w:val="21"/>
    </w:rPr>
  </w:style>
  <w:style w:type="character" w:customStyle="1" w:styleId="13">
    <w:name w:val="正文文本缩进 Char"/>
    <w:link w:val="3"/>
    <w:qFormat/>
    <w:uiPriority w:val="0"/>
    <w:rPr>
      <w:rFonts w:ascii="Times New Roman" w:hAnsi="Times New Roman"/>
      <w:kern w:val="2"/>
      <w:sz w:val="28"/>
      <w:szCs w:val="24"/>
    </w:rPr>
  </w:style>
  <w:style w:type="paragraph" w:customStyle="1" w:styleId="14">
    <w:name w:val="特点"/>
    <w:basedOn w:val="1"/>
    <w:next w:val="3"/>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11"/>
    <w:link w:val="6"/>
    <w:qFormat/>
    <w:uiPriority w:val="99"/>
    <w:rPr>
      <w:kern w:val="2"/>
      <w:sz w:val="18"/>
      <w:szCs w:val="18"/>
    </w:rPr>
  </w:style>
  <w:style w:type="character" w:customStyle="1" w:styleId="16">
    <w:name w:val="页脚 Char"/>
    <w:basedOn w:val="11"/>
    <w:link w:val="5"/>
    <w:qFormat/>
    <w:uiPriority w:val="99"/>
    <w:rPr>
      <w:kern w:val="2"/>
      <w:sz w:val="18"/>
      <w:szCs w:val="18"/>
    </w:rPr>
  </w:style>
  <w:style w:type="character" w:customStyle="1" w:styleId="17">
    <w:name w:val="批注文字 Char"/>
    <w:basedOn w:val="11"/>
    <w:link w:val="2"/>
    <w:semiHidden/>
    <w:qFormat/>
    <w:uiPriority w:val="99"/>
    <w:rPr>
      <w:kern w:val="2"/>
      <w:sz w:val="21"/>
      <w:szCs w:val="22"/>
    </w:rPr>
  </w:style>
  <w:style w:type="character" w:customStyle="1" w:styleId="18">
    <w:name w:val="批注主题 Char"/>
    <w:basedOn w:val="17"/>
    <w:link w:val="8"/>
    <w:semiHidden/>
    <w:qFormat/>
    <w:uiPriority w:val="99"/>
    <w:rPr>
      <w:b/>
      <w:bCs/>
      <w:kern w:val="2"/>
      <w:sz w:val="21"/>
      <w:szCs w:val="22"/>
    </w:rPr>
  </w:style>
  <w:style w:type="character" w:customStyle="1" w:styleId="19">
    <w:name w:val="批注框文本 Char"/>
    <w:basedOn w:val="11"/>
    <w:link w:val="4"/>
    <w:semiHidden/>
    <w:qFormat/>
    <w:uiPriority w:val="99"/>
    <w:rPr>
      <w:kern w:val="2"/>
      <w:sz w:val="18"/>
      <w:szCs w:val="18"/>
    </w:rPr>
  </w:style>
  <w:style w:type="paragraph"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12</Pages>
  <Words>16957</Words>
  <Characters>17361</Characters>
  <Lines>34</Lines>
  <Paragraphs>9</Paragraphs>
  <TotalTime>0</TotalTime>
  <ScaleCrop>false</ScaleCrop>
  <LinksUpToDate>false</LinksUpToDate>
  <CharactersWithSpaces>17686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2025-10-20T06:14:31Z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F5D7A5B49496439A8088C6B3AA217ED8</vt:lpwstr>
  </property>
</Properties>
</file>