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pPr>
        <w:widowControl/>
        <w:shd w:val="clear" w:color="auto" w:fill="FFFFFF"/>
        <w:spacing w:after="225" w:line="360" w:lineRule="atLeast"/>
        <w:jc w:val="center"/>
        <w:rPr>
          <w:rFonts w:asciiTheme="minorEastAsia" w:hAnsiTheme="minorEastAsia" w:cstheme="minorEastAsia" w:hint="eastAsia"/>
          <w:b/>
          <w:bCs/>
          <w:color w:val="004EA2"/>
          <w:kern w:val="0"/>
          <w:sz w:val="28"/>
          <w:szCs w:val="28"/>
        </w:rPr>
      </w:pPr>
      <w:r>
        <w:rPr>
          <w:rFonts w:asciiTheme="minorEastAsia" w:hAnsiTheme="minorEastAsia" w:cstheme="minorEastAsia" w:hint="eastAsia"/>
          <w:b/>
          <w:bCs/>
          <w:color w:val="004EA2"/>
          <w:kern w:val="0"/>
          <w:sz w:val="40"/>
          <w:szCs w:val="40"/>
        </w:rPr>
        <w:t>理财产品到期公告</w:t>
      </w:r>
    </w:p>
    <w:p>
      <w:pPr>
        <w:keepNext w:val="0"/>
        <w:keepLines w:val="0"/>
        <w:pageBreakBefore w:val="0"/>
        <w:widowControl/>
        <w:shd w:val="clear" w:color="auto" w:fill="FFFFFF"/>
        <w:kinsoku/>
        <w:wordWrap/>
        <w:overflowPunct/>
        <w:topLinePunct w:val="0"/>
        <w:autoSpaceDE/>
        <w:autoSpaceDN/>
        <w:bidi w:val="0"/>
        <w:adjustRightInd/>
        <w:snapToGrid/>
        <w:spacing w:after="0" w:line="837" w:lineRule="atLeast"/>
        <w:jc w:val="center"/>
        <w:textAlignment w:val="auto"/>
        <w:outlineLvl w:val="1"/>
        <w:rPr>
          <w:rFonts w:asciiTheme="majorEastAsia" w:eastAsiaTheme="majorEastAsia" w:hAnsiTheme="majorEastAsia" w:cs="宋体" w:hint="eastAsia"/>
          <w:b/>
          <w:bCs/>
          <w:kern w:val="0"/>
          <w:sz w:val="28"/>
          <w:szCs w:val="28"/>
        </w:rPr>
      </w:pPr>
      <w:r>
        <w:rPr>
          <w:rFonts w:asciiTheme="majorEastAsia" w:eastAsiaTheme="majorEastAsia" w:hAnsiTheme="majorEastAsia" w:cs="宋体" w:hint="eastAsia"/>
          <w:b/>
          <w:bCs/>
          <w:color w:val="004EA2"/>
          <w:kern w:val="0"/>
          <w:sz w:val="28"/>
          <w:szCs w:val="28"/>
        </w:rPr>
        <w:t>幸福99丰裕固收386天25177期理财</w:t>
      </w:r>
      <w:r>
        <w:rPr>
          <w:b/>
          <w:color w:val="004EA2"/>
          <w:sz w:val="28"/>
        </w:rPr>
        <w:t>到期公告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尊敬的投资者：</w:t>
      </w:r>
    </w:p>
    <w:p>
      <w:pPr>
        <w:keepNext w:val="0"/>
        <w:keepLines w:val="0"/>
        <w:pageBreakBefore w:val="0"/>
        <w:widowControl w:val="0"/>
        <w:kinsoku/>
        <w:wordWrap/>
        <w:overflowPunct/>
        <w:topLinePunct w:val="0"/>
        <w:autoSpaceDE/>
        <w:autoSpaceDN/>
        <w:bidi w:val="0"/>
        <w:adjustRightInd/>
        <w:snapToGrid/>
        <w:spacing w:after="0" w:line="240" w:lineRule="auto"/>
        <w:ind w:firstLine="480"/>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本公司发行的</w:t>
      </w:r>
      <w:r>
        <w:rPr>
          <w:sz w:val="28"/>
        </w:rPr>
        <w:t>幸福99丰裕固收386天25177期理财</w:t>
      </w:r>
      <w:r>
        <w:rPr>
          <w:sz w:val="28"/>
        </w:rPr>
        <w:t>产品已到期，现将相关信息公告如下：</w:t>
      </w:r>
    </w:p>
    <w:tbl>
      <w:tblPr>
        <w:tblStyle w:val="TableNormal"/>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26"/>
        <w:gridCol w:w="1446"/>
        <w:gridCol w:w="1469"/>
        <w:gridCol w:w="1799"/>
        <w:gridCol w:w="1957"/>
      </w:tblGrid>
      <w:tr>
        <w:tblPrEx>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8"/>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产品名称</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幸福99丰裕固收386天25177期理财</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产品代码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FYG25177</w:t>
            </w:r>
          </w:p>
        </w:tc>
      </w:tr>
      <w:tr>
        <w:tblPrEx>
          <w:tblW w:w="8597" w:type="dxa"/>
          <w:tblInd w:w="0" w:type="dxa"/>
          <w:tblLayout w:type="fixed"/>
          <w:tblCellMar>
            <w:top w:w="0" w:type="dxa"/>
            <w:left w:w="108" w:type="dxa"/>
            <w:bottom w:w="0" w:type="dxa"/>
            <w:right w:w="108" w:type="dxa"/>
          </w:tblCellMar>
        </w:tblPrEx>
        <w:trPr>
          <w:trHeight w:val="740"/>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登记编码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eastAsia="宋体" w:asciiTheme="minorEastAsia" w:hAnsiTheme="minorEastAsia" w:cstheme="minorEastAsia" w:hint="eastAsia"/>
                <w:sz w:val="24"/>
              </w:rPr>
            </w:pPr>
            <w:r>
              <w:rPr>
                <w:rFonts w:eastAsia="宋体" w:asciiTheme="minorEastAsia" w:hAnsiTheme="minorEastAsia" w:cstheme="minorEastAsia" w:hint="eastAsia"/>
                <w:sz w:val="24"/>
              </w:rPr>
              <w:t>Z7002225000335</w:t>
            </w:r>
          </w:p>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（可在中国理财网 www.chinawealth.com.cn 查询产品信息）</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产品成立日期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2025年9月23日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2026年10月14日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存续期限</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386</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募集币种</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人民币</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收益分配情况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1.0270</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产品到期日份额累计净值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1.0270</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主要收费情况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固定管理费总额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860,511.23</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浮动管理费总额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54,873.64</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托管费总额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430,786.24</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销售服务费总额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3,459,828.15</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信息技术服务费</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0.00</w:t>
            </w:r>
            <w:r>
              <w:rPr>
                <w:sz w:val="24"/>
              </w:rPr>
              <w:t>元</w:t>
            </w:r>
          </w:p>
        </w:tc>
      </w:tr>
      <w:tr>
        <w:tblPrEx>
          <w:tblW w:w="8601" w:type="dxa"/>
          <w:tblInd w:w="0" w:type="dxa"/>
          <w:tblLayout w:type="fixed"/>
          <w:tblCellMar>
            <w:top w:w="0" w:type="dxa"/>
            <w:left w:w="108" w:type="dxa"/>
            <w:bottom w:w="0" w:type="dxa"/>
            <w:right w:w="108" w:type="dxa"/>
          </w:tblCellMar>
        </w:tblPrEx>
        <w:trPr>
          <w:trHeight w:val="879"/>
        </w:trPr>
        <w:tc>
          <w:tcPr>
            <w:tcW w:w="1926"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份额代码</w:t>
            </w:r>
          </w:p>
        </w:tc>
        <w:tc>
          <w:tcPr>
            <w:tcW w:w="14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到期日份额净值</w:t>
            </w:r>
          </w:p>
        </w:tc>
        <w:tc>
          <w:tcPr>
            <w:tcW w:w="147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到期日份额累计净值</w:t>
            </w:r>
          </w:p>
        </w:tc>
        <w:tc>
          <w:tcPr>
            <w:tcW w:w="180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default"/>
                <w:color w:val="000000"/>
                <w:sz w:val="24"/>
                <w:lang w:val="en-US"/>
              </w:rPr>
            </w:pPr>
            <w:r>
              <w:rPr>
                <w:rFonts w:asciiTheme="minorEastAsia" w:hAnsiTheme="minorEastAsia" w:cstheme="minorEastAsia" w:hint="eastAsia"/>
                <w:color w:val="000000"/>
                <w:kern w:val="0"/>
                <w:sz w:val="24"/>
                <w:lang w:val="en-US" w:eastAsia="zh-CN" w:bidi="ar"/>
              </w:rPr>
              <w:t>业绩比较基准</w:t>
            </w:r>
          </w:p>
        </w:tc>
        <w:tc>
          <w:tcPr>
            <w:tcW w:w="195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折合年化收益率</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FYG25177A</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1.0260</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1.0260</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2.45%-2.75%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2.4585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FYG25177B</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FYG25177C</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2.6571</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FYG25177D</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2.6098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FYG25177F</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2.6098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FYG25177G</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2.70%-3.00%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2.7138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FYG25177H</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FYG25177J</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2.70%-3.00%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2.7138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FYG25177K</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1.0260</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1.0260</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2.45%-2.75%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2.4585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FYG25177N</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FYG25177O</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FYG25177P</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2.6098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FYG25177Q</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2.6571</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FYG25177R</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2.6098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FYG25177S</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2.61%-2.91%</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FYG25177U</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FYG25177V</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2.6571</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FYG25177W</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1.0260</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1.0260</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2.45%-2.75%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2.4585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FYG25177X</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2.70%-3.00%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2.7138</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FYG25177Y</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FYG25177Z</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2.6571</w:t>
            </w:r>
            <w:r>
              <w:rPr>
                <w:rFonts w:asciiTheme="minorEastAsia" w:eastAsiaTheme="minorEastAsia" w:hAnsiTheme="minorEastAsia" w:cstheme="minorEastAsia" w:hint="eastAsia"/>
                <w:color w:val="000000"/>
                <w:kern w:val="0"/>
                <w:sz w:val="24"/>
                <w:szCs w:val="24"/>
                <w:lang w:val="en-US" w:eastAsia="zh-CN" w:bidi="ar"/>
              </w:rPr>
              <w:t>%</w:t>
            </w:r>
          </w:p>
        </w:tc>
      </w:tr>
    </w:tbl>
    <w:p>
      <w:pPr>
        <w:pStyle w:val="a"/>
        <w:keepNext w:val="0"/>
        <w:keepLines w:val="0"/>
        <w:pageBreakBefore w:val="0"/>
        <w:widowControl w:val="0"/>
        <w:numPr>
          <w:ilvl w:val="0"/>
          <w:numId w:val="0"/>
        </w:numPr>
        <w:tabs>
          <w:tab w:val="left" w:pos="-2694"/>
        </w:tabs>
        <w:kinsoku/>
        <w:wordWrap/>
        <w:overflowPunct/>
        <w:topLinePunct w:val="0"/>
        <w:autoSpaceDE/>
        <w:autoSpaceDN/>
        <w:bidi w:val="0"/>
        <w:adjustRightInd/>
        <w:snapToGrid/>
        <w:spacing w:after="0" w:line="120" w:lineRule="auto"/>
        <w:jc w:val="left"/>
        <w:textAlignment w:val="auto"/>
        <w:rPr>
          <w:rFonts w:asciiTheme="minorEastAsia" w:hAnsiTheme="minorEastAsia" w:cstheme="minorEastAsia" w:hint="eastAsia"/>
          <w:sz w:val="24"/>
        </w:rPr>
      </w:pPr>
      <w:r>
        <w:rPr>
          <w:rFonts w:asciiTheme="minorEastAsia" w:hAnsiTheme="minorEastAsia" w:cstheme="minorEastAsia" w:hint="eastAsia"/>
          <w:sz w:val="24"/>
        </w:rPr>
        <w:t>注：</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1.本到期公告披露的相关净值数据已由理财产品托管人复核。</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2.根据产品说明书，因理财产品发行对象不同，或有不同的份额及份额代码，不同份额之间可能存在销售服务费收费条件、收费标准和收费方式等的不同，以及因计算过程产生尾差等原因，均可能导致各份额单位净值、单位累计净值不完全一致。</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3.理财计划财产在管理、运用、处分过程中产生的税费（包括但不限于增值税及相应的附加税费等），由理财计划财产承担；产品管理人对该等税费无垫付义务。前述税费（包括但不限于增值税及相应附加税费）的计算、提取及缴纳，由产品管理人按照应税行为发生时有效的相关法律法规的规定执行。支付给客户的理财收益的应纳税款由客户自行申报及缴纳。</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4.本理财产品终止日起，清算过程中各项清结算金额与实际结算金额的尾差由管理人承担。</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5.托管费：原则上按日计提，逐日累计至到期日从理财计划财产中扣除。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6.固定管理费：原则上按日计提，逐日累计至到期日从理财计划财产中扣除。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eastAsiaTheme="minorEastAsia" w:hAnsiTheme="minorEastAsia" w:cstheme="minorEastAsia" w:hint="default"/>
          <w:sz w:val="24"/>
          <w:lang w:val="en-US" w:eastAsia="zh-CN"/>
        </w:rPr>
      </w:pPr>
      <w:r>
        <w:rPr>
          <w:rFonts w:asciiTheme="minorEastAsia" w:hAnsiTheme="minorEastAsia" w:cstheme="minorEastAsia" w:hint="eastAsia"/>
          <w:sz w:val="24"/>
        </w:rPr>
        <w:t>7.</w:t>
      </w:r>
      <w:r>
        <w:rPr>
          <w:rFonts w:asciiTheme="minorEastAsia" w:hAnsiTheme="minorEastAsia" w:cstheme="minorEastAsia" w:hint="eastAsia"/>
          <w:sz w:val="24"/>
          <w:lang w:val="en-US" w:eastAsia="zh-CN"/>
        </w:rPr>
        <w:t>信息技术服务费：原则上按日计提，每季度从理财计划财产中扣除。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8.各期理财产品详细信息可根据产品登记编码登录中国理财网进行查询。</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8"/>
        </w:rPr>
      </w:pPr>
    </w:p>
    <w:p>
      <w:pPr>
        <w:keepNext w:val="0"/>
        <w:keepLines w:val="0"/>
        <w:pageBreakBefore w:val="0"/>
        <w:widowControl w:val="0"/>
        <w:kinsoku/>
        <w:wordWrap/>
        <w:overflowPunct/>
        <w:topLinePunct w:val="0"/>
        <w:autoSpaceDE/>
        <w:autoSpaceDN/>
        <w:bidi w:val="0"/>
        <w:adjustRightInd/>
        <w:snapToGrid/>
        <w:spacing w:after="0" w:line="240" w:lineRule="auto"/>
        <w:ind w:firstLine="560" w:firstLineChars="200"/>
        <w:textAlignment w:val="auto"/>
        <w:rPr>
          <w:rFonts w:asciiTheme="minorEastAsia" w:hAnsiTheme="minorEastAsia" w:cstheme="minorEastAsia" w:hint="eastAsia"/>
          <w:sz w:val="28"/>
        </w:rPr>
      </w:pPr>
      <w:r>
        <w:rPr>
          <w:rFonts w:asciiTheme="minorEastAsia" w:hAnsiTheme="minorEastAsia" w:cstheme="minorEastAsia" w:hint="eastAsia"/>
          <w:sz w:val="28"/>
        </w:rPr>
        <w:t>特此公告。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8"/>
          <w:szCs w:val="28"/>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杭银理财有限责任公司</w:t>
      </w:r>
    </w:p>
    <w:p>
      <w:pPr>
        <w:keepNext w:val="0"/>
        <w:keepLines w:val="0"/>
        <w:pageBreakBefore w:val="0"/>
        <w:widowControl w:val="0"/>
        <w:kinsoku/>
        <w:wordWrap/>
        <w:overflowPunct/>
        <w:topLinePunct w:val="0"/>
        <w:autoSpaceDE/>
        <w:autoSpaceDN/>
        <w:bidi w:val="0"/>
        <w:adjustRightInd/>
        <w:snapToGrid/>
        <w:spacing w:after="0" w:line="240" w:lineRule="auto"/>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2026年10月15日</w:t>
      </w:r>
    </w:p>
    <w:sectPr>
      <w:headerReference w:type="default" r:id="rId5"/>
      <w:pgSz w:w="11906" w:h="16838"/>
      <w:pgMar w:top="2551" w:right="1803" w:bottom="2551" w:left="1803" w:header="851" w:footer="992" w:gutter="0"/>
      <w:cols w:num="1" w:space="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CADC43"/>
    <w:multiLevelType w:val="multilevel"/>
    <w:tmpl w:val="7DCADC43"/>
    <w:lvl w:ilvl="0">
      <w:start w:val="1"/>
      <w:numFmt w:val="chineseCounting"/>
      <w:pStyle w:val="a"/>
      <w:suff w:val="space"/>
      <w:lvlText w:val="第%1条"/>
      <w:lvlJc w:val="left"/>
      <w:pPr>
        <w:tabs>
          <w:tab w:val="left" w:pos="420"/>
        </w:tabs>
        <w:ind w:left="3114" w:hanging="420"/>
      </w:pPr>
      <w:rPr>
        <w:rFonts w:ascii="仿宋_GB2312" w:eastAsia="仿宋_GB2312" w:hAnsi="仿宋_GB2312" w:hint="eastAsia"/>
        <w:b/>
        <w:sz w:val="32"/>
        <w:szCs w:val="32"/>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embedSystemFonts/>
  <w:bordersDoNotSurroundHeader/>
  <w:bordersDoNotSurroundFooter/>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7052B"/>
    <w:rsid w:val="001E34DE"/>
    <w:rsid w:val="00200A72"/>
    <w:rsid w:val="002469CB"/>
    <w:rsid w:val="002B4BBF"/>
    <w:rsid w:val="003841A4"/>
    <w:rsid w:val="00412E97"/>
    <w:rsid w:val="005200AA"/>
    <w:rsid w:val="0053159C"/>
    <w:rsid w:val="00573563"/>
    <w:rsid w:val="00592C06"/>
    <w:rsid w:val="005E397D"/>
    <w:rsid w:val="00603D57"/>
    <w:rsid w:val="00632F14"/>
    <w:rsid w:val="006D7051"/>
    <w:rsid w:val="0073172D"/>
    <w:rsid w:val="00735747"/>
    <w:rsid w:val="00750505"/>
    <w:rsid w:val="007809D7"/>
    <w:rsid w:val="007A3E72"/>
    <w:rsid w:val="007B0559"/>
    <w:rsid w:val="00860348"/>
    <w:rsid w:val="00863721"/>
    <w:rsid w:val="008C68DB"/>
    <w:rsid w:val="008D2DFF"/>
    <w:rsid w:val="008F2835"/>
    <w:rsid w:val="009D66D1"/>
    <w:rsid w:val="00A00B94"/>
    <w:rsid w:val="00AC2AB6"/>
    <w:rsid w:val="00AC3F90"/>
    <w:rsid w:val="00B11AE6"/>
    <w:rsid w:val="00B21744"/>
    <w:rsid w:val="00BB5D37"/>
    <w:rsid w:val="00C10907"/>
    <w:rsid w:val="00C47DF8"/>
    <w:rsid w:val="00C87BF7"/>
    <w:rsid w:val="00D00D6A"/>
    <w:rsid w:val="00D259A1"/>
    <w:rsid w:val="00E846FF"/>
    <w:rsid w:val="00F965A1"/>
    <w:rsid w:val="00FA50AB"/>
    <w:rsid w:val="031040D2"/>
    <w:rsid w:val="046A679B"/>
    <w:rsid w:val="050F5184"/>
    <w:rsid w:val="0AB0656E"/>
    <w:rsid w:val="0C745E65"/>
    <w:rsid w:val="0CB459D4"/>
    <w:rsid w:val="0E6326C2"/>
    <w:rsid w:val="10435D82"/>
    <w:rsid w:val="10D07EDC"/>
    <w:rsid w:val="12297112"/>
    <w:rsid w:val="14B55489"/>
    <w:rsid w:val="151D7E14"/>
    <w:rsid w:val="178607BF"/>
    <w:rsid w:val="18462C74"/>
    <w:rsid w:val="190B63BC"/>
    <w:rsid w:val="1F0A0FE5"/>
    <w:rsid w:val="1F48553E"/>
    <w:rsid w:val="1FDC0923"/>
    <w:rsid w:val="20C27D8C"/>
    <w:rsid w:val="21F964F5"/>
    <w:rsid w:val="22984131"/>
    <w:rsid w:val="255822AB"/>
    <w:rsid w:val="28362D7D"/>
    <w:rsid w:val="288806AF"/>
    <w:rsid w:val="29116F14"/>
    <w:rsid w:val="2AB67C98"/>
    <w:rsid w:val="2D8542FF"/>
    <w:rsid w:val="3286081F"/>
    <w:rsid w:val="33D42F95"/>
    <w:rsid w:val="3529150B"/>
    <w:rsid w:val="35AE4436"/>
    <w:rsid w:val="39196DF2"/>
    <w:rsid w:val="3A5B7ED6"/>
    <w:rsid w:val="3BF50A6E"/>
    <w:rsid w:val="3C231661"/>
    <w:rsid w:val="3D001825"/>
    <w:rsid w:val="3E174A3C"/>
    <w:rsid w:val="3EAB6BEB"/>
    <w:rsid w:val="3ED86525"/>
    <w:rsid w:val="3F1275A9"/>
    <w:rsid w:val="3F221A4C"/>
    <w:rsid w:val="3FC04F0B"/>
    <w:rsid w:val="4045484E"/>
    <w:rsid w:val="42594A46"/>
    <w:rsid w:val="447B660D"/>
    <w:rsid w:val="462266D9"/>
    <w:rsid w:val="47605650"/>
    <w:rsid w:val="489D3BEC"/>
    <w:rsid w:val="4C037761"/>
    <w:rsid w:val="4C4A04BD"/>
    <w:rsid w:val="500B29EB"/>
    <w:rsid w:val="50B7489E"/>
    <w:rsid w:val="50DC0E7A"/>
    <w:rsid w:val="548E4345"/>
    <w:rsid w:val="54F6702C"/>
    <w:rsid w:val="5895744F"/>
    <w:rsid w:val="595715BE"/>
    <w:rsid w:val="5A7F5A78"/>
    <w:rsid w:val="5AB40990"/>
    <w:rsid w:val="5BE35356"/>
    <w:rsid w:val="5CE40C9B"/>
    <w:rsid w:val="5E8A1A31"/>
    <w:rsid w:val="5FBC45EF"/>
    <w:rsid w:val="600F7924"/>
    <w:rsid w:val="612B75BF"/>
    <w:rsid w:val="642664E4"/>
    <w:rsid w:val="650B0861"/>
    <w:rsid w:val="661D745C"/>
    <w:rsid w:val="6659648A"/>
    <w:rsid w:val="6687052B"/>
    <w:rsid w:val="670F12E2"/>
    <w:rsid w:val="683B78CE"/>
    <w:rsid w:val="6B6670CE"/>
    <w:rsid w:val="6C7E45F0"/>
    <w:rsid w:val="6D5B6E8B"/>
    <w:rsid w:val="6D623B7E"/>
    <w:rsid w:val="6E683E61"/>
    <w:rsid w:val="710019DD"/>
    <w:rsid w:val="71A11F5E"/>
    <w:rsid w:val="71B3167E"/>
    <w:rsid w:val="729B61A8"/>
    <w:rsid w:val="752B7242"/>
    <w:rsid w:val="78026722"/>
    <w:rsid w:val="79337090"/>
    <w:rsid w:val="7AD376CD"/>
    <w:rsid w:val="7D2C199A"/>
    <w:rsid w:val="7EA037DA"/>
    <w:rsid w:val="7EF7C949"/>
    <w:rsid w:val="7F2940C4"/>
  </w:rsids>
  <w:docVars>
    <w:docVar w:name="commondata" w:val="eyJoZGlkIjoiMDZlY2ZiYmExOWJmOTY5NWFmNzQwOWFhNmE0ZjgxMT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78" w:lineRule="auto"/>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line="400" w:lineRule="exact"/>
      <w:jc w:val="center"/>
      <w:outlineLvl w:val="0"/>
    </w:pPr>
    <w:rPr>
      <w:rFonts w:ascii="Times New Roman" w:eastAsia="宋体" w:hAnsi="Times New Roman"/>
      <w:b/>
      <w:kern w:val="44"/>
      <w:sz w:val="24"/>
    </w:rPr>
  </w:style>
  <w:style w:type="paragraph" w:styleId="Heading2">
    <w:name w:val="heading 2"/>
    <w:basedOn w:val="Normal"/>
    <w:next w:val="Normal"/>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条段落"/>
    <w:basedOn w:val="Normal"/>
    <w:qFormat/>
    <w:pPr>
      <w:numPr>
        <w:ilvl w:val="0"/>
        <w:numId w:val="1"/>
      </w:numPr>
      <w:ind w:left="0" w:firstLine="640"/>
    </w:pPr>
    <w:rPr>
      <w:rFonts w:ascii="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yangbingfei</cp:lastModifiedBy>
  <cp:revision>2</cp:revision>
  <dcterms:created xsi:type="dcterms:W3CDTF">2026-05-27T09:33:00Z</dcterms:created>
  <dcterms:modified xsi:type="dcterms:W3CDTF">2026-09-15T12:59:48Z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