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幸福99丰裕固收763天26110期理财</w:t>
      </w:r>
      <w:r>
        <w:rPr>
          <w:rFonts w:hint="eastAsia" w:ascii="宋体" w:hAnsi="宋体" w:cs="宋体"/>
          <w:b/>
          <w:bCs/>
          <w:color w:val="000000"/>
          <w:sz w:val="44"/>
          <w:szCs w:val="44"/>
          <w:highlight w:val="none"/>
        </w:rPr>
        <w:t>合同</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理财计划管理人：杭银理财有限责任公司</w:t>
      </w:r>
    </w:p>
    <w:p>
      <w:pPr>
        <w:ind w:firstLine="1280" w:firstLineChars="4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理财计划托管人：</w:t>
      </w:r>
      <w:r>
        <w:rPr>
          <w:rFonts w:hint="eastAsia" w:ascii="宋体" w:hAnsi="宋体" w:eastAsia="宋体" w:cs="宋体"/>
          <w:color w:val="000000"/>
          <w:kern w:val="2"/>
          <w:sz w:val="32"/>
          <w:szCs w:val="32"/>
          <w:highlight w:val="none"/>
          <w:lang w:val="en-US" w:eastAsia="zh-CN" w:bidi="ar-SA"/>
        </w:rPr>
        <w:t>杭州银行股份有限公司</w:t>
      </w:r>
    </w:p>
    <w:p>
      <w:pPr>
        <w:ind w:firstLine="1280" w:firstLineChars="400"/>
        <w:jc w:val="left"/>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outlineLvl w:val="9"/>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幸福99丰裕固收763天26110期理财</w:t>
      </w:r>
      <w:r>
        <w:rPr>
          <w:rFonts w:hint="eastAsia" w:ascii="宋体" w:hAnsi="宋体" w:cs="宋体"/>
          <w:b/>
          <w:bCs/>
          <w:color w:val="000000"/>
          <w:sz w:val="44"/>
          <w:szCs w:val="44"/>
          <w:highlight w:val="none"/>
        </w:rPr>
        <w:t>合同文件</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幸福99丰裕固收763天26110期理财</w:t>
            </w:r>
            <w:r>
              <w:rPr>
                <w:rFonts w:hint="eastAsia" w:ascii="宋体" w:hAnsi="宋体" w:cs="宋体"/>
                <w:color w:val="000000"/>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幸福99丰裕固收763天26110期理财</w:t>
            </w:r>
            <w:r>
              <w:rPr>
                <w:rFonts w:hint="eastAsia" w:ascii="宋体" w:hAnsi="宋体" w:cs="宋体"/>
                <w:color w:val="000000"/>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幸福99丰裕固收763天26110期理财</w:t>
      </w:r>
      <w:r>
        <w:rPr>
          <w:rFonts w:hint="eastAsia" w:ascii="宋体" w:hAnsi="宋体" w:cs="宋体"/>
          <w:b/>
          <w:bCs/>
          <w:color w:val="000000"/>
          <w:sz w:val="44"/>
          <w:szCs w:val="44"/>
          <w:highlight w:val="none"/>
        </w:rPr>
        <w:t>风险揭示书</w:t>
      </w:r>
    </w:p>
    <w:p>
      <w:p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763</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9"/>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幸福99丰裕固收763天26110期理财</w:t>
      </w:r>
      <w:r>
        <w:rPr>
          <w:rFonts w:hint="eastAsia" w:ascii="宋体" w:hAnsi="宋体" w:cs="宋体"/>
          <w:b/>
          <w:bCs/>
          <w:color w:val="000000"/>
          <w:sz w:val="44"/>
          <w:szCs w:val="44"/>
          <w:highlight w:val="none"/>
        </w:rPr>
        <w:t>产品说明书</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Z7002226000245</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9"/>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1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幸福99丰裕固收763天26110期理财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幸福99丰裕固收763天26110期理财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幸福99丰裕固收763天26110期理财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幸福99丰裕固收763天26110期理财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幸福99丰裕固收763天26110期理财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幸福99丰裕固收763天26110期理财</w:t>
      </w:r>
      <w:r>
        <w:rPr>
          <w:rFonts w:hint="eastAsia" w:ascii="宋体" w:hAnsi="宋体" w:cs="宋体"/>
          <w:bCs/>
          <w:color w:val="000000"/>
          <w:highlight w:val="none"/>
        </w:rPr>
        <w:t>。</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16"/>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幸福99丰裕固收763天26110期理财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丰裕固收26110期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FYG26110</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Z7002226000245</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000000"/>
                <w:kern w:val="2"/>
                <w:position w:val="-1"/>
                <w:sz w:val="21"/>
                <w:u w:val="none"/>
                <w:vertAlign w:val="baseline"/>
              </w:rPr>
              <w:t>其中：</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A份额（销售代码〖FYG26110A〗）：普通个人投资者和机构客户。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B份额（销售代码〖FYG26110B〗）：普通个人投资者和机构客户。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C份额（销售代码〖FYG26110C〗）：普通个人投资者和机构客户。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D份额（销售代码〖FYG26110D〗）：普通个人投资者和机构客户。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E份额（幸福金桂）（销售代码〖FYG26110E〗）：普通个人投资者和机构客户。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F份额（幸福金桂私行专属）（销售代码〖FYG26110F〗）：特邀客户。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H份额（销售代码〖FYG26110H〗）：普通个人投资者和机构客户。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I份额（爽盈优选）（销售代码〖FYG26110I〗）：普通个人投资者和机构客户。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J份额（天府·优选）（销售代码〖FYG26110J〗）：普通个人投资者和机构客户。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K份额惠享款（吉享人生）（销售代码〖FYG26110K〗）：普通个人投资者和机构客户。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M份额惠享款（湖北银行专属）（销售代码〖FYG26110M〗）：普通个人投资者和机构客户。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N份额惠享款（长长财富·鑫享）（销售代码〖FYG26110N〗）：普通个人投资者和机构客户。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P份额（芙蓉锦程·优选）（销售代码〖FYG26110P〗）：普通个人投资者和机构客户。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Q份额（芙蓉锦程·优选-尊享款）（销售代码〖FYG26110Q〗）：普通个人投资者和机构客户。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R份额（吉林农商工薪代发专属）（销售代码〖FYG26110R〗）：普通个人投资者和机构客户。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U份额（吉林农商工会卡专属）（销售代码〖FYG26110U〗）：普通个人投资者和机构客户。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W份额惠享款（销售代码〖FYG26110W〗）：普通个人投资者和机构客户。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X份额惠享款（销售代码〖FYG26110X〗）：普通个人投资者和机构客户。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Y份额惠享款（销售代码〖FYG26110Y〗）：普通个人投资者和机构客户。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Z份额惠享款（销售代码〖FYG26110Z〗）：普通个人投资者和机构客户。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15</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17</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〖K份额〗起点〖5〗万元整，超过认购起点部分，应为〖1〗元的整数倍。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本理财计划〖F份额〗业绩比较基准为〖2.60%-2.80%〗（年化）。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本理财计划〖H份额〗业绩比较基准为〖2.70%-2.90%〗（年化）。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本理财计划〖M份额〗业绩比较基准为〖2.75%-2.95%〗（年化）。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本理财计划〖Q份额〗业绩比较基准为〖2.75%-2.95%〗（年化）。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本理财计划〖R份额〗业绩比较基准为〖2.70%-2.90%〗（年化）。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本理财计划〖U份额〗业绩比较基准为〖2.73%-2.93%〗（年化）。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本理财计划〖Z份额〗业绩比较基准为〖2.65%-2.85%〗（年化）。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〖H份额〗收取年化〖0.05%〗的销售服务费, 〖I份额〗收取年化〖0.30%〗的销售服务费, 〖J份额〗收取年化〖0.15%〗的销售服务费, 〖K份额〗收取年化〖0.10%〗的销售服务费, 〖M份额〗收取年化〖0.01%〗的销售服务费, 〖N份额〗收取年化〖0.20%〗的销售服务费, 〖P份额〗收取年化〖0.15%〗的销售服务费, 〖Q份额〗收取年化〖0.05%〗的销售服务费, 〖R份额〗收取年化〖0.05%〗的销售服务费, 〖U份额〗收取年化〖0.02%〗的销售服务费, 〖W份额〗收取年化〖0.30%〗的销售服务费, 〖X份额〗收取年化〖0.15%〗的销售服务费,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〖H份额〗收取年化〖0.10%〗的固定管理费, 〖I份额〗收取年化〖0.10%〗的固定管理费, 〖J份额〗收取年化〖0.10%〗的固定管理费, 〖K份额〗收取年化〖0.10%〗的固定管理费, 〖M份额〗收取年化〖0.09%〗的固定管理费, 〖N份额〗收取年化〖0.10%〗的固定管理费, 〖P份额〗收取年化〖0.10%〗的固定管理费, 〖Q份额〗收取年化〖0.05%〗的固定管理费, 〖R份额〗收取年化〖0.10%〗的固定管理费, 〖U份额〗收取年化〖0.10%〗的固定管理费,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8"/>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中山农村商业银行股份有限公司</w:t>
            </w:r>
          </w:p>
        </w:tc>
        <w:tc>
          <w:tcPr>
            <w:tcW w:w="1200" w:type="dxa"/>
            <w:vAlign w:val="center"/>
          </w:tcPr>
          <w:p>
            <w:pPr>
              <w:jc w:val="left"/>
            </w:pPr>
            <w:r>
              <w:t>住所</w:t>
            </w:r>
          </w:p>
        </w:tc>
        <w:tc>
          <w:tcPr>
            <w:tcW w:w="3800" w:type="dxa"/>
            <w:vAlign w:val="center"/>
          </w:tcPr>
          <w:p>
            <w:pPr>
              <w:jc w:val="center"/>
            </w:pPr>
            <w: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台州银行股份有限公司</w:t>
            </w:r>
          </w:p>
        </w:tc>
        <w:tc>
          <w:tcPr>
            <w:tcW w:w="1200" w:type="dxa"/>
            <w:vAlign w:val="center"/>
          </w:tcPr>
          <w:p>
            <w:pPr>
              <w:jc w:val="left"/>
            </w:pPr>
            <w:r>
              <w:t>住所</w:t>
            </w:r>
          </w:p>
        </w:tc>
        <w:tc>
          <w:tcPr>
            <w:tcW w:w="3800" w:type="dxa"/>
            <w:vAlign w:val="center"/>
          </w:tcPr>
          <w:p>
            <w:pPr>
              <w:jc w:val="center"/>
            </w:pPr>
            <w: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新疆银行股份有限公司</w:t>
            </w:r>
          </w:p>
        </w:tc>
        <w:tc>
          <w:tcPr>
            <w:tcW w:w="1200" w:type="dxa"/>
            <w:vAlign w:val="center"/>
          </w:tcPr>
          <w:p>
            <w:pPr>
              <w:jc w:val="left"/>
            </w:pPr>
            <w:r>
              <w:t>住所</w:t>
            </w:r>
          </w:p>
        </w:tc>
        <w:tc>
          <w:tcPr>
            <w:tcW w:w="3800" w:type="dxa"/>
            <w:vAlign w:val="center"/>
          </w:tcPr>
          <w:p>
            <w:pPr>
              <w:jc w:val="center"/>
            </w:pPr>
            <w: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无锡农村商业银行股份有限公司</w:t>
            </w:r>
          </w:p>
        </w:tc>
        <w:tc>
          <w:tcPr>
            <w:tcW w:w="1200" w:type="dxa"/>
            <w:vAlign w:val="center"/>
          </w:tcPr>
          <w:p>
            <w:pPr>
              <w:jc w:val="left"/>
            </w:pPr>
            <w:r>
              <w:t>住所</w:t>
            </w:r>
          </w:p>
        </w:tc>
        <w:tc>
          <w:tcPr>
            <w:tcW w:w="3800" w:type="dxa"/>
            <w:vAlign w:val="center"/>
          </w:tcPr>
          <w:p>
            <w:pPr>
              <w:jc w:val="center"/>
            </w:pPr>
            <w: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bookmarkStart w:id="0" w:name="_GoBack"/>
            <w:r>
              <w:t>汉口</w:t>
            </w:r>
            <w:bookmarkEnd w:id="0"/>
            <w:r>
              <w:t>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江苏南通农村商业银行股份有限公司</w:t>
            </w:r>
          </w:p>
        </w:tc>
        <w:tc>
          <w:tcPr>
            <w:tcW w:w="1200" w:type="dxa"/>
            <w:vAlign w:val="center"/>
          </w:tcPr>
          <w:p>
            <w:pPr>
              <w:jc w:val="left"/>
            </w:pPr>
            <w:r>
              <w:t>住所</w:t>
            </w:r>
          </w:p>
        </w:tc>
        <w:tc>
          <w:tcPr>
            <w:tcW w:w="3800" w:type="dxa"/>
            <w:vAlign w:val="center"/>
          </w:tcPr>
          <w:p>
            <w:pPr>
              <w:jc w:val="center"/>
            </w:pPr>
            <w: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江苏宜兴农村商业银行股份有限公司</w:t>
            </w:r>
          </w:p>
        </w:tc>
        <w:tc>
          <w:tcPr>
            <w:tcW w:w="1200" w:type="dxa"/>
            <w:vAlign w:val="center"/>
          </w:tcPr>
          <w:p>
            <w:pPr>
              <w:jc w:val="left"/>
            </w:pPr>
            <w:r>
              <w:t>住所</w:t>
            </w:r>
          </w:p>
        </w:tc>
        <w:tc>
          <w:tcPr>
            <w:tcW w:w="3800" w:type="dxa"/>
            <w:vAlign w:val="center"/>
          </w:tcPr>
          <w:p>
            <w:pPr>
              <w:jc w:val="center"/>
            </w:pPr>
            <w:r>
              <w:t>江苏宜兴市宜城街道解放东路579号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江苏宝应农村商业银行股份有限公司</w:t>
            </w:r>
          </w:p>
        </w:tc>
        <w:tc>
          <w:tcPr>
            <w:tcW w:w="1200" w:type="dxa"/>
            <w:vAlign w:val="center"/>
          </w:tcPr>
          <w:p>
            <w:pPr>
              <w:jc w:val="left"/>
            </w:pPr>
            <w:r>
              <w:t>住所</w:t>
            </w:r>
          </w:p>
        </w:tc>
        <w:tc>
          <w:tcPr>
            <w:tcW w:w="3800" w:type="dxa"/>
            <w:vAlign w:val="center"/>
          </w:tcPr>
          <w:p>
            <w:pPr>
              <w:jc w:val="center"/>
            </w:pPr>
            <w:r>
              <w:t>江苏省宝应县文津路1号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江苏常熟农村商业银行股份有限公司</w:t>
            </w:r>
          </w:p>
        </w:tc>
        <w:tc>
          <w:tcPr>
            <w:tcW w:w="1200" w:type="dxa"/>
            <w:vAlign w:val="center"/>
          </w:tcPr>
          <w:p>
            <w:pPr>
              <w:jc w:val="left"/>
            </w:pPr>
            <w:r>
              <w:t>住所</w:t>
            </w:r>
          </w:p>
        </w:tc>
        <w:tc>
          <w:tcPr>
            <w:tcW w:w="3800" w:type="dxa"/>
            <w:vAlign w:val="center"/>
          </w:tcPr>
          <w:p>
            <w:pPr>
              <w:jc w:val="center"/>
            </w:pPr>
            <w: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江苏扬中农村商业银行股份有限公司</w:t>
            </w:r>
          </w:p>
        </w:tc>
        <w:tc>
          <w:tcPr>
            <w:tcW w:w="1200" w:type="dxa"/>
            <w:vAlign w:val="center"/>
          </w:tcPr>
          <w:p>
            <w:pPr>
              <w:jc w:val="left"/>
            </w:pPr>
            <w:r>
              <w:t>住所</w:t>
            </w:r>
          </w:p>
        </w:tc>
        <w:tc>
          <w:tcPr>
            <w:tcW w:w="3800" w:type="dxa"/>
            <w:vAlign w:val="center"/>
          </w:tcPr>
          <w:p>
            <w:pPr>
              <w:jc w:val="center"/>
            </w:pPr>
            <w:r>
              <w:t>江苏省扬中市扬子西路79号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江苏沛县农村商业银行股份有限公司</w:t>
            </w:r>
          </w:p>
        </w:tc>
        <w:tc>
          <w:tcPr>
            <w:tcW w:w="1200" w:type="dxa"/>
            <w:vAlign w:val="center"/>
          </w:tcPr>
          <w:p>
            <w:pPr>
              <w:jc w:val="left"/>
            </w:pPr>
            <w:r>
              <w:t>住所</w:t>
            </w:r>
          </w:p>
        </w:tc>
        <w:tc>
          <w:tcPr>
            <w:tcW w:w="3800" w:type="dxa"/>
            <w:vAlign w:val="center"/>
          </w:tcPr>
          <w:p>
            <w:pPr>
              <w:jc w:val="center"/>
            </w:pPr>
            <w:r>
              <w:t>江苏省沛县汤沐路中段11号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江苏盐城农村商业银行股份有限公司</w:t>
            </w:r>
          </w:p>
        </w:tc>
        <w:tc>
          <w:tcPr>
            <w:tcW w:w="1200" w:type="dxa"/>
            <w:vAlign w:val="center"/>
          </w:tcPr>
          <w:p>
            <w:pPr>
              <w:jc w:val="left"/>
            </w:pPr>
            <w:r>
              <w:t>住所</w:t>
            </w:r>
          </w:p>
        </w:tc>
        <w:tc>
          <w:tcPr>
            <w:tcW w:w="3800" w:type="dxa"/>
            <w:vAlign w:val="center"/>
          </w:tcPr>
          <w:p>
            <w:pPr>
              <w:jc w:val="center"/>
            </w:pPr>
            <w:r>
              <w:t>盐城市盐南高新区新都西路8号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88880000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珠海农村商业银行股份有限公司</w:t>
            </w:r>
          </w:p>
        </w:tc>
        <w:tc>
          <w:tcPr>
            <w:tcW w:w="1200" w:type="dxa"/>
            <w:vAlign w:val="center"/>
          </w:tcPr>
          <w:p>
            <w:pPr>
              <w:jc w:val="left"/>
            </w:pPr>
            <w:r>
              <w:t>住所</w:t>
            </w:r>
          </w:p>
        </w:tc>
        <w:tc>
          <w:tcPr>
            <w:tcW w:w="3800" w:type="dxa"/>
            <w:vAlign w:val="center"/>
          </w:tcPr>
          <w:p>
            <w:pPr>
              <w:jc w:val="center"/>
            </w:pPr>
            <w: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贵阳银行股份有限公司</w:t>
            </w:r>
          </w:p>
        </w:tc>
        <w:tc>
          <w:tcPr>
            <w:tcW w:w="1200" w:type="dxa"/>
            <w:vAlign w:val="center"/>
          </w:tcPr>
          <w:p>
            <w:pPr>
              <w:jc w:val="left"/>
            </w:pPr>
            <w:r>
              <w:t>住所</w:t>
            </w:r>
          </w:p>
        </w:tc>
        <w:tc>
          <w:tcPr>
            <w:tcW w:w="3800" w:type="dxa"/>
            <w:vAlign w:val="center"/>
          </w:tcPr>
          <w:p>
            <w:pPr>
              <w:jc w:val="center"/>
            </w:pPr>
            <w: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H份额〗、〖I份额〗、〖J份额〗、〖P份额〗、〖Q份额〗、〖R份额〗、〖U份额〗和销售服务费于产品成立日一次性收取的〖K份额〗、〖M份额〗、〖N份额〗、〖W份额〗、〖X份额〗、〖Y份额〗、〖Z份额〗。A份额的年化销售服务费率为〖0.30%〗, B份额的年化销售服务费率为〖0.20%〗, C份额的年化销售服务费率为〖0.10%〗, D份额的年化销售服务费率为〖0.15%〗, E份额的年化销售服务费率为〖0.20%〗, F份额的年化销售服务费率为〖0.15%〗, H份额的年化销售服务费率为〖0.05%〗, I份额的年化销售服务费率为〖0.30%〗, J份额的年化销售服务费率为〖0.15%〗, K份额的年化销售服务费率为〖0.10%〗, M份额的年化销售服务费率为〖0.01%〗, N份额的年化销售服务费率为〖0.20%〗, P份额的年化销售服务费率为〖0.15%〗, Q份额的年化销售服务费率为〖0.05%〗, R份额的年化销售服务费率为〖0.05%〗, U份额的年化销售服务费率为〖0.02%〗, W份额的年化销售服务费率为〖0.30%〗, X份额的年化销售服务费率为〖0.15%〗,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H2＝E2×〖0.10%〗×P÷365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H2为〖K份额〗应计提的销售服务费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E2为〖K份额〗成立日产品份额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H份额的年化固定管理费率为〖0.10%〗, I份额的年化固定管理费率为〖0.10%〗, J份额的年化固定管理费率为〖0.10%〗, K份额的年化固定管理费率为〖0.10%〗, M份额的年化固定管理费率为〖0.09%〗, N份额的年化固定管理费率为〖0.10%〗, P份额的年化固定管理费率为〖0.10%〗, Q份额的年化固定管理费率为〖0.05%〗, R份额的年化固定管理费率为〖0.10%〗, U份额的年化固定管理费率为〖0.10%〗,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8"/>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理财非存款、产品有风险、投资须谨慎</w:t>
      </w:r>
    </w:p>
    <w:p>
      <w:p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尊敬的投资者：</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理财计划办理流程</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投资者应仔细阅读本理财计划完整合同（包括但不限于</w:t>
      </w:r>
      <w:r>
        <w:rPr>
          <w:rFonts w:hint="eastAsia" w:ascii="宋体" w:hAnsi="宋体" w:cs="宋体"/>
          <w:color w:val="000000"/>
          <w:kern w:val="0"/>
          <w:sz w:val="24"/>
          <w:highlight w:val="none"/>
          <w:lang w:eastAsia="zh-CN"/>
        </w:rPr>
        <w:t>理财计划</w:t>
      </w:r>
      <w:r>
        <w:rPr>
          <w:rFonts w:hint="eastAsia" w:ascii="宋体" w:hAnsi="宋体" w:cs="宋体"/>
          <w:color w:val="000000"/>
          <w:kern w:val="0"/>
          <w:sz w:val="24"/>
          <w:highlight w:val="none"/>
        </w:rPr>
        <w:t>风险揭示书、理财计划产品说明书、投资者权益须知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理财计划投资协议书</w:t>
      </w:r>
      <w:r>
        <w:rPr>
          <w:rFonts w:hint="eastAsia" w:ascii="宋体" w:hAnsi="宋体" w:cs="宋体"/>
          <w:color w:val="000000"/>
          <w:kern w:val="0"/>
          <w:sz w:val="24"/>
          <w:highlight w:val="none"/>
          <w:lang w:eastAsia="zh-CN"/>
        </w:rPr>
        <w:t>和理财计划（</w:t>
      </w:r>
      <w:r>
        <w:rPr>
          <w:rFonts w:hint="eastAsia" w:ascii="宋体" w:hAnsi="宋体" w:cs="宋体"/>
          <w:color w:val="000000"/>
          <w:kern w:val="0"/>
          <w:sz w:val="24"/>
          <w:highlight w:val="none"/>
          <w:lang w:val="en-US" w:eastAsia="zh-CN"/>
        </w:rPr>
        <w:t>代理销售</w:t>
      </w:r>
      <w:r>
        <w:rPr>
          <w:rFonts w:hint="eastAsia" w:ascii="宋体" w:hAnsi="宋体" w:cs="宋体"/>
          <w:color w:val="000000"/>
          <w:kern w:val="0"/>
          <w:sz w:val="24"/>
          <w:highlight w:val="none"/>
          <w:lang w:eastAsia="zh-CN"/>
        </w:rPr>
        <w:t>）销售协议书</w:t>
      </w:r>
      <w:r>
        <w:rPr>
          <w:rFonts w:hint="eastAsia" w:ascii="宋体" w:hAnsi="宋体" w:cs="宋体"/>
          <w:color w:val="000000"/>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如在银行营业场所购买杭银理财理财计划，销售机构需对每笔理财计划销售过程同步录音录像。</w:t>
      </w:r>
      <w:r>
        <w:rPr>
          <w:rFonts w:hint="eastAsia" w:ascii="宋体" w:hAnsi="宋体" w:cs="宋体"/>
          <w:color w:val="000000"/>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杭银理财产品风险评级</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color w:val="000000"/>
          <w:kern w:val="0"/>
          <w:sz w:val="24"/>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投资者风险承受能力评估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个人投资者风险承受能力评估流程（详询销售机构工作人员）</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个人投资者在销售机构进行风险承受能力评估；</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填写销售机构个人投资者风险承受能力测试问卷；</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生成相应的个人投资者风险承受能力评估结果；</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投资者对评估结果进行确认。</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kern w:val="0"/>
          <w:sz w:val="24"/>
          <w:highlight w:val="none"/>
          <w:lang w:eastAsia="zh-CN"/>
        </w:rPr>
        <w:t>理财计划风险揭示书、理财计划</w:t>
      </w:r>
      <w:r>
        <w:rPr>
          <w:rFonts w:hint="eastAsia" w:ascii="宋体" w:hAnsi="宋体" w:cs="宋体"/>
          <w:color w:val="000000"/>
          <w:kern w:val="0"/>
          <w:sz w:val="24"/>
          <w:highlight w:val="none"/>
        </w:rPr>
        <w:t>产品说明书</w:t>
      </w:r>
      <w:r>
        <w:rPr>
          <w:rFonts w:hint="eastAsia" w:ascii="宋体" w:hAnsi="宋体" w:cs="宋体"/>
          <w:color w:val="000000"/>
          <w:kern w:val="0"/>
          <w:sz w:val="24"/>
          <w:highlight w:val="none"/>
          <w:lang w:eastAsia="zh-CN"/>
        </w:rPr>
        <w:t>、理财计划投资协议书和理财计划销售协议书</w:t>
      </w:r>
      <w:r>
        <w:rPr>
          <w:rFonts w:hint="eastAsia" w:ascii="宋体" w:hAnsi="宋体" w:cs="宋体"/>
          <w:color w:val="000000"/>
          <w:kern w:val="0"/>
          <w:sz w:val="24"/>
          <w:highlight w:val="none"/>
        </w:rPr>
        <w:t>的基础上，充分认识投资本理财计划需要承担的风险。</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四、理财计划信息披露</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五、投资者信息管理</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六、投诉与建议</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投资者如认为理财</w:t>
      </w:r>
      <w:r>
        <w:rPr>
          <w:rFonts w:hint="eastAsia" w:ascii="宋体" w:hAnsi="宋体" w:cs="宋体"/>
          <w:color w:val="000000"/>
          <w:kern w:val="0"/>
          <w:sz w:val="24"/>
          <w:highlight w:val="none"/>
          <w:lang w:val="en-US" w:eastAsia="zh-CN"/>
        </w:rPr>
        <w:t>计划</w:t>
      </w:r>
      <w:r>
        <w:rPr>
          <w:rFonts w:hint="eastAsia" w:ascii="宋体" w:hAnsi="宋体" w:cs="宋体"/>
          <w:color w:val="000000"/>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kern w:val="0"/>
          <w:sz w:val="24"/>
          <w:highlight w:val="none"/>
          <w:lang w:val="en-US" w:eastAsia="zh-CN"/>
        </w:rPr>
        <w:t>或管理人</w:t>
      </w:r>
      <w:r>
        <w:rPr>
          <w:rFonts w:hint="eastAsia" w:ascii="宋体" w:hAnsi="宋体" w:cs="宋体"/>
          <w:color w:val="000000"/>
          <w:kern w:val="0"/>
          <w:sz w:val="24"/>
          <w:highlight w:val="none"/>
        </w:rPr>
        <w:t>热线或客服电话进行反馈</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联络方式</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bCs/>
          <w:color w:val="000000"/>
          <w:kern w:val="2"/>
          <w:highlight w:val="none"/>
          <w:u w:val="none"/>
          <w:lang w:val="en-US" w:eastAsia="zh-CN"/>
        </w:rPr>
        <w:t>https://</w:t>
      </w:r>
      <w:r>
        <w:rPr>
          <w:rStyle w:val="11"/>
          <w:rFonts w:hint="eastAsia" w:ascii="宋体" w:hAnsi="宋体" w:cs="宋体"/>
          <w:color w:val="000000"/>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u w:val="none"/>
          <w:lang w:val="en-US" w:eastAsia="zh-CN"/>
        </w:rPr>
        <w:t>公司地址：</w:t>
      </w:r>
      <w:r>
        <w:rPr>
          <w:rFonts w:hint="eastAsia" w:ascii="宋体" w:hAnsi="宋体" w:cs="宋体"/>
          <w:color w:val="000000"/>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若</w:t>
      </w:r>
      <w:r>
        <w:rPr>
          <w:rFonts w:hint="eastAsia" w:ascii="宋体" w:hAnsi="宋体" w:cs="宋体"/>
          <w:color w:val="000000"/>
          <w:kern w:val="0"/>
          <w:sz w:val="24"/>
          <w:highlight w:val="none"/>
        </w:rPr>
        <w:t>上述联系方式变更，杭银理财将提前通过</w:t>
      </w: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杭州银行</w:t>
      </w:r>
      <w:r>
        <w:rPr>
          <w:rFonts w:hint="eastAsia" w:ascii="宋体" w:hAnsi="宋体" w:cs="宋体"/>
          <w:color w:val="000000"/>
          <w:kern w:val="0"/>
          <w:sz w:val="24"/>
          <w:highlight w:val="none"/>
        </w:rPr>
        <w:t>（作为销售机构）</w:t>
      </w:r>
      <w:r>
        <w:rPr>
          <w:rFonts w:hint="eastAsia" w:ascii="宋体" w:hAnsi="宋体" w:cs="宋体"/>
          <w:color w:val="000000"/>
          <w:kern w:val="0"/>
          <w:sz w:val="24"/>
          <w:highlight w:val="none"/>
          <w:lang w:eastAsia="zh-CN"/>
        </w:rPr>
        <w:t>联络方式：</w:t>
      </w:r>
    </w:p>
    <w:p>
      <w:p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lang w:val="en-US" w:eastAsia="zh-CN"/>
        </w:rPr>
        <w:t xml:space="preserve">: </w:t>
      </w:r>
      <w:r>
        <w:fldChar w:fldCharType="begin"/>
      </w:r>
      <w:r>
        <w:instrText xml:space="preserve"> HYPERLINK "http://www.hzbankwealth.cn" </w:instrText>
      </w:r>
      <w:r>
        <w:fldChar w:fldCharType="separate"/>
      </w:r>
      <w:r>
        <w:rPr>
          <w:rStyle w:val="11"/>
          <w:rFonts w:hint="eastAsia" w:ascii="宋体" w:hAnsi="宋体" w:cs="宋体"/>
          <w:color w:val="000000"/>
          <w:kern w:val="0"/>
          <w:sz w:val="24"/>
          <w:highlight w:val="none"/>
          <w:u w:val="none"/>
          <w:lang w:val="en-US" w:eastAsia="zh-CN"/>
        </w:rPr>
        <w:t>www.hzbank.com.cn</w:t>
      </w:r>
      <w:r>
        <w:rPr>
          <w:rStyle w:val="11"/>
          <w:rFonts w:hint="eastAsia" w:ascii="宋体" w:hAnsi="宋体" w:cs="宋体"/>
          <w:color w:val="000000"/>
          <w:kern w:val="0"/>
          <w:sz w:val="24"/>
          <w:highlight w:val="none"/>
          <w:u w:val="none"/>
          <w:lang w:val="en-US" w:eastAsia="zh-CN"/>
        </w:rPr>
        <w:fldChar w:fldCharType="end"/>
      </w:r>
    </w:p>
    <w:p>
      <w:pPr>
        <w:spacing w:line="360" w:lineRule="auto"/>
        <w:ind w:firstLine="480" w:firstLineChars="200"/>
        <w:rPr>
          <w:rFonts w:hint="default" w:ascii="宋体" w:hAnsi="宋体" w:eastAsia="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客户服务热线：95398、</w:t>
      </w:r>
      <w:r>
        <w:rPr>
          <w:rFonts w:hint="eastAsia" w:ascii="宋体" w:hAnsi="宋体" w:cs="宋体"/>
          <w:color w:val="000000"/>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color w:val="000000"/>
          <w:kern w:val="0"/>
          <w:sz w:val="24"/>
          <w:highlight w:val="none"/>
          <w:lang w:eastAsia="zh-CN"/>
        </w:rPr>
        <w:t>在</w:t>
      </w:r>
      <w:r>
        <w:rPr>
          <w:rFonts w:hint="eastAsia" w:ascii="宋体" w:hAnsi="宋体" w:cs="宋体"/>
          <w:color w:val="000000"/>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color w:val="000000"/>
          <w:sz w:val="44"/>
          <w:szCs w:val="44"/>
          <w:highlight w:val="none"/>
        </w:rPr>
      </w:pPr>
      <w:r>
        <w:rPr>
          <w:rFonts w:hint="eastAsia"/>
          <w:b/>
          <w:color w:val="000000"/>
          <w:sz w:val="44"/>
          <w:szCs w:val="44"/>
          <w:highlight w:val="none"/>
        </w:rPr>
        <w:t>杭银理财理财计划投资协议书</w:t>
      </w:r>
    </w:p>
    <w:p>
      <w:pPr>
        <w:jc w:val="center"/>
        <w:rPr>
          <w:rFonts w:hint="eastAsia"/>
          <w:b/>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b/>
          <w:color w:val="000000"/>
          <w:sz w:val="32"/>
          <w:szCs w:val="32"/>
          <w:highlight w:val="none"/>
        </w:rPr>
      </w:pPr>
      <w:r>
        <w:rPr>
          <w:rFonts w:hint="eastAsia" w:ascii="宋体" w:hAnsi="宋体" w:cs="宋体"/>
          <w:b/>
          <w:bCs/>
          <w:color w:val="000000"/>
          <w:sz w:val="24"/>
          <w:highlight w:val="none"/>
          <w:u w:val="single"/>
        </w:rPr>
        <w:t>理财非存款、产品有风险、投资须谨慎</w:t>
      </w:r>
    </w:p>
    <w:p>
      <w:pPr>
        <w:spacing w:line="360" w:lineRule="auto"/>
        <w:ind w:firstLine="482" w:firstLineChars="200"/>
        <w:rPr>
          <w:rFonts w:hint="eastAsia"/>
          <w:b/>
          <w:bCs/>
          <w:color w:val="000000"/>
          <w:sz w:val="24"/>
          <w:highlight w:val="none"/>
        </w:rPr>
      </w:pPr>
      <w:r>
        <w:rPr>
          <w:rFonts w:hint="eastAsia"/>
          <w:b/>
          <w:bCs/>
          <w:color w:val="000000"/>
          <w:sz w:val="24"/>
          <w:highlight w:val="none"/>
        </w:rPr>
        <w:t>特别提示：杭银理财理财计划投资协议书与</w:t>
      </w:r>
      <w:r>
        <w:rPr>
          <w:rFonts w:hint="eastAsia"/>
          <w:b/>
          <w:bCs/>
          <w:color w:val="000000"/>
          <w:sz w:val="24"/>
          <w:highlight w:val="none"/>
          <w:lang w:eastAsia="zh-CN"/>
        </w:rPr>
        <w:t>理财计划风险揭示书、理财计划产品说明书、</w:t>
      </w:r>
      <w:r>
        <w:rPr>
          <w:rFonts w:hint="eastAsia"/>
          <w:b/>
          <w:bCs/>
          <w:color w:val="000000"/>
          <w:sz w:val="24"/>
          <w:highlight w:val="none"/>
        </w:rPr>
        <w:t>投资者权益须知</w:t>
      </w:r>
      <w:r>
        <w:rPr>
          <w:rFonts w:hint="eastAsia"/>
          <w:b/>
          <w:bCs/>
          <w:color w:val="000000"/>
          <w:sz w:val="24"/>
          <w:highlight w:val="none"/>
          <w:lang w:eastAsia="zh-CN"/>
        </w:rPr>
        <w:t>及理财计划销售协议书</w:t>
      </w:r>
      <w:r>
        <w:rPr>
          <w:rFonts w:hint="eastAsia"/>
          <w:b/>
          <w:bCs/>
          <w:color w:val="000000"/>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sz w:val="24"/>
          <w:highlight w:val="none"/>
        </w:rPr>
      </w:pPr>
      <w:r>
        <w:rPr>
          <w:rFonts w:hint="eastAsia"/>
          <w:color w:val="000000"/>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sz w:val="24"/>
          <w:highlight w:val="none"/>
        </w:rPr>
      </w:pPr>
    </w:p>
    <w:p>
      <w:pPr>
        <w:numPr>
          <w:ilvl w:val="0"/>
          <w:numId w:val="61"/>
        </w:numPr>
        <w:spacing w:line="360" w:lineRule="auto"/>
        <w:ind w:firstLine="482" w:firstLineChars="200"/>
        <w:outlineLvl w:val="9"/>
        <w:rPr>
          <w:rFonts w:hint="eastAsia" w:ascii="宋体" w:hAnsi="宋体"/>
          <w:b/>
          <w:bCs/>
          <w:color w:val="000000"/>
          <w:sz w:val="24"/>
          <w:highlight w:val="none"/>
        </w:rPr>
      </w:pPr>
      <w:r>
        <w:rPr>
          <w:rFonts w:hint="eastAsia"/>
          <w:b/>
          <w:bCs/>
          <w:color w:val="000000"/>
          <w:sz w:val="24"/>
          <w:highlight w:val="none"/>
        </w:rPr>
        <w:t>名词释义</w:t>
      </w:r>
    </w:p>
    <w:p>
      <w:pPr>
        <w:spacing w:line="360" w:lineRule="auto"/>
        <w:ind w:firstLine="480" w:firstLineChars="200"/>
        <w:rPr>
          <w:rFonts w:hint="eastAsia"/>
          <w:bCs/>
          <w:color w:val="000000"/>
          <w:sz w:val="24"/>
          <w:highlight w:val="none"/>
        </w:rPr>
      </w:pPr>
      <w:r>
        <w:rPr>
          <w:rFonts w:hint="eastAsia"/>
          <w:bCs/>
          <w:color w:val="000000"/>
          <w:sz w:val="24"/>
          <w:highlight w:val="none"/>
        </w:rPr>
        <w:t>详见理财计划说明书“释义”部分。</w:t>
      </w:r>
    </w:p>
    <w:p>
      <w:pPr>
        <w:spacing w:line="360" w:lineRule="auto"/>
        <w:ind w:firstLine="480" w:firstLineChars="200"/>
        <w:rPr>
          <w:rFonts w:hint="eastAsia"/>
          <w:bCs/>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投资者权利与义务</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投资者进行投资时，应严格遵守反洗钱相关法规的规定，切实履行反洗钱及反恐怖融资义务。 </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管理人权利与义务</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color w:val="000000"/>
          <w:sz w:val="24"/>
          <w:highlight w:val="none"/>
        </w:rPr>
      </w:pPr>
      <w:r>
        <w:rPr>
          <w:rFonts w:ascii="宋体" w:hAnsi="宋体"/>
          <w:color w:val="000000"/>
          <w:sz w:val="24"/>
          <w:highlight w:val="none"/>
        </w:rPr>
        <w:t>管理人不得将理财</w:t>
      </w:r>
      <w:r>
        <w:rPr>
          <w:rFonts w:hint="eastAsia" w:ascii="宋体" w:hAnsi="宋体"/>
          <w:color w:val="000000"/>
          <w:sz w:val="24"/>
          <w:highlight w:val="none"/>
        </w:rPr>
        <w:t>计划</w:t>
      </w:r>
      <w:r>
        <w:rPr>
          <w:rFonts w:ascii="宋体" w:hAnsi="宋体"/>
          <w:color w:val="000000"/>
          <w:sz w:val="24"/>
          <w:highlight w:val="none"/>
        </w:rPr>
        <w:t>财产归入其自有资产</w:t>
      </w:r>
      <w:r>
        <w:rPr>
          <w:rFonts w:hint="eastAsia" w:ascii="宋体" w:hAnsi="宋体"/>
          <w:color w:val="000000"/>
          <w:sz w:val="24"/>
          <w:highlight w:val="none"/>
        </w:rPr>
        <w:t>，</w:t>
      </w:r>
      <w:r>
        <w:rPr>
          <w:rFonts w:ascii="宋体" w:hAnsi="宋体"/>
          <w:color w:val="000000"/>
          <w:sz w:val="24"/>
          <w:highlight w:val="none"/>
        </w:rPr>
        <w:t>因依法解散</w:t>
      </w:r>
      <w:r>
        <w:rPr>
          <w:rFonts w:hint="eastAsia" w:ascii="宋体" w:hAnsi="宋体"/>
          <w:color w:val="000000"/>
          <w:sz w:val="24"/>
          <w:highlight w:val="none"/>
        </w:rPr>
        <w:t>、</w:t>
      </w:r>
      <w:r>
        <w:rPr>
          <w:rFonts w:ascii="宋体" w:hAnsi="宋体"/>
          <w:color w:val="000000"/>
          <w:sz w:val="24"/>
          <w:highlight w:val="none"/>
        </w:rPr>
        <w:t>被依法撤销或者被依法宣告破产等原因进行清算的</w:t>
      </w:r>
      <w:r>
        <w:rPr>
          <w:rFonts w:hint="eastAsia" w:ascii="宋体" w:hAnsi="宋体"/>
          <w:color w:val="000000"/>
          <w:sz w:val="24"/>
          <w:highlight w:val="none"/>
        </w:rPr>
        <w:t>，</w:t>
      </w:r>
      <w:r>
        <w:rPr>
          <w:rFonts w:ascii="宋体" w:hAnsi="宋体"/>
          <w:color w:val="000000"/>
          <w:sz w:val="24"/>
          <w:highlight w:val="none"/>
        </w:rPr>
        <w:t>理财</w:t>
      </w:r>
      <w:r>
        <w:rPr>
          <w:rFonts w:hint="eastAsia" w:ascii="宋体" w:hAnsi="宋体"/>
          <w:color w:val="000000"/>
          <w:sz w:val="24"/>
          <w:highlight w:val="none"/>
        </w:rPr>
        <w:t>计划</w:t>
      </w:r>
      <w:r>
        <w:rPr>
          <w:rFonts w:ascii="宋体" w:hAnsi="宋体"/>
          <w:color w:val="000000"/>
          <w:sz w:val="24"/>
          <w:highlight w:val="none"/>
        </w:rPr>
        <w:t>财产不属于其清算财产</w:t>
      </w:r>
      <w:r>
        <w:rPr>
          <w:rFonts w:hint="eastAsia" w:ascii="宋体" w:hAnsi="宋体"/>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理财计划认（申）购、赎回及终止</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税收处理</w:t>
      </w:r>
    </w:p>
    <w:p>
      <w:pPr>
        <w:widowControl/>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违约责任及免责条款</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color w:val="000000"/>
          <w:sz w:val="24"/>
          <w:highlight w:val="none"/>
          <w:lang w:eastAsia="zh-CN"/>
        </w:rPr>
        <w:t>赎回</w:t>
      </w:r>
      <w:r>
        <w:rPr>
          <w:rFonts w:hint="eastAsia" w:ascii="宋体" w:hAnsi="宋体"/>
          <w:color w:val="000000"/>
          <w:sz w:val="24"/>
          <w:highlight w:val="none"/>
        </w:rPr>
        <w:t>，本合同自动终止。因提前终止而产生的损失及相关费用由投资者承担。本合同前述情况终止的，理财本金不计付</w:t>
      </w:r>
      <w:r>
        <w:rPr>
          <w:rFonts w:hint="eastAsia" w:ascii="宋体" w:hAnsi="宋体"/>
          <w:color w:val="000000"/>
          <w:sz w:val="24"/>
          <w:highlight w:val="none"/>
          <w:lang w:eastAsia="zh-CN"/>
        </w:rPr>
        <w:t>赎回</w:t>
      </w:r>
      <w:r>
        <w:rPr>
          <w:rFonts w:hint="eastAsia" w:ascii="宋体" w:hAnsi="宋体"/>
          <w:color w:val="000000"/>
          <w:sz w:val="24"/>
          <w:highlight w:val="none"/>
        </w:rPr>
        <w:t>日前的理财收益，也不计付存款利息。</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适用法律与争议解决</w:t>
      </w:r>
    </w:p>
    <w:p>
      <w:pPr>
        <w:widowControl/>
        <w:spacing w:line="360" w:lineRule="auto"/>
        <w:ind w:firstLine="480" w:firstLineChars="200"/>
        <w:contextualSpacing/>
        <w:rPr>
          <w:rFonts w:ascii="宋体" w:hAnsi="宋体"/>
          <w:color w:val="000000"/>
          <w:sz w:val="24"/>
          <w:highlight w:val="none"/>
        </w:rPr>
      </w:pPr>
      <w:r>
        <w:rPr>
          <w:rFonts w:hint="eastAsia" w:ascii="宋体" w:hAnsi="宋体"/>
          <w:color w:val="000000"/>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color w:val="000000"/>
          <w:sz w:val="24"/>
          <w:highlight w:val="none"/>
        </w:rPr>
        <w:t>的法律和行政法规。本合同项下的及与之有关的一切争议，投资者与管理人双方应首先协商解决，协商不成的，应提交</w:t>
      </w:r>
      <w:r>
        <w:rPr>
          <w:rFonts w:hint="eastAsia" w:ascii="宋体" w:hAnsi="宋体"/>
          <w:color w:val="000000"/>
          <w:sz w:val="24"/>
          <w:highlight w:val="none"/>
          <w:lang w:val="en-US" w:eastAsia="zh-CN"/>
        </w:rPr>
        <w:t>被告人</w:t>
      </w:r>
      <w:r>
        <w:rPr>
          <w:rFonts w:hint="eastAsia" w:ascii="宋体" w:hAnsi="宋体"/>
          <w:color w:val="000000"/>
          <w:sz w:val="24"/>
          <w:highlight w:val="none"/>
        </w:rPr>
        <w:t>所在地人民法院司法裁决。诉讼期间，未涉及争议的条款仍需继续履行。</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协议生效和终止</w:t>
      </w:r>
    </w:p>
    <w:p>
      <w:pPr>
        <w:widowControl/>
        <w:numPr>
          <w:ilvl w:val="0"/>
          <w:numId w:val="66"/>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本协议书以纸质书面形式订立的，自投资者</w:t>
      </w:r>
      <w:r>
        <w:rPr>
          <w:rFonts w:hint="eastAsia" w:ascii="宋体" w:hAnsi="宋体"/>
          <w:color w:val="000000"/>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sz w:val="24"/>
          <w:highlight w:val="none"/>
        </w:rPr>
        <w:t>之后立即生效。协议一式</w:t>
      </w:r>
      <w:r>
        <w:rPr>
          <w:rFonts w:hint="eastAsia" w:ascii="宋体" w:hAnsi="宋体"/>
          <w:color w:val="000000"/>
          <w:sz w:val="24"/>
          <w:highlight w:val="none"/>
          <w:lang w:eastAsia="zh-CN"/>
        </w:rPr>
        <w:t>贰</w:t>
      </w:r>
      <w:r>
        <w:rPr>
          <w:rFonts w:hint="eastAsia" w:ascii="宋体" w:hAnsi="宋体"/>
          <w:color w:val="000000"/>
          <w:sz w:val="24"/>
          <w:highlight w:val="none"/>
        </w:rPr>
        <w:t>份，投资者和管理人双方各执</w:t>
      </w:r>
      <w:r>
        <w:rPr>
          <w:rFonts w:hint="eastAsia" w:ascii="宋体" w:hAnsi="宋体"/>
          <w:color w:val="000000"/>
          <w:sz w:val="24"/>
          <w:highlight w:val="none"/>
          <w:lang w:eastAsia="zh-CN"/>
        </w:rPr>
        <w:t>壹</w:t>
      </w:r>
      <w:r>
        <w:rPr>
          <w:rFonts w:hint="eastAsia" w:ascii="宋体" w:hAnsi="宋体"/>
          <w:color w:val="000000"/>
          <w:sz w:val="24"/>
          <w:highlight w:val="none"/>
        </w:rPr>
        <w:t xml:space="preserve">份，具有同等法律效力。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附则</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color w:val="000000"/>
          <w:kern w:val="0"/>
          <w:highlight w:val="none"/>
        </w:rPr>
        <w:t>杭银理财有限责任公司</w:t>
      </w:r>
    </w:p>
    <w:p>
      <w:pPr>
        <w:pageBreakBefore/>
        <w:widowControl/>
        <w:spacing w:line="360" w:lineRule="auto"/>
        <w:rPr>
          <w:rFonts w:ascii="宋体" w:hAnsi="宋体"/>
          <w:color w:val="000000"/>
          <w:sz w:val="24"/>
          <w:highlight w:val="none"/>
        </w:rPr>
      </w:pPr>
      <w:r>
        <w:rPr>
          <w:rFonts w:hint="eastAsia" w:ascii="宋体" w:hAnsi="宋体"/>
          <w:color w:val="000000"/>
          <w:sz w:val="24"/>
          <w:highlight w:val="none"/>
        </w:rPr>
        <w:t>本页为纸质形式（如有）</w:t>
      </w:r>
      <w:r>
        <w:rPr>
          <w:rFonts w:hint="eastAsia" w:ascii="宋体" w:hAnsi="宋体"/>
          <w:color w:val="000000"/>
          <w:sz w:val="24"/>
          <w:highlight w:val="none"/>
          <w:lang w:val="en-US" w:eastAsia="zh-CN"/>
        </w:rPr>
        <w:t>投资</w:t>
      </w:r>
      <w:r>
        <w:rPr>
          <w:rFonts w:hint="eastAsia" w:ascii="宋体" w:hAnsi="宋体"/>
          <w:color w:val="000000"/>
          <w:sz w:val="24"/>
          <w:highlight w:val="none"/>
        </w:rPr>
        <w:t>协议书签章页</w:t>
      </w: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rFonts w:hint="eastAsia" w:ascii="宋体" w:hAnsi="宋体"/>
          <w:b/>
          <w:bCs/>
          <w:color w:val="000000"/>
          <w:sz w:val="24"/>
          <w:highlight w:val="none"/>
        </w:rPr>
      </w:pPr>
      <w:r>
        <w:rPr>
          <w:rFonts w:hint="eastAsia" w:ascii="宋体" w:hAnsi="宋体"/>
          <w:b/>
          <w:bCs/>
          <w:color w:val="000000"/>
          <w:sz w:val="24"/>
          <w:highlight w:val="none"/>
        </w:rPr>
        <w:t>投资者（签字</w:t>
      </w:r>
      <w:r>
        <w:rPr>
          <w:rFonts w:hint="eastAsia" w:ascii="宋体" w:hAnsi="宋体" w:eastAsia="宋体" w:cs="黑体"/>
          <w:b/>
          <w:bCs/>
          <w:color w:val="000000"/>
          <w:sz w:val="24"/>
          <w:highlight w:val="none"/>
          <w:lang w:eastAsia="zh-CN"/>
        </w:rPr>
        <w:t>或签章</w:t>
      </w:r>
      <w:r>
        <w:rPr>
          <w:rFonts w:hint="eastAsia" w:ascii="宋体" w:hAnsi="宋体"/>
          <w:b/>
          <w:bCs/>
          <w:color w:val="000000"/>
          <w:sz w:val="24"/>
          <w:highlight w:val="none"/>
        </w:rPr>
        <w:t>）：</w:t>
      </w:r>
    </w:p>
    <w:p>
      <w:pPr>
        <w:spacing w:line="360" w:lineRule="auto"/>
        <w:rPr>
          <w:rFonts w:hint="eastAsia" w:ascii="宋体" w:hAnsi="宋体"/>
          <w:b/>
          <w:bCs/>
          <w:color w:val="000000"/>
          <w:sz w:val="24"/>
          <w:highlight w:val="none"/>
        </w:rPr>
      </w:pPr>
    </w:p>
    <w:p>
      <w:pPr>
        <w:spacing w:line="360" w:lineRule="auto"/>
        <w:rPr>
          <w:rFonts w:hint="eastAsia" w:ascii="宋体" w:hAnsi="宋体"/>
          <w:b/>
          <w:bCs/>
          <w:color w:val="000000"/>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color w:val="000000"/>
          <w:sz w:val="24"/>
          <w:highlight w:val="none"/>
        </w:rPr>
        <w:t xml:space="preserve">   年   月   日</w:t>
      </w:r>
    </w:p>
    <w:p>
      <w:pPr>
        <w:pageBreakBefore/>
        <w:widowControl/>
        <w:spacing w:line="120" w:lineRule="auto"/>
        <w:jc w:val="center"/>
        <w:outlineLvl w:val="9"/>
        <w:rPr>
          <w:rFonts w:hint="eastAsia" w:ascii="Calibri" w:hAnsi="Calibri" w:eastAsia="宋体" w:cs="黑体"/>
          <w:b/>
          <w:bCs w:val="0"/>
          <w:color w:val="000000"/>
          <w:sz w:val="44"/>
          <w:szCs w:val="44"/>
          <w:highlight w:val="none"/>
        </w:rPr>
      </w:pPr>
      <w:r>
        <w:rPr>
          <w:rFonts w:hint="eastAsia" w:ascii="Calibri" w:hAnsi="Calibri" w:eastAsia="宋体" w:cs="黑体"/>
          <w:b/>
          <w:bCs w:val="0"/>
          <w:color w:val="000000"/>
          <w:sz w:val="44"/>
          <w:szCs w:val="44"/>
          <w:highlight w:val="none"/>
          <w:lang w:val="en-US" w:eastAsia="zh-CN"/>
        </w:rPr>
        <w:t>杭银理财理财计划</w:t>
      </w:r>
      <w:r>
        <w:rPr>
          <w:rFonts w:hint="eastAsia" w:ascii="Calibri" w:hAnsi="Calibri" w:eastAsia="宋体" w:cs="黑体"/>
          <w:b/>
          <w:bCs w:val="0"/>
          <w:color w:val="000000"/>
          <w:sz w:val="44"/>
          <w:szCs w:val="44"/>
          <w:highlight w:val="none"/>
        </w:rPr>
        <w:t>销售协议书</w:t>
      </w:r>
    </w:p>
    <w:p>
      <w:pPr>
        <w:jc w:val="center"/>
        <w:rPr>
          <w:rFonts w:hint="eastAsia" w:ascii="宋体" w:hAnsi="宋体" w:eastAsia="宋体" w:cs="宋体"/>
          <w:b w:val="0"/>
          <w:bCs w:val="0"/>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202502</w:t>
      </w:r>
      <w:r>
        <w:rPr>
          <w:rFonts w:hint="eastAsia" w:ascii="宋体" w:hAnsi="宋体" w:eastAsia="宋体" w:cs="宋体"/>
          <w:color w:val="000000"/>
          <w:sz w:val="28"/>
          <w:szCs w:val="28"/>
          <w:highlight w:val="none"/>
        </w:rPr>
        <w:t>版）</w:t>
      </w:r>
    </w:p>
    <w:p>
      <w:pPr>
        <w:spacing w:line="360" w:lineRule="auto"/>
        <w:jc w:val="center"/>
        <w:rPr>
          <w:rFonts w:hint="default"/>
          <w:color w:val="000000"/>
          <w:sz w:val="32"/>
          <w:szCs w:val="40"/>
          <w:highlight w:val="none"/>
          <w:lang w:val="en-US" w:eastAsia="zh-CN"/>
        </w:rPr>
      </w:pPr>
      <w:r>
        <w:rPr>
          <w:rFonts w:hint="eastAsia" w:ascii="宋体" w:hAnsi="宋体" w:cs="宋体"/>
          <w:b/>
          <w:bCs/>
          <w:color w:val="000000"/>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sz w:val="24"/>
          <w:highlight w:val="none"/>
        </w:rPr>
      </w:pPr>
      <w:r>
        <w:rPr>
          <w:rFonts w:hint="eastAsia" w:ascii="Calibri" w:hAnsi="Calibri" w:eastAsia="宋体" w:cs="黑体"/>
          <w:b/>
          <w:bCs/>
          <w:color w:val="000000"/>
          <w:sz w:val="24"/>
          <w:highlight w:val="none"/>
        </w:rPr>
        <w:t>特别提示：</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rPr>
        <w:t>杭银理财</w:t>
      </w:r>
      <w:r>
        <w:rPr>
          <w:rFonts w:hint="eastAsia" w:ascii="Calibri" w:hAnsi="Calibri" w:eastAsia="宋体" w:cs="黑体"/>
          <w:b/>
          <w:bCs/>
          <w:color w:val="000000"/>
          <w:sz w:val="24"/>
          <w:highlight w:val="none"/>
          <w:lang w:val="en-US" w:eastAsia="zh-CN"/>
        </w:rPr>
        <w:t>理财计划销售协议书</w:t>
      </w:r>
      <w:r>
        <w:rPr>
          <w:rFonts w:hint="eastAsia" w:ascii="宋体" w:hAnsi="宋体" w:eastAsia="宋体" w:cs="宋体"/>
          <w:b/>
          <w:bCs/>
          <w:color w:val="000000"/>
          <w:sz w:val="24"/>
          <w:highlight w:val="none"/>
          <w:lang w:val="en-US" w:eastAsia="zh-CN"/>
        </w:rPr>
        <w:t>（202502</w:t>
      </w:r>
      <w:r>
        <w:rPr>
          <w:rFonts w:hint="eastAsia" w:ascii="Calibri" w:hAnsi="Calibri" w:eastAsia="宋体" w:cs="黑体"/>
          <w:b/>
          <w:bCs/>
          <w:color w:val="000000"/>
          <w:sz w:val="24"/>
          <w:highlight w:val="none"/>
          <w:lang w:val="en-US" w:eastAsia="zh-CN"/>
        </w:rPr>
        <w:t>版）</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lang w:val="en-US" w:eastAsia="zh-CN"/>
        </w:rPr>
        <w:t>与对应期次的</w:t>
      </w:r>
      <w:r>
        <w:rPr>
          <w:rFonts w:hint="eastAsia" w:eastAsia="宋体" w:cs="黑体"/>
          <w:b/>
          <w:bCs/>
          <w:color w:val="000000"/>
          <w:sz w:val="24"/>
          <w:highlight w:val="none"/>
          <w:lang w:val="en-US" w:eastAsia="zh-CN"/>
        </w:rPr>
        <w:t>理财计划风险揭示书、理财计划产品说明书、投资者权益须知及</w:t>
      </w:r>
      <w:r>
        <w:rPr>
          <w:rFonts w:hint="eastAsia" w:ascii="Calibri" w:hAnsi="Calibri" w:eastAsia="宋体" w:cs="黑体"/>
          <w:b/>
          <w:bCs/>
          <w:color w:val="000000"/>
          <w:sz w:val="24"/>
          <w:highlight w:val="none"/>
        </w:rPr>
        <w:t>理财计划投资协议书共同构成完整且不可分割的理财计划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。杭银理财有限责任公司（以下简称“杭银理财”）建议投资者在购买理财计划前认真阅读</w:t>
      </w:r>
      <w:r>
        <w:rPr>
          <w:rFonts w:hint="eastAsia" w:ascii="Calibri" w:hAnsi="Calibri" w:eastAsia="宋体" w:cs="黑体"/>
          <w:b/>
          <w:bCs/>
          <w:color w:val="000000"/>
          <w:sz w:val="24"/>
          <w:highlight w:val="none"/>
          <w:lang w:val="en-US" w:eastAsia="zh-CN"/>
        </w:rPr>
        <w:t>全套</w:t>
      </w:r>
      <w:r>
        <w:rPr>
          <w:rFonts w:hint="eastAsia" w:ascii="Calibri" w:hAnsi="Calibri" w:eastAsia="宋体" w:cs="黑体"/>
          <w:b/>
          <w:bCs/>
          <w:color w:val="000000"/>
          <w:sz w:val="24"/>
          <w:highlight w:val="none"/>
        </w:rPr>
        <w:t>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，投资者签署</w:t>
      </w:r>
      <w:r>
        <w:rPr>
          <w:rFonts w:hint="eastAsia" w:ascii="Calibri" w:hAnsi="Calibri" w:eastAsia="宋体" w:cs="黑体"/>
          <w:b/>
          <w:bCs/>
          <w:color w:val="000000"/>
          <w:sz w:val="24"/>
          <w:highlight w:val="none"/>
          <w:lang w:val="en-US" w:eastAsia="zh-CN"/>
        </w:rPr>
        <w:t>本</w:t>
      </w:r>
      <w:r>
        <w:rPr>
          <w:rFonts w:hint="eastAsia" w:ascii="Calibri" w:hAnsi="Calibri" w:eastAsia="宋体" w:cs="黑体"/>
          <w:b/>
          <w:bCs/>
          <w:color w:val="000000"/>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sz w:val="24"/>
          <w:highlight w:val="none"/>
          <w:lang w:val="en-US" w:eastAsia="zh-CN"/>
        </w:rPr>
      </w:pPr>
      <w:r>
        <w:rPr>
          <w:rFonts w:hint="eastAsia" w:ascii="Calibri" w:hAnsi="Calibri" w:eastAsia="宋体" w:cs="黑体"/>
          <w:b/>
          <w:bCs/>
          <w:color w:val="000000"/>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理财计划销售的相关法律主体为发行理财计划的理财公司、</w:t>
      </w:r>
      <w:r>
        <w:rPr>
          <w:rFonts w:hint="eastAsia" w:eastAsia="宋体" w:cs="黑体"/>
          <w:color w:val="000000"/>
          <w:sz w:val="24"/>
          <w:highlight w:val="none"/>
          <w:lang w:val="en-US" w:eastAsia="zh-CN"/>
        </w:rPr>
        <w:t>理财公司自有销售渠道以及</w:t>
      </w:r>
      <w:r>
        <w:rPr>
          <w:rFonts w:hint="eastAsia" w:ascii="Calibri" w:hAnsi="Calibri" w:eastAsia="宋体" w:cs="黑体"/>
          <w:color w:val="000000"/>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color w:val="000000"/>
          <w:sz w:val="24"/>
          <w:highlight w:val="none"/>
          <w:lang w:val="en-US" w:eastAsia="zh-CN"/>
        </w:rPr>
        <w:t>理财公司和</w:t>
      </w:r>
      <w:r>
        <w:rPr>
          <w:rFonts w:hint="eastAsia" w:ascii="Calibri" w:hAnsi="Calibri" w:eastAsia="宋体" w:cs="黑体"/>
          <w:color w:val="000000"/>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第一条 </w:t>
      </w:r>
      <w:r>
        <w:rPr>
          <w:rFonts w:hint="eastAsia" w:ascii="Calibri" w:hAnsi="Calibri" w:eastAsia="宋体" w:cs="黑体"/>
          <w:b/>
          <w:bCs/>
          <w:color w:val="000000"/>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r>
        <w:rPr>
          <w:rFonts w:hint="eastAsia" w:ascii="Calibri" w:hAnsi="Calibri" w:eastAsia="宋体" w:cs="黑体"/>
          <w:bCs/>
          <w:color w:val="000000"/>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第二条 </w:t>
      </w:r>
      <w:r>
        <w:rPr>
          <w:rFonts w:hint="eastAsia" w:ascii="Calibri" w:hAnsi="Calibri" w:eastAsia="宋体" w:cs="黑体"/>
          <w:b/>
          <w:bCs/>
          <w:color w:val="000000"/>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rPr>
        <w:t>投资者购买</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lang w:eastAsia="zh-CN"/>
        </w:rPr>
        <w:t>代理销售</w:t>
      </w:r>
      <w:r>
        <w:rPr>
          <w:rFonts w:hint="eastAsia" w:ascii="宋体" w:hAnsi="宋体" w:eastAsia="宋体" w:cs="黑体"/>
          <w:b/>
          <w:bCs/>
          <w:color w:val="000000"/>
          <w:sz w:val="24"/>
          <w:highlight w:val="none"/>
        </w:rPr>
        <w:t>的私募</w:t>
      </w:r>
      <w:r>
        <w:rPr>
          <w:rFonts w:hint="eastAsia" w:ascii="宋体" w:hAnsi="宋体" w:eastAsia="宋体" w:cs="黑体"/>
          <w:b/>
          <w:bCs/>
          <w:color w:val="000000"/>
          <w:sz w:val="24"/>
          <w:highlight w:val="none"/>
          <w:lang w:eastAsia="zh-CN"/>
        </w:rPr>
        <w:t>理财计划</w:t>
      </w:r>
      <w:r>
        <w:rPr>
          <w:rFonts w:hint="eastAsia" w:ascii="宋体" w:hAnsi="宋体" w:eastAsia="宋体" w:cs="黑体"/>
          <w:b/>
          <w:bCs/>
          <w:color w:val="000000"/>
          <w:sz w:val="24"/>
          <w:highlight w:val="none"/>
        </w:rPr>
        <w:t>后，可以享有24 小时的投资冷静期，在投资冷静期内，如</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改变投资决定，应提出解除相应理财</w:t>
      </w:r>
      <w:r>
        <w:rPr>
          <w:rFonts w:hint="eastAsia" w:ascii="宋体" w:hAnsi="宋体" w:eastAsia="宋体" w:cs="黑体"/>
          <w:b/>
          <w:bCs/>
          <w:color w:val="000000"/>
          <w:sz w:val="24"/>
          <w:highlight w:val="none"/>
          <w:lang w:val="en-US" w:eastAsia="zh-CN"/>
        </w:rPr>
        <w:t>计划合同</w:t>
      </w:r>
      <w:r>
        <w:rPr>
          <w:rFonts w:hint="eastAsia" w:ascii="宋体" w:hAnsi="宋体" w:eastAsia="宋体" w:cs="黑体"/>
          <w:b/>
          <w:bCs/>
          <w:color w:val="000000"/>
          <w:sz w:val="24"/>
          <w:highlight w:val="none"/>
        </w:rPr>
        <w:t>文件申请，</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将及时退还</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的全部投资款项。</w:t>
      </w:r>
      <w:r>
        <w:rPr>
          <w:rFonts w:hint="eastAsia" w:ascii="宋体" w:hAnsi="宋体" w:eastAsia="宋体" w:cs="黑体"/>
          <w:color w:val="000000"/>
          <w:sz w:val="24"/>
          <w:highlight w:val="none"/>
        </w:rPr>
        <w:t>投资冷静期相关约定详见</w:t>
      </w:r>
      <w:r>
        <w:rPr>
          <w:rFonts w:hint="eastAsia" w:ascii="宋体" w:hAnsi="宋体" w:eastAsia="宋体" w:cs="黑体"/>
          <w:color w:val="000000"/>
          <w:sz w:val="24"/>
          <w:highlight w:val="none"/>
          <w:lang w:val="en-US" w:eastAsia="zh-CN"/>
        </w:rPr>
        <w:t>理财计划产品</w:t>
      </w:r>
      <w:r>
        <w:rPr>
          <w:rFonts w:hint="eastAsia" w:ascii="宋体" w:hAnsi="宋体" w:eastAsia="宋体" w:cs="黑体"/>
          <w:color w:val="000000"/>
          <w:sz w:val="24"/>
          <w:highlight w:val="none"/>
        </w:rPr>
        <w:t>说明书</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投资者保证执行及交付任何文件或履行本协议项下的义务，均不会违反任何适用法律、法规、法令或法律限制</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sz w:val="24"/>
          <w:highlight w:val="none"/>
          <w:lang w:val="en-US" w:eastAsia="zh-CN"/>
        </w:rPr>
        <w:t>其</w:t>
      </w:r>
      <w:r>
        <w:rPr>
          <w:rFonts w:hint="eastAsia" w:ascii="宋体" w:hAnsi="宋体" w:eastAsia="宋体" w:cs="黑体"/>
          <w:color w:val="000000"/>
          <w:sz w:val="24"/>
          <w:highlight w:val="none"/>
        </w:rPr>
        <w:t>授权指定</w:t>
      </w:r>
      <w:r>
        <w:rPr>
          <w:rFonts w:hint="eastAsia" w:ascii="宋体" w:hAnsi="宋体" w:eastAsia="宋体" w:cs="黑体"/>
          <w:color w:val="000000"/>
          <w:sz w:val="24"/>
          <w:highlight w:val="none"/>
          <w:lang w:val="en-US" w:eastAsia="zh-CN"/>
        </w:rPr>
        <w:t>的</w:t>
      </w:r>
      <w:r>
        <w:rPr>
          <w:rFonts w:hint="eastAsia" w:ascii="宋体" w:hAnsi="宋体" w:eastAsia="宋体" w:cs="黑体"/>
          <w:color w:val="000000"/>
          <w:sz w:val="24"/>
          <w:highlight w:val="none"/>
        </w:rPr>
        <w:t>账户</w:t>
      </w:r>
      <w:r>
        <w:rPr>
          <w:rFonts w:hint="eastAsia" w:ascii="宋体" w:hAnsi="宋体" w:eastAsia="宋体" w:cs="黑体"/>
          <w:color w:val="000000"/>
          <w:sz w:val="24"/>
          <w:highlight w:val="none"/>
          <w:lang w:val="en-US" w:eastAsia="zh-CN"/>
        </w:rPr>
        <w:t>中（以下简称“授权指定账户”）</w:t>
      </w:r>
      <w:r>
        <w:rPr>
          <w:rFonts w:hint="eastAsia" w:ascii="宋体" w:hAnsi="宋体" w:eastAsia="宋体" w:cs="黑体"/>
          <w:color w:val="000000"/>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在此确认</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的系统记录以及录音、录像构成对</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操作行为（包括但不限于购买、赎回、撤单）的有效证据，并且在</w:t>
      </w:r>
      <w:r>
        <w:rPr>
          <w:rFonts w:hint="eastAsia" w:ascii="宋体" w:hAnsi="宋体" w:eastAsia="宋体" w:cs="黑体"/>
          <w:b/>
          <w:bCs/>
          <w:color w:val="000000"/>
          <w:sz w:val="24"/>
          <w:highlight w:val="none"/>
          <w:lang w:val="en-US" w:eastAsia="zh-CN"/>
        </w:rPr>
        <w:t>双</w:t>
      </w:r>
      <w:r>
        <w:rPr>
          <w:rFonts w:hint="eastAsia" w:ascii="宋体" w:hAnsi="宋体" w:eastAsia="宋体" w:cs="黑体"/>
          <w:b/>
          <w:bCs/>
          <w:color w:val="000000"/>
          <w:sz w:val="24"/>
          <w:highlight w:val="none"/>
        </w:rPr>
        <w:t>方发生争议时可以作为合法有效的证据使用</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在本理财计划存续期内，如有权机关要求</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配合对投资者理财份额、理财账户、授权指定账户进行查封、冻结或扣划的，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有权根据实际情况采取</w:t>
      </w:r>
      <w:r>
        <w:rPr>
          <w:rFonts w:hint="eastAsia" w:ascii="宋体" w:hAnsi="宋体" w:eastAsia="宋体" w:cs="黑体"/>
          <w:color w:val="000000"/>
          <w:sz w:val="24"/>
          <w:highlight w:val="none"/>
          <w:lang w:val="en-US" w:eastAsia="zh-CN"/>
        </w:rPr>
        <w:t>相应</w:t>
      </w:r>
      <w:r>
        <w:rPr>
          <w:rFonts w:hint="eastAsia" w:ascii="宋体" w:hAnsi="宋体" w:eastAsia="宋体" w:cs="黑体"/>
          <w:color w:val="000000"/>
          <w:sz w:val="24"/>
          <w:highlight w:val="none"/>
        </w:rPr>
        <w:t>措施。</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本协议终止前，投资者不得将授权指定账户销户。若发生因投资者注销授权指定账户造成理财计划无法正常兑付的，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投资者应确保其提供的所有资料真实、完整、合法、有效，如果有任何变更，投资者应及时通知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并办理变更手续。如因投资者未及时通知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并办理相应的变更手续，由此导致的一切后果由投资者自行承担，</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lang w:val="en-US" w:eastAsia="zh-CN"/>
        </w:rPr>
        <w:t>投资者</w:t>
      </w:r>
      <w:r>
        <w:rPr>
          <w:rFonts w:hint="eastAsia" w:ascii="宋体" w:hAnsi="宋体" w:eastAsia="宋体" w:cs="黑体"/>
          <w:color w:val="000000"/>
          <w:sz w:val="24"/>
          <w:highlight w:val="none"/>
        </w:rPr>
        <w:t>对本协议及其条款负有保密义务，未经</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书面许可，不得向任何组织、个人提供或泄露与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有关的业务资料及信息，但法律、法规另有规定的除外</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w:t>
      </w:r>
      <w:r>
        <w:rPr>
          <w:rFonts w:hint="eastAsia" w:ascii="宋体" w:hAnsi="宋体"/>
          <w:b/>
          <w:bCs/>
          <w:color w:val="000000"/>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第三条 </w:t>
      </w:r>
      <w:r>
        <w:rPr>
          <w:rFonts w:hint="eastAsia" w:ascii="Calibri" w:hAnsi="Calibri" w:eastAsia="宋体" w:cs="黑体"/>
          <w:b/>
          <w:bCs/>
          <w:color w:val="000000"/>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color w:val="000000"/>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第四条 </w:t>
      </w:r>
      <w:r>
        <w:rPr>
          <w:rFonts w:hint="eastAsia" w:ascii="Calibri" w:hAnsi="Calibri" w:eastAsia="宋体" w:cs="黑体"/>
          <w:b/>
          <w:bCs/>
          <w:color w:val="000000"/>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理财计划认/申购确认：管理人根据</w:t>
      </w:r>
      <w:r>
        <w:rPr>
          <w:rFonts w:hint="eastAsia" w:ascii="宋体" w:hAnsi="宋体" w:eastAsia="宋体" w:cs="黑体"/>
          <w:color w:val="000000"/>
          <w:sz w:val="24"/>
          <w:highlight w:val="none"/>
          <w:lang w:eastAsia="zh-CN"/>
        </w:rPr>
        <w:t>销售</w:t>
      </w:r>
      <w:r>
        <w:rPr>
          <w:rFonts w:hint="eastAsia" w:ascii="宋体" w:hAnsi="宋体" w:eastAsia="宋体" w:cs="黑体"/>
          <w:color w:val="000000"/>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理财计划赎回/终止兑付：在正常情况下，管理人和</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产品说明书约定管理人对理财计划进行延期或转换时，</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资金清算：理财计划终止或份额赎回时，管理人按理财计划合同约定划付至</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清算账户后，由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向投资者划付投资者应得资金。如因投资者清算账户余额不足，或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未及时足额划付资金，或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清算账户内资金被依法冻结或扣划，或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清算账户处于被挂失、冻结、注销或其他非正常状态等原因而导致交易失败</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对于因上述原因导致的交易失败可能带来的任何损失及预期损失，投资者须自行承担或向</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第五条 </w:t>
      </w:r>
      <w:r>
        <w:rPr>
          <w:rFonts w:hint="eastAsia" w:ascii="Calibri" w:hAnsi="Calibri" w:eastAsia="宋体" w:cs="黑体"/>
          <w:b/>
          <w:bCs/>
          <w:color w:val="000000"/>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原因导致司法或行政</w:t>
      </w:r>
      <w:r>
        <w:rPr>
          <w:rFonts w:hint="eastAsia" w:ascii="宋体" w:hAnsi="宋体" w:eastAsia="宋体" w:cs="黑体"/>
          <w:color w:val="000000"/>
          <w:sz w:val="24"/>
          <w:highlight w:val="none"/>
          <w:lang w:eastAsia="zh-CN"/>
        </w:rPr>
        <w:t>等有权机关</w:t>
      </w:r>
      <w:r>
        <w:rPr>
          <w:rFonts w:hint="eastAsia" w:ascii="宋体" w:hAnsi="宋体" w:eastAsia="宋体" w:cs="黑体"/>
          <w:color w:val="000000"/>
          <w:sz w:val="24"/>
          <w:highlight w:val="none"/>
        </w:rPr>
        <w:t>采取强制措施对其理财本金、收益进行部分或全部被扣划，均视投资者本人就全部理财本金进行了提前</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，本</w:t>
      </w:r>
      <w:r>
        <w:rPr>
          <w:rFonts w:hint="eastAsia" w:ascii="宋体" w:hAnsi="宋体" w:eastAsia="宋体" w:cs="黑体"/>
          <w:color w:val="000000"/>
          <w:sz w:val="24"/>
          <w:highlight w:val="none"/>
          <w:lang w:eastAsia="zh-CN"/>
        </w:rPr>
        <w:t>协议</w:t>
      </w:r>
      <w:r>
        <w:rPr>
          <w:rFonts w:hint="eastAsia" w:ascii="宋体" w:hAnsi="宋体" w:eastAsia="宋体" w:cs="黑体"/>
          <w:color w:val="000000"/>
          <w:sz w:val="24"/>
          <w:highlight w:val="none"/>
        </w:rPr>
        <w:t>自动终止。因提前终止而产生的损失及相关费用由投资者承担。本</w:t>
      </w:r>
      <w:r>
        <w:rPr>
          <w:rFonts w:hint="eastAsia" w:ascii="宋体" w:hAnsi="宋体" w:eastAsia="宋体" w:cs="黑体"/>
          <w:color w:val="000000"/>
          <w:sz w:val="24"/>
          <w:highlight w:val="none"/>
          <w:lang w:eastAsia="zh-CN"/>
        </w:rPr>
        <w:t>协议因</w:t>
      </w:r>
      <w:r>
        <w:rPr>
          <w:rFonts w:hint="eastAsia" w:ascii="宋体" w:hAnsi="宋体" w:eastAsia="宋体" w:cs="黑体"/>
          <w:color w:val="000000"/>
          <w:sz w:val="24"/>
          <w:highlight w:val="none"/>
        </w:rPr>
        <w:t>前述情况终止的，理财本金不计付</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投资者违反本协议第二条内容，应承担相应违约责任。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对由此导致的理财业务交易延误、中断、终止及</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损失不承担任何责任，并有权单方终止双方理财业务关系。因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违反双方约定给</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或全体投资者造成损失的，</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若由于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过错导致理财计划资产发生损失，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应按其过错承担赔偿责任，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由于地震、火灾、战争等不可抗力或突发重大卫生公共事件等不可预测事件造成的交易中断、延误等风险及损失，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不承担责任；但</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应在上述情况发生</w:t>
      </w:r>
      <w:r>
        <w:rPr>
          <w:rFonts w:hint="eastAsia" w:ascii="宋体" w:hAnsi="宋体" w:eastAsia="宋体" w:cs="黑体"/>
          <w:color w:val="000000"/>
          <w:sz w:val="24"/>
          <w:highlight w:val="none"/>
          <w:lang w:eastAsia="zh-CN"/>
        </w:rPr>
        <w:t>后</w:t>
      </w:r>
      <w:r>
        <w:rPr>
          <w:rFonts w:hint="eastAsia" w:ascii="宋体" w:hAnsi="宋体" w:eastAsia="宋体" w:cs="黑体"/>
          <w:color w:val="000000"/>
          <w:sz w:val="24"/>
          <w:highlight w:val="none"/>
        </w:rPr>
        <w:t>在条件允许时及时通知</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因国家有关法律、法规、规章、政策的修改或新的法律、法规、规章、政策颁布以及紧急措施的出台导致的风险及损失，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第六条 </w:t>
      </w:r>
      <w:r>
        <w:rPr>
          <w:rFonts w:hint="eastAsia" w:ascii="Calibri" w:hAnsi="Calibri" w:eastAsia="宋体" w:cs="黑体"/>
          <w:b/>
          <w:bCs/>
          <w:color w:val="000000"/>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第七条 </w:t>
      </w:r>
      <w:r>
        <w:rPr>
          <w:rFonts w:hint="eastAsia" w:ascii="Calibri" w:hAnsi="Calibri" w:eastAsia="宋体" w:cs="黑体"/>
          <w:b/>
          <w:bCs/>
          <w:color w:val="000000"/>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本协议书</w:t>
      </w:r>
      <w:r>
        <w:rPr>
          <w:rFonts w:hint="eastAsia" w:ascii="宋体" w:hAnsi="宋体"/>
          <w:color w:val="000000"/>
          <w:sz w:val="24"/>
          <w:highlight w:val="none"/>
        </w:rPr>
        <w:t>以纸质书面形式订立的，自投资者签</w:t>
      </w:r>
      <w:r>
        <w:rPr>
          <w:rFonts w:hint="eastAsia" w:ascii="宋体" w:hAnsi="宋体"/>
          <w:color w:val="000000"/>
          <w:sz w:val="24"/>
          <w:highlight w:val="none"/>
          <w:lang w:val="en-US" w:eastAsia="zh-CN"/>
        </w:rPr>
        <w:t>署（如投资者为个人，应签字；如投资者为机构，应法定代表人或授权代理人签字或盖章并加盖公章或有效授权印章）</w:t>
      </w:r>
      <w:r>
        <w:rPr>
          <w:rFonts w:hint="eastAsia" w:ascii="宋体" w:hAnsi="宋体"/>
          <w:color w:val="000000"/>
          <w:sz w:val="24"/>
          <w:highlight w:val="none"/>
        </w:rPr>
        <w:t>和</w:t>
      </w:r>
      <w:r>
        <w:rPr>
          <w:rFonts w:hint="eastAsia" w:ascii="宋体" w:hAnsi="宋体"/>
          <w:color w:val="000000"/>
          <w:sz w:val="24"/>
          <w:highlight w:val="none"/>
          <w:lang w:eastAsia="zh-CN"/>
        </w:rPr>
        <w:t>销售机构</w:t>
      </w:r>
      <w:r>
        <w:rPr>
          <w:rFonts w:hint="eastAsia" w:ascii="宋体" w:hAnsi="宋体"/>
          <w:color w:val="000000"/>
          <w:sz w:val="24"/>
          <w:highlight w:val="none"/>
        </w:rPr>
        <w:t>签章之后立即生效。协议一式叁份，投资者、管理人和</w:t>
      </w:r>
      <w:r>
        <w:rPr>
          <w:rFonts w:hint="eastAsia" w:ascii="宋体" w:hAnsi="宋体"/>
          <w:color w:val="000000"/>
          <w:sz w:val="24"/>
          <w:highlight w:val="none"/>
          <w:lang w:eastAsia="zh-CN"/>
        </w:rPr>
        <w:t>销售机构</w:t>
      </w:r>
      <w:r>
        <w:rPr>
          <w:rFonts w:hint="eastAsia" w:ascii="宋体" w:hAnsi="宋体"/>
          <w:color w:val="000000"/>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本协议书以数据电文形式订立的，投资者在销售机构的电子银行</w:t>
      </w:r>
      <w:r>
        <w:rPr>
          <w:rFonts w:hint="eastAsia" w:ascii="宋体" w:hAnsi="宋体" w:eastAsia="宋体" w:cs="黑体"/>
          <w:color w:val="000000"/>
          <w:sz w:val="24"/>
          <w:highlight w:val="none"/>
          <w:lang w:eastAsia="zh-CN"/>
        </w:rPr>
        <w:t>渠道</w:t>
      </w:r>
      <w:r>
        <w:rPr>
          <w:rFonts w:hint="eastAsia" w:ascii="宋体" w:hAnsi="宋体" w:eastAsia="宋体" w:cs="黑体"/>
          <w:color w:val="000000"/>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color w:val="000000"/>
          <w:sz w:val="24"/>
          <w:highlight w:val="none"/>
          <w:lang w:val="en-US" w:eastAsia="zh-CN"/>
        </w:rPr>
      </w:pPr>
      <w:r>
        <w:rPr>
          <w:rFonts w:hint="eastAsia" w:eastAsia="宋体" w:cs="黑体"/>
          <w:b/>
          <w:bCs w:val="0"/>
          <w:color w:val="000000"/>
          <w:sz w:val="24"/>
          <w:highlight w:val="none"/>
          <w:lang w:val="en-US" w:eastAsia="zh-CN"/>
        </w:rPr>
        <w:t xml:space="preserve">第八条 </w:t>
      </w:r>
      <w:r>
        <w:rPr>
          <w:rFonts w:hint="eastAsia" w:ascii="Calibri" w:hAnsi="Calibri" w:eastAsia="宋体" w:cs="黑体"/>
          <w:b/>
          <w:bCs w:val="0"/>
          <w:color w:val="00000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如果投资者与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之间存在多份理财计划</w:t>
      </w:r>
      <w:r>
        <w:rPr>
          <w:rFonts w:hint="eastAsia" w:ascii="宋体" w:hAnsi="宋体" w:eastAsia="宋体" w:cs="黑体"/>
          <w:color w:val="000000"/>
          <w:sz w:val="24"/>
          <w:highlight w:val="none"/>
          <w:lang w:val="en-US" w:eastAsia="zh-CN"/>
        </w:rPr>
        <w:t>销售</w:t>
      </w:r>
      <w:r>
        <w:rPr>
          <w:rFonts w:hint="eastAsia" w:ascii="宋体" w:hAnsi="宋体" w:eastAsia="宋体" w:cs="黑体"/>
          <w:color w:val="000000"/>
          <w:sz w:val="24"/>
          <w:highlight w:val="none"/>
        </w:rPr>
        <w:t>协议书，则每一协议书分别与其所对应的</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在理财计划存续期内，如因监管政策或法律法规发生变化，在不损害投资者利益的前提下，</w:t>
      </w:r>
      <w:r>
        <w:rPr>
          <w:rFonts w:hint="eastAsia" w:ascii="宋体" w:hAnsi="宋体" w:eastAsia="宋体" w:cs="黑体"/>
          <w:color w:val="000000"/>
          <w:sz w:val="24"/>
          <w:highlight w:val="none"/>
          <w:lang w:val="en-US" w:eastAsia="zh-CN"/>
        </w:rPr>
        <w:t>管理人</w:t>
      </w:r>
      <w:r>
        <w:rPr>
          <w:rFonts w:hint="eastAsia" w:ascii="宋体" w:hAnsi="宋体" w:eastAsia="宋体" w:cs="黑体"/>
          <w:color w:val="000000"/>
          <w:sz w:val="24"/>
          <w:highlight w:val="none"/>
        </w:rPr>
        <w:t>有权单方对理财计划</w:t>
      </w:r>
      <w:r>
        <w:rPr>
          <w:rFonts w:hint="default" w:ascii="宋体" w:hAnsi="宋体" w:eastAsia="宋体" w:cs="黑体"/>
          <w:color w:val="000000"/>
          <w:sz w:val="24"/>
          <w:highlight w:val="none"/>
          <w:lang w:val="en-US"/>
        </w:rPr>
        <w:t>合同</w:t>
      </w:r>
      <w:r>
        <w:rPr>
          <w:rFonts w:hint="eastAsia" w:ascii="宋体" w:hAnsi="宋体" w:eastAsia="宋体" w:cs="黑体"/>
          <w:color w:val="000000"/>
          <w:sz w:val="24"/>
          <w:highlight w:val="none"/>
          <w:lang w:val="en-US" w:eastAsia="zh-CN"/>
        </w:rPr>
        <w:t>销售文件</w:t>
      </w:r>
      <w:r>
        <w:rPr>
          <w:rFonts w:hint="eastAsia" w:ascii="宋体" w:hAnsi="宋体" w:eastAsia="宋体" w:cs="黑体"/>
          <w:color w:val="000000"/>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widowControl/>
        <w:spacing w:line="360" w:lineRule="auto"/>
        <w:jc w:val="right"/>
        <w:rPr>
          <w:rFonts w:hint="eastAsia" w:ascii="宋体" w:hAnsi="宋体" w:eastAsia="宋体" w:cs="黑体"/>
          <w:b w:val="0"/>
          <w:bCs w:val="0"/>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杭银理财有限责任公司</w:t>
      </w:r>
    </w:p>
    <w:p>
      <w:pPr>
        <w:rPr>
          <w:rFonts w:hint="eastAsia"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br w:type="page"/>
      </w:r>
    </w:p>
    <w:p>
      <w:pPr>
        <w:rPr>
          <w:rFonts w:hint="default"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t>本页为</w:t>
      </w:r>
      <w:r>
        <w:rPr>
          <w:rFonts w:hint="eastAsia" w:ascii="宋体" w:hAnsi="宋体" w:eastAsia="宋体" w:cs="黑体"/>
          <w:b w:val="0"/>
          <w:bCs w:val="0"/>
          <w:color w:val="000000"/>
          <w:sz w:val="24"/>
          <w:szCs w:val="24"/>
          <w:highlight w:val="none"/>
        </w:rPr>
        <w:t>纸质</w:t>
      </w:r>
      <w:r>
        <w:rPr>
          <w:rFonts w:hint="eastAsia" w:ascii="宋体" w:hAnsi="宋体" w:eastAsia="宋体" w:cs="黑体"/>
          <w:b w:val="0"/>
          <w:bCs w:val="0"/>
          <w:color w:val="00000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r>
        <w:rPr>
          <w:rFonts w:hint="eastAsia" w:ascii="宋体" w:hAnsi="宋体" w:eastAsia="宋体" w:cs="黑体"/>
          <w:b/>
          <w:bCs/>
          <w:color w:val="000000"/>
          <w:sz w:val="24"/>
          <w:highlight w:val="none"/>
        </w:rPr>
        <w:t>投资者</w:t>
      </w:r>
      <w:r>
        <w:rPr>
          <w:rFonts w:hint="eastAsia" w:ascii="宋体" w:hAnsi="宋体" w:eastAsia="宋体" w:cs="黑体"/>
          <w:b/>
          <w:bCs/>
          <w:color w:val="000000"/>
          <w:sz w:val="24"/>
          <w:highlight w:val="none"/>
          <w:lang w:eastAsia="zh-CN"/>
        </w:rPr>
        <w:t>（</w:t>
      </w:r>
      <w:r>
        <w:rPr>
          <w:rFonts w:hint="eastAsia" w:ascii="宋体" w:hAnsi="宋体" w:eastAsia="宋体" w:cs="黑体"/>
          <w:b/>
          <w:bCs/>
          <w:color w:val="000000"/>
          <w:sz w:val="24"/>
          <w:highlight w:val="none"/>
        </w:rPr>
        <w:t>签字</w:t>
      </w:r>
      <w:r>
        <w:rPr>
          <w:rFonts w:hint="eastAsia" w:ascii="宋体" w:hAnsi="宋体" w:eastAsia="宋体" w:cs="黑体"/>
          <w:b/>
          <w:bCs/>
          <w:color w:val="000000"/>
          <w:sz w:val="24"/>
          <w:highlight w:val="none"/>
          <w:lang w:eastAsia="zh-CN"/>
        </w:rPr>
        <w:t>或签章）</w:t>
      </w:r>
      <w:r>
        <w:rPr>
          <w:rFonts w:hint="eastAsia" w:ascii="宋体" w:hAnsi="宋体" w:eastAsia="宋体" w:cs="黑体"/>
          <w:b/>
          <w:bCs/>
          <w:color w:val="000000"/>
          <w:sz w:val="24"/>
          <w:szCs w:val="24"/>
          <w:highlight w:val="none"/>
          <w:lang w:eastAsia="zh-CN"/>
        </w:rPr>
        <w:t>：</w:t>
      </w: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r>
        <w:rPr>
          <w:rFonts w:hint="eastAsia" w:ascii="宋体" w:hAnsi="宋体" w:eastAsia="宋体" w:cs="黑体"/>
          <w:b/>
          <w:bCs/>
          <w:color w:val="000000"/>
          <w:sz w:val="24"/>
          <w:highlight w:val="none"/>
        </w:rPr>
        <w:t>销售机构签章</w:t>
      </w:r>
      <w:r>
        <w:rPr>
          <w:rFonts w:hint="eastAsia" w:ascii="宋体" w:hAnsi="宋体" w:eastAsia="宋体" w:cs="黑体"/>
          <w:b/>
          <w:bCs/>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color w:val="000000"/>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A1467D"/>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9E3D42"/>
    <w:rsid w:val="60E2547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2026-07-02T06:30:07Z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