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幸福99丰裕固收386天26107期理财</w:t>
      </w:r>
      <w:r>
        <w:rPr>
          <w:rFonts w:hint="eastAsia" w:ascii="宋体" w:hAnsi="宋体" w:cs="宋体"/>
          <w:b/>
          <w:bCs/>
          <w:color w:val="000000"/>
          <w:sz w:val="44"/>
          <w:szCs w:val="44"/>
          <w:highlight w:val="none"/>
        </w:rPr>
        <w:t>合同</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p>
      <w:pPr>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理财计划管理人：杭银理财有限责任公司</w:t>
      </w:r>
    </w:p>
    <w:p>
      <w:pPr>
        <w:ind w:firstLine="1280" w:firstLineChars="400"/>
        <w:jc w:val="left"/>
        <w:rPr>
          <w:rFonts w:hint="eastAsia" w:ascii="宋体" w:hAnsi="宋体" w:cs="宋体"/>
          <w:color w:val="000000"/>
          <w:sz w:val="32"/>
          <w:szCs w:val="32"/>
          <w:highlight w:val="none"/>
        </w:rPr>
      </w:pPr>
      <w:r>
        <w:rPr>
          <w:rFonts w:hint="eastAsia" w:ascii="宋体" w:hAnsi="宋体" w:cs="宋体"/>
          <w:color w:val="000000"/>
          <w:sz w:val="32"/>
          <w:szCs w:val="32"/>
          <w:highlight w:val="none"/>
        </w:rPr>
        <w:t>理财计划托管人：</w:t>
      </w:r>
      <w:r>
        <w:rPr>
          <w:rFonts w:hint="eastAsia" w:ascii="宋体" w:hAnsi="宋体" w:eastAsia="宋体" w:cs="宋体"/>
          <w:color w:val="000000"/>
          <w:kern w:val="2"/>
          <w:sz w:val="32"/>
          <w:szCs w:val="32"/>
          <w:highlight w:val="none"/>
          <w:lang w:val="en-US" w:eastAsia="zh-CN" w:bidi="ar-SA"/>
        </w:rPr>
        <w:t>杭州银行股份有限公司</w:t>
      </w:r>
    </w:p>
    <w:p>
      <w:pPr>
        <w:ind w:firstLine="1280" w:firstLineChars="400"/>
        <w:jc w:val="left"/>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rPr>
          <w:rFonts w:hint="eastAsia" w:ascii="宋体" w:hAnsi="宋体" w:cs="宋体"/>
          <w:b/>
          <w:bCs/>
          <w:color w:val="000000"/>
          <w:sz w:val="44"/>
          <w:szCs w:val="44"/>
          <w:highlight w:val="none"/>
        </w:rPr>
      </w:pPr>
    </w:p>
    <w:p>
      <w:pPr>
        <w:jc w:val="center"/>
        <w:outlineLvl w:val="9"/>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幸福99丰裕固收386天26107期理财</w:t>
      </w:r>
      <w:r>
        <w:rPr>
          <w:rFonts w:hint="eastAsia" w:ascii="宋体" w:hAnsi="宋体" w:cs="宋体"/>
          <w:b/>
          <w:bCs/>
          <w:color w:val="000000"/>
          <w:sz w:val="44"/>
          <w:szCs w:val="44"/>
          <w:highlight w:val="none"/>
        </w:rPr>
        <w:t>合同文件</w:t>
      </w:r>
    </w:p>
    <w:p>
      <w:pPr>
        <w:jc w:val="center"/>
        <w:rPr>
          <w:rFonts w:hint="eastAsia" w:ascii="宋体" w:hAnsi="宋体" w:cs="宋体"/>
          <w:color w:val="000000"/>
          <w:sz w:val="44"/>
          <w:szCs w:val="44"/>
          <w:highlight w:val="none"/>
        </w:rPr>
      </w:pPr>
    </w:p>
    <w:p>
      <w:pPr>
        <w:jc w:val="center"/>
        <w:rPr>
          <w:rFonts w:hint="eastAsia" w:ascii="宋体" w:hAnsi="宋体" w:cs="宋体"/>
          <w:color w:val="000000"/>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b/>
                <w:bCs/>
                <w:color w:val="000000"/>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幸福99丰裕固收386天26107期理财</w:t>
            </w:r>
            <w:r>
              <w:rPr>
                <w:rFonts w:hint="eastAsia" w:ascii="宋体" w:hAnsi="宋体" w:cs="宋体"/>
                <w:color w:val="000000"/>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幸福99丰裕固收386天26107期理财</w:t>
            </w:r>
            <w:r>
              <w:rPr>
                <w:rFonts w:hint="eastAsia" w:ascii="宋体" w:hAnsi="宋体" w:cs="宋体"/>
                <w:color w:val="000000"/>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szCs w:val="21"/>
                <w:highlight w:val="none"/>
              </w:rPr>
            </w:pPr>
            <w:r>
              <w:rPr>
                <w:rFonts w:hint="eastAsia" w:ascii="宋体" w:hAnsi="宋体" w:cs="宋体"/>
                <w:color w:val="000000"/>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000000"/>
                <w:szCs w:val="21"/>
                <w:highlight w:val="none"/>
              </w:rPr>
            </w:pPr>
            <w:r>
              <w:rPr>
                <w:rFonts w:hint="eastAsia" w:ascii="宋体" w:hAnsi="宋体" w:cs="宋体"/>
                <w:color w:val="000000"/>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幸福99丰裕固收386天26107期理财</w:t>
      </w:r>
      <w:r>
        <w:rPr>
          <w:rFonts w:hint="eastAsia" w:ascii="宋体" w:hAnsi="宋体" w:cs="宋体"/>
          <w:b/>
          <w:bCs/>
          <w:color w:val="000000"/>
          <w:sz w:val="44"/>
          <w:szCs w:val="44"/>
          <w:highlight w:val="none"/>
        </w:rPr>
        <w:t>风险揭示书</w:t>
      </w:r>
    </w:p>
    <w:p>
      <w:p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386</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9"/>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幸福99丰裕固收386天26107期理财</w:t>
      </w:r>
      <w:r>
        <w:rPr>
          <w:rFonts w:hint="eastAsia" w:ascii="宋体" w:hAnsi="宋体" w:cs="宋体"/>
          <w:b/>
          <w:bCs/>
          <w:color w:val="000000"/>
          <w:sz w:val="44"/>
          <w:szCs w:val="44"/>
          <w:highlight w:val="none"/>
        </w:rPr>
        <w:t>产品说明书</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right"/>
        <w:rPr>
          <w:rFonts w:hint="eastAsia" w:ascii="宋体" w:hAnsi="宋体" w:cs="宋体"/>
          <w:bCs/>
          <w:color w:val="000000"/>
          <w:sz w:val="24"/>
          <w:highlight w:val="none"/>
        </w:rPr>
      </w:pPr>
      <w:r>
        <w:rPr>
          <w:rFonts w:hint="eastAsia" w:ascii="宋体" w:hAnsi="宋体" w:cs="宋体"/>
          <w:color w:val="000000"/>
          <w:sz w:val="24"/>
          <w:highlight w:val="none"/>
        </w:rPr>
        <w:t>备案编号:</w:t>
      </w:r>
      <w:r>
        <w:rPr>
          <w:rFonts w:hint="eastAsia" w:ascii="宋体" w:hAnsi="宋体" w:cs="宋体"/>
          <w:bCs/>
          <w:color w:val="000000"/>
          <w:sz w:val="24"/>
          <w:highlight w:val="none"/>
        </w:rPr>
        <w:t>〖</w:t>
      </w:r>
      <w:r>
        <w:rPr>
          <w:rFonts w:hint="eastAsia" w:ascii="宋体" w:hAnsi="宋体" w:eastAsia="宋体" w:cs="宋体"/>
          <w:bCs/>
          <w:color w:val="000000"/>
          <w:kern w:val="2"/>
          <w:sz w:val="24"/>
          <w:szCs w:val="24"/>
          <w:highlight w:val="none"/>
          <w:lang w:val="en-US" w:eastAsia="zh-CN" w:bidi="ar-SA"/>
        </w:rPr>
        <w:t>Z7002226000252</w:t>
      </w:r>
      <w:r>
        <w:rPr>
          <w:rFonts w:hint="eastAsia" w:ascii="宋体" w:hAnsi="宋体" w:cs="宋体"/>
          <w:bCs/>
          <w:color w:val="000000"/>
          <w:sz w:val="24"/>
          <w:highlight w:val="none"/>
        </w:rPr>
        <w:t>〗</w:t>
      </w:r>
    </w:p>
    <w:p>
      <w:pPr>
        <w:spacing w:line="360" w:lineRule="auto"/>
        <w:jc w:val="center"/>
        <w:rPr>
          <w:rFonts w:hint="eastAsia" w:ascii="宋体" w:hAnsi="宋体" w:cs="宋体"/>
          <w:bCs/>
          <w:color w:val="000000"/>
          <w:sz w:val="24"/>
          <w:highlight w:val="none"/>
        </w:rPr>
      </w:pPr>
    </w:p>
    <w:p>
      <w:pPr>
        <w:numPr>
          <w:ilvl w:val="0"/>
          <w:numId w:val="9"/>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重要须知</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本理财计划是非保本净值型产品。管理人对本理财计划的本金和收益不提供保证承诺。</w:t>
      </w:r>
      <w:r>
        <w:rPr>
          <w:rFonts w:hint="eastAsia" w:ascii="宋体" w:hAnsi="宋体" w:cs="宋体"/>
          <w:bCs/>
          <w:color w:val="000000"/>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color w:val="000000"/>
          <w:sz w:val="24"/>
          <w:highlight w:val="none"/>
          <w:lang w:eastAsia="zh-CN"/>
        </w:rPr>
        <w:t>《理财计划销售协议书》</w:t>
      </w:r>
      <w:r>
        <w:rPr>
          <w:rFonts w:hint="eastAsia" w:ascii="宋体" w:hAnsi="宋体" w:cs="宋体"/>
          <w:bCs/>
          <w:color w:val="000000"/>
          <w:sz w:val="24"/>
          <w:highlight w:val="none"/>
        </w:rPr>
        <w:t>，将共同构成投资者与管理人之间的理财计划</w:t>
      </w:r>
      <w:r>
        <w:rPr>
          <w:rFonts w:hint="eastAsia" w:ascii="宋体" w:hAnsi="宋体" w:cs="宋体"/>
          <w:bCs/>
          <w:color w:val="000000"/>
          <w:sz w:val="24"/>
          <w:highlight w:val="none"/>
          <w:lang w:val="en-US" w:eastAsia="zh-CN"/>
        </w:rPr>
        <w:t>销售文件</w:t>
      </w:r>
      <w:r>
        <w:rPr>
          <w:rFonts w:hint="eastAsia" w:ascii="宋体" w:hAnsi="宋体" w:cs="宋体"/>
          <w:bCs/>
          <w:color w:val="000000"/>
          <w:sz w:val="24"/>
          <w:highlight w:val="none"/>
        </w:rPr>
        <w:t>。</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在本理财计划存续期内，如因监管政策或法律法规发生变化，在不损害投资者利益的前提下，管理人有权对</w:t>
      </w:r>
      <w:r>
        <w:rPr>
          <w:rFonts w:hint="eastAsia" w:ascii="宋体" w:hAnsi="宋体" w:cs="宋体"/>
          <w:bCs/>
          <w:color w:val="000000"/>
          <w:sz w:val="24"/>
          <w:highlight w:val="none"/>
          <w:lang w:val="en-US" w:eastAsia="zh-CN"/>
        </w:rPr>
        <w:t>因上述变化导致的</w:t>
      </w:r>
      <w:r>
        <w:rPr>
          <w:rFonts w:hint="eastAsia" w:ascii="宋体" w:hAnsi="宋体" w:cs="宋体"/>
          <w:bCs/>
          <w:color w:val="000000"/>
          <w:sz w:val="24"/>
          <w:highlight w:val="none"/>
        </w:rPr>
        <w:t>本理财计划说明书条款</w:t>
      </w:r>
      <w:r>
        <w:rPr>
          <w:rFonts w:hint="eastAsia" w:ascii="宋体" w:hAnsi="宋体" w:cs="宋体"/>
          <w:bCs/>
          <w:color w:val="000000"/>
          <w:sz w:val="24"/>
          <w:highlight w:val="none"/>
          <w:lang w:val="en-US" w:eastAsia="zh-CN"/>
        </w:rPr>
        <w:t>变化</w:t>
      </w:r>
      <w:r>
        <w:rPr>
          <w:rFonts w:hint="eastAsia" w:ascii="宋体" w:hAnsi="宋体" w:cs="宋体"/>
          <w:bCs/>
          <w:color w:val="000000"/>
          <w:sz w:val="24"/>
          <w:highlight w:val="none"/>
        </w:rPr>
        <w:t>进行修订。</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color w:val="000000"/>
          <w:sz w:val="24"/>
          <w:highlight w:val="none"/>
        </w:rPr>
      </w:pPr>
      <w:r>
        <w:rPr>
          <w:rFonts w:hint="eastAsia" w:ascii="宋体" w:hAnsi="宋体" w:cs="宋体"/>
          <w:bCs/>
          <w:color w:val="000000"/>
          <w:sz w:val="24"/>
          <w:highlight w:val="none"/>
        </w:rPr>
        <w:t>管理人有权依法对本理财计划产品说明书进行解释。</w:t>
      </w:r>
    </w:p>
    <w:p>
      <w:pPr>
        <w:spacing w:line="360" w:lineRule="auto"/>
        <w:jc w:val="left"/>
        <w:rPr>
          <w:rFonts w:hint="eastAsia" w:ascii="宋体" w:hAnsi="宋体" w:cs="宋体"/>
          <w:bCs/>
          <w:color w:val="000000"/>
          <w:sz w:val="24"/>
          <w:highlight w:val="none"/>
        </w:rPr>
      </w:pPr>
    </w:p>
    <w:p>
      <w:pPr>
        <w:numPr>
          <w:ilvl w:val="0"/>
          <w:numId w:val="11"/>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释义</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参与主体用语</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理财计划管理人/产品管理人/管理人/本公司：</w:t>
      </w:r>
      <w:r>
        <w:rPr>
          <w:rFonts w:hint="eastAsia" w:ascii="宋体" w:hAnsi="宋体" w:cs="宋体"/>
          <w:bCs/>
          <w:color w:val="000000"/>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000000"/>
          <w:kern w:val="2"/>
          <w:highlight w:val="none"/>
          <w:lang w:eastAsia="zh-CN"/>
        </w:rPr>
        <w:t>。杭银理财有限责任公司简称杭银理财，官网网站为</w:t>
      </w:r>
      <w:r>
        <w:rPr>
          <w:rFonts w:hint="eastAsia" w:ascii="宋体" w:hAnsi="宋体" w:cs="宋体"/>
          <w:bCs/>
          <w:color w:val="000000"/>
          <w:kern w:val="2"/>
          <w:highlight w:val="none"/>
          <w:u w:val="none"/>
          <w:lang w:val="en-US" w:eastAsia="zh-CN"/>
        </w:rPr>
        <w:t>https://</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w:t>
      </w:r>
      <w:r>
        <w:rPr>
          <w:rFonts w:hint="eastAsia" w:ascii="宋体" w:hAnsi="宋体" w:cs="宋体"/>
          <w:bCs/>
          <w:color w:val="000000"/>
          <w:kern w:val="2"/>
          <w:highlight w:val="none"/>
          <w:u w:val="none"/>
          <w:lang w:val="en-US" w:eastAsia="zh-CN"/>
        </w:rPr>
        <w:t>wealth</w:t>
      </w:r>
      <w:r>
        <w:rPr>
          <w:rFonts w:hint="eastAsia" w:ascii="宋体" w:hAnsi="宋体" w:cs="宋体"/>
          <w:bCs/>
          <w:color w:val="000000"/>
          <w:kern w:val="2"/>
          <w:highlight w:val="none"/>
          <w:u w:val="none"/>
        </w:rPr>
        <w:t>.com.cn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u w:val="none"/>
          <w:lang w:eastAsia="zh-CN"/>
        </w:rPr>
        <w:t>，</w:t>
      </w:r>
      <w:r>
        <w:rPr>
          <w:rFonts w:hint="eastAsia" w:ascii="宋体" w:hAnsi="宋体" w:cs="宋体"/>
          <w:bCs/>
          <w:color w:val="000000"/>
          <w:kern w:val="2"/>
          <w:highlight w:val="none"/>
          <w:u w:val="none"/>
          <w:lang w:val="en-US" w:eastAsia="zh-CN"/>
        </w:rPr>
        <w:t>客服电话400-8950-999</w:t>
      </w:r>
      <w:r>
        <w:rPr>
          <w:rFonts w:hint="eastAsia" w:ascii="宋体" w:hAnsi="宋体" w:cs="宋体"/>
          <w:bCs/>
          <w:color w:val="000000"/>
          <w:kern w:val="2"/>
          <w:highlight w:val="none"/>
          <w:u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fldChar w:fldCharType="begin"/>
      </w:r>
      <w:r>
        <w:instrText xml:space="preserve"> HYPERLINK "http://www.hzbank.com.cn" </w:instrText>
      </w:r>
      <w: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理财计划托管人/产品托管人/托管人：</w:t>
      </w:r>
      <w:r>
        <w:rPr>
          <w:rFonts w:hint="eastAsia" w:ascii="宋体" w:hAnsi="宋体" w:cs="宋体"/>
          <w:bCs/>
          <w:color w:val="000000"/>
          <w:kern w:val="2"/>
          <w:highlight w:val="none"/>
        </w:rPr>
        <w:t>指</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color w:val="000000"/>
          <w:sz w:val="24"/>
          <w:szCs w:val="24"/>
          <w:highlight w:val="none"/>
        </w:rPr>
        <w:t>〗</w:t>
      </w:r>
      <w:r>
        <w:rPr>
          <w:rFonts w:hint="eastAsia" w:ascii="宋体" w:hAnsi="宋体" w:cs="宋体"/>
          <w:bCs/>
          <w:color w:val="000000"/>
          <w:kern w:val="2"/>
          <w:highlight w:val="none"/>
        </w:rPr>
        <w:t>。</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认购人：</w:t>
      </w:r>
      <w:r>
        <w:rPr>
          <w:rFonts w:hint="eastAsia" w:ascii="宋体" w:hAnsi="宋体" w:cs="宋体"/>
          <w:bCs/>
          <w:color w:val="000000"/>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理财计划份额持有人/持有人：</w:t>
      </w:r>
      <w:r>
        <w:rPr>
          <w:rFonts w:hint="eastAsia" w:ascii="宋体" w:hAnsi="宋体" w:cs="宋体"/>
          <w:bCs/>
          <w:color w:val="000000"/>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监管机构：</w:t>
      </w:r>
      <w:r>
        <w:rPr>
          <w:rFonts w:hint="eastAsia" w:ascii="宋体" w:hAnsi="宋体" w:cs="宋体"/>
          <w:bCs/>
          <w:color w:val="000000"/>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000000"/>
          <w:kern w:val="2"/>
          <w:highlight w:val="none"/>
          <w:lang w:eastAsia="zh-CN"/>
        </w:rPr>
        <w:t>国家金融监督管理总局</w:t>
      </w:r>
      <w:r>
        <w:rPr>
          <w:rFonts w:hint="eastAsia" w:ascii="宋体" w:hAnsi="宋体" w:cs="宋体"/>
          <w:bCs/>
          <w:color w:val="000000"/>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法律文件用语</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说明书/产品说明书：</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幸福99丰裕固收386天26107期理财</w:t>
      </w:r>
      <w:r>
        <w:rPr>
          <w:rFonts w:hint="eastAsia" w:ascii="宋体" w:hAnsi="宋体" w:cs="宋体"/>
          <w:bCs/>
          <w:color w:val="000000"/>
          <w:highlight w:val="none"/>
        </w:rPr>
        <w:t>产品说明书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风险揭示书：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幸福99丰裕固收386天26107期理财</w:t>
      </w:r>
      <w:r>
        <w:rPr>
          <w:rFonts w:hint="eastAsia" w:ascii="宋体" w:hAnsi="宋体" w:cs="宋体"/>
          <w:bCs/>
          <w:color w:val="000000"/>
          <w:highlight w:val="none"/>
        </w:rPr>
        <w:t>合同不可分割组成部分的风险揭示书，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投资者权益须知：</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幸福99丰裕固收386天26107期理财</w:t>
      </w:r>
      <w:r>
        <w:rPr>
          <w:rFonts w:hint="eastAsia" w:ascii="宋体" w:hAnsi="宋体" w:cs="宋体"/>
          <w:bCs/>
          <w:color w:val="000000"/>
          <w:highlight w:val="none"/>
        </w:rPr>
        <w:t>合同不可分割组成部分的投资者权益须知，</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投资协议书：</w:t>
      </w:r>
      <w:r>
        <w:rPr>
          <w:rFonts w:hint="eastAsia" w:ascii="宋体" w:hAnsi="宋体" w:cs="宋体"/>
          <w:bCs/>
          <w:color w:val="000000"/>
          <w:kern w:val="2"/>
          <w:highlight w:val="none"/>
        </w:rPr>
        <w:t>指作为</w:t>
      </w:r>
      <w:r>
        <w:rPr>
          <w:rFonts w:hint="eastAsia" w:ascii="宋体" w:hAnsi="宋体" w:eastAsia="宋体" w:cs="宋体"/>
          <w:bCs/>
          <w:color w:val="000000"/>
          <w:kern w:val="2"/>
          <w:sz w:val="24"/>
          <w:szCs w:val="24"/>
          <w:highlight w:val="none"/>
          <w:lang w:val="en-US" w:eastAsia="zh-CN" w:bidi="ar-SA"/>
        </w:rPr>
        <w:t>幸福99丰裕固收386天26107期理财</w:t>
      </w:r>
      <w:r>
        <w:rPr>
          <w:rFonts w:hint="eastAsia" w:ascii="宋体" w:hAnsi="宋体" w:cs="宋体"/>
          <w:bCs/>
          <w:color w:val="000000"/>
          <w:highlight w:val="none"/>
        </w:rPr>
        <w:t>合同不可分割组成部分的理财计划投资协议书，</w:t>
      </w:r>
      <w:r>
        <w:rPr>
          <w:rFonts w:hint="eastAsia" w:ascii="宋体" w:hAnsi="宋体" w:cs="宋体"/>
          <w:bCs/>
          <w:color w:val="000000"/>
          <w:kern w:val="2"/>
          <w:highlight w:val="none"/>
        </w:rPr>
        <w:t>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kern w:val="2"/>
          <w:highlight w:val="none"/>
          <w:lang w:eastAsia="zh-CN"/>
        </w:rPr>
        <w:t>理财</w:t>
      </w:r>
      <w:r>
        <w:rPr>
          <w:rFonts w:hint="eastAsia" w:ascii="宋体" w:hAnsi="宋体" w:cs="宋体"/>
          <w:b/>
          <w:bCs w:val="0"/>
          <w:color w:val="000000"/>
          <w:kern w:val="2"/>
          <w:highlight w:val="none"/>
          <w:lang w:val="en-US" w:eastAsia="zh-CN"/>
        </w:rPr>
        <w:t>计划</w:t>
      </w:r>
      <w:r>
        <w:rPr>
          <w:rFonts w:hint="eastAsia" w:ascii="宋体" w:hAnsi="宋体" w:cs="宋体"/>
          <w:b/>
          <w:bCs w:val="0"/>
          <w:color w:val="000000"/>
          <w:kern w:val="2"/>
          <w:highlight w:val="none"/>
          <w:lang w:eastAsia="zh-CN"/>
        </w:rPr>
        <w:t>销售协议书：</w:t>
      </w:r>
      <w:r>
        <w:rPr>
          <w:rFonts w:hint="eastAsia" w:ascii="宋体" w:hAnsi="宋体" w:cs="宋体"/>
          <w:bCs/>
          <w:color w:val="000000"/>
          <w:kern w:val="2"/>
          <w:highlight w:val="none"/>
          <w:lang w:eastAsia="zh-CN"/>
        </w:rPr>
        <w:t>指作为</w:t>
      </w:r>
      <w:r>
        <w:rPr>
          <w:rFonts w:hint="eastAsia" w:ascii="宋体" w:hAnsi="宋体" w:eastAsia="宋体" w:cs="宋体"/>
          <w:bCs/>
          <w:color w:val="000000"/>
          <w:kern w:val="2"/>
          <w:sz w:val="24"/>
          <w:szCs w:val="24"/>
          <w:highlight w:val="none"/>
          <w:lang w:val="en-US" w:eastAsia="zh-CN" w:bidi="ar-SA"/>
        </w:rPr>
        <w:t>幸福99丰裕固收386天26107期理财</w:t>
      </w:r>
      <w:r>
        <w:rPr>
          <w:rFonts w:hint="eastAsia" w:ascii="宋体" w:hAnsi="宋体" w:cs="宋体"/>
          <w:bCs/>
          <w:color w:val="000000"/>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w:t>
      </w:r>
      <w:r>
        <w:rPr>
          <w:rFonts w:hint="eastAsia" w:ascii="宋体" w:hAnsi="宋体" w:cs="宋体"/>
          <w:b/>
          <w:color w:val="000000"/>
          <w:kern w:val="2"/>
          <w:highlight w:val="none"/>
          <w:lang w:val="en-US" w:eastAsia="zh-CN"/>
        </w:rPr>
        <w:t>计划</w:t>
      </w:r>
      <w:r>
        <w:rPr>
          <w:rFonts w:hint="eastAsia" w:ascii="宋体" w:hAnsi="宋体" w:cs="宋体"/>
          <w:b/>
          <w:color w:val="000000"/>
          <w:kern w:val="2"/>
          <w:highlight w:val="none"/>
        </w:rPr>
        <w:t>合同/销售文件：</w:t>
      </w:r>
      <w:r>
        <w:rPr>
          <w:rFonts w:hint="eastAsia" w:ascii="宋体" w:hAnsi="宋体" w:cs="宋体"/>
          <w:bCs/>
          <w:color w:val="000000"/>
          <w:kern w:val="2"/>
          <w:highlight w:val="none"/>
        </w:rPr>
        <w:t>指《理财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风险揭示书</w:t>
      </w:r>
      <w:r>
        <w:rPr>
          <w:rFonts w:hint="eastAsia" w:ascii="宋体" w:hAnsi="宋体" w:cs="宋体"/>
          <w:bCs/>
          <w:color w:val="000000"/>
          <w:kern w:val="2"/>
          <w:highlight w:val="none"/>
        </w:rPr>
        <w:t>》《</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产品说明</w:t>
      </w:r>
      <w:r>
        <w:rPr>
          <w:rFonts w:hint="eastAsia" w:ascii="宋体" w:hAnsi="宋体" w:cs="宋体"/>
          <w:bCs/>
          <w:color w:val="000000"/>
          <w:kern w:val="2"/>
          <w:highlight w:val="none"/>
        </w:rPr>
        <w:t>书》《投资者权益须知》《理财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rPr>
        <w:t>投资协议书》</w:t>
      </w:r>
      <w:r>
        <w:rPr>
          <w:rFonts w:hint="eastAsia" w:ascii="宋体" w:hAnsi="宋体" w:cs="宋体"/>
          <w:bCs/>
          <w:color w:val="000000"/>
          <w:kern w:val="2"/>
          <w:highlight w:val="none"/>
          <w:lang w:eastAsia="zh-CN"/>
        </w:rPr>
        <w:t>《理财</w:t>
      </w:r>
      <w:r>
        <w:rPr>
          <w:rFonts w:hint="eastAsia" w:ascii="宋体" w:hAnsi="宋体" w:cs="宋体"/>
          <w:bCs/>
          <w:color w:val="000000"/>
          <w:kern w:val="2"/>
          <w:highlight w:val="none"/>
          <w:lang w:val="en-US" w:eastAsia="zh-CN"/>
        </w:rPr>
        <w:t>计划</w:t>
      </w:r>
      <w:r>
        <w:rPr>
          <w:rFonts w:hint="eastAsia" w:ascii="宋体" w:hAnsi="宋体" w:cs="宋体"/>
          <w:bCs/>
          <w:color w:val="000000"/>
          <w:kern w:val="2"/>
          <w:highlight w:val="none"/>
          <w:lang w:eastAsia="zh-CN"/>
        </w:rPr>
        <w:t>销售协议书》五</w:t>
      </w:r>
      <w:r>
        <w:rPr>
          <w:rFonts w:hint="eastAsia" w:ascii="宋体" w:hAnsi="宋体" w:cs="宋体"/>
          <w:bCs/>
          <w:color w:val="000000"/>
          <w:kern w:val="2"/>
          <w:highlight w:val="none"/>
        </w:rPr>
        <w:t>个部分。</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理财产品用语</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理财计划/理财产品/产品：</w:t>
      </w:r>
      <w:r>
        <w:rPr>
          <w:rFonts w:hint="eastAsia" w:ascii="宋体" w:hAnsi="宋体" w:cs="宋体"/>
          <w:bCs/>
          <w:color w:val="000000"/>
          <w:kern w:val="2"/>
          <w:highlight w:val="none"/>
        </w:rPr>
        <w:t>指</w:t>
      </w:r>
      <w:r>
        <w:rPr>
          <w:rFonts w:hint="eastAsia" w:ascii="宋体" w:hAnsi="宋体" w:eastAsia="宋体" w:cs="宋体"/>
          <w:bCs/>
          <w:color w:val="000000"/>
          <w:kern w:val="2"/>
          <w:sz w:val="24"/>
          <w:szCs w:val="24"/>
          <w:highlight w:val="none"/>
          <w:lang w:val="en-US" w:eastAsia="zh-CN" w:bidi="ar-SA"/>
        </w:rPr>
        <w:t>幸福99丰裕固收386天26107期理财</w:t>
      </w:r>
      <w:r>
        <w:rPr>
          <w:rFonts w:hint="eastAsia" w:ascii="宋体" w:hAnsi="宋体" w:cs="宋体"/>
          <w:bCs/>
          <w:color w:val="000000"/>
          <w:highlight w:val="none"/>
        </w:rPr>
        <w:t>。</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理财计划份额/产品份额：</w:t>
      </w:r>
      <w:r>
        <w:rPr>
          <w:rFonts w:hint="eastAsia" w:ascii="宋体" w:hAnsi="宋体" w:cs="宋体"/>
          <w:bCs/>
          <w:color w:val="000000"/>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理财计划份额净值/产品份额净值：</w:t>
      </w:r>
      <w:r>
        <w:rPr>
          <w:rFonts w:hint="eastAsia" w:ascii="宋体" w:hAnsi="宋体" w:cs="宋体"/>
          <w:bCs/>
          <w:color w:val="000000"/>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理财计划份额累计净值/产品份额累计净值：</w:t>
      </w:r>
      <w:r>
        <w:rPr>
          <w:rFonts w:hint="eastAsia" w:ascii="宋体" w:hAnsi="宋体" w:cs="宋体"/>
          <w:bCs/>
          <w:color w:val="000000"/>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color w:val="000000"/>
          <w:highlight w:val="none"/>
        </w:rPr>
      </w:pPr>
      <w:r>
        <w:rPr>
          <w:rFonts w:hint="eastAsia" w:ascii="宋体" w:hAnsi="宋体" w:cs="宋体"/>
          <w:b/>
          <w:color w:val="000000"/>
          <w:highlight w:val="none"/>
        </w:rPr>
        <w:t>工作日：</w:t>
      </w:r>
      <w:r>
        <w:rPr>
          <w:rFonts w:hint="eastAsia" w:ascii="宋体" w:hAnsi="宋体" w:cs="宋体"/>
          <w:bCs/>
          <w:color w:val="000000"/>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color w:val="000000"/>
          <w:highlight w:val="none"/>
        </w:rPr>
      </w:pPr>
      <w:r>
        <w:rPr>
          <w:rFonts w:hint="eastAsia" w:ascii="宋体" w:hAnsi="宋体" w:cs="宋体"/>
          <w:b/>
          <w:color w:val="000000"/>
          <w:highlight w:val="none"/>
        </w:rPr>
        <w:t>交易日：</w:t>
      </w:r>
      <w:r>
        <w:rPr>
          <w:rFonts w:hint="eastAsia" w:ascii="宋体" w:hAnsi="宋体" w:cs="宋体"/>
          <w:bCs/>
          <w:color w:val="000000"/>
          <w:highlight w:val="none"/>
        </w:rPr>
        <w:t>指</w:t>
      </w:r>
      <w:r>
        <w:rPr>
          <w:rFonts w:hint="eastAsia" w:ascii="宋体" w:hAnsi="宋体" w:cs="宋体"/>
          <w:color w:val="000000"/>
          <w:szCs w:val="21"/>
          <w:highlight w:val="none"/>
        </w:rPr>
        <w:t>〖</w:t>
      </w:r>
      <w:r>
        <w:rPr>
          <w:rFonts w:hint="eastAsia" w:ascii="宋体" w:hAnsi="宋体" w:cs="宋体"/>
          <w:bCs/>
          <w:color w:val="000000"/>
          <w:highlight w:val="none"/>
        </w:rPr>
        <w:t>上海证券交易所、深圳证券交易所</w:t>
      </w:r>
      <w:r>
        <w:rPr>
          <w:rFonts w:hint="eastAsia" w:ascii="宋体" w:hAnsi="宋体" w:cs="宋体"/>
          <w:color w:val="000000"/>
          <w:szCs w:val="21"/>
          <w:highlight w:val="none"/>
        </w:rPr>
        <w:t>〗</w:t>
      </w:r>
      <w:r>
        <w:rPr>
          <w:rFonts w:hint="eastAsia" w:ascii="宋体" w:hAnsi="宋体" w:cs="宋体"/>
          <w:bCs/>
          <w:color w:val="000000"/>
          <w:highlight w:val="none"/>
        </w:rPr>
        <w:t>的正常交易日。</w:t>
      </w:r>
      <w:r>
        <w:rPr>
          <w:rFonts w:hint="eastAsia" w:ascii="宋体" w:hAnsi="宋体" w:cs="宋体"/>
          <w:bCs/>
          <w:color w:val="000000"/>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成立日：</w:t>
      </w:r>
      <w:r>
        <w:rPr>
          <w:rFonts w:hint="eastAsia" w:ascii="宋体" w:hAnsi="宋体" w:cs="宋体"/>
          <w:bCs/>
          <w:color w:val="000000"/>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认购期：</w:t>
      </w:r>
      <w:r>
        <w:rPr>
          <w:rFonts w:hint="eastAsia" w:ascii="宋体" w:hAnsi="宋体" w:cs="宋体"/>
          <w:bCs/>
          <w:color w:val="000000"/>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封闭期：</w:t>
      </w:r>
      <w:r>
        <w:rPr>
          <w:rFonts w:hint="eastAsia" w:ascii="宋体" w:hAnsi="宋体" w:cs="宋体"/>
          <w:bCs/>
          <w:color w:val="000000"/>
          <w:kern w:val="2"/>
          <w:highlight w:val="none"/>
        </w:rPr>
        <w:t>指理财</w:t>
      </w:r>
      <w:r>
        <w:rPr>
          <w:rFonts w:hint="eastAsia" w:ascii="宋体" w:hAnsi="宋体" w:cs="宋体"/>
          <w:bCs/>
          <w:color w:val="000000"/>
          <w:kern w:val="2"/>
          <w:highlight w:val="none"/>
          <w:lang w:eastAsia="zh-CN"/>
        </w:rPr>
        <w:t>计划</w:t>
      </w:r>
      <w:r>
        <w:rPr>
          <w:rFonts w:hint="eastAsia" w:ascii="宋体" w:hAnsi="宋体" w:cs="宋体"/>
          <w:bCs/>
          <w:color w:val="000000"/>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建仓期：</w:t>
      </w:r>
      <w:r>
        <w:rPr>
          <w:rFonts w:hint="eastAsia" w:ascii="宋体" w:hAnsi="宋体" w:cs="宋体"/>
          <w:bCs/>
          <w:color w:val="000000"/>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到期日：</w:t>
      </w:r>
      <w:r>
        <w:rPr>
          <w:rFonts w:hint="eastAsia" w:ascii="宋体" w:hAnsi="宋体" w:cs="宋体"/>
          <w:bCs/>
          <w:color w:val="000000"/>
          <w:kern w:val="2"/>
          <w:highlight w:val="none"/>
        </w:rPr>
        <w:t>指理财计划终止运作的日期。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收益分配基准日：</w:t>
      </w:r>
      <w:r>
        <w:rPr>
          <w:rFonts w:hint="eastAsia" w:ascii="宋体" w:hAnsi="宋体" w:cs="宋体"/>
          <w:bCs/>
          <w:color w:val="000000"/>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节假日临时调整：</w:t>
      </w:r>
      <w:r>
        <w:rPr>
          <w:rFonts w:hint="eastAsia" w:ascii="宋体" w:hAnsi="宋体" w:cs="宋体"/>
          <w:bCs/>
          <w:color w:val="000000"/>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提前终止权：</w:t>
      </w:r>
      <w:r>
        <w:rPr>
          <w:rFonts w:hint="eastAsia" w:ascii="宋体" w:hAnsi="宋体" w:cs="宋体"/>
          <w:bCs/>
          <w:color w:val="000000"/>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提前终止日：</w:t>
      </w:r>
      <w:r>
        <w:rPr>
          <w:rFonts w:hint="eastAsia" w:ascii="宋体" w:hAnsi="宋体" w:cs="宋体"/>
          <w:bCs/>
          <w:color w:val="000000"/>
          <w:kern w:val="2"/>
          <w:highlight w:val="none"/>
        </w:rPr>
        <w:t>指</w:t>
      </w:r>
      <w:r>
        <w:rPr>
          <w:rFonts w:hint="eastAsia" w:ascii="宋体" w:hAnsi="宋体" w:cs="宋体"/>
          <w:bCs/>
          <w:color w:val="000000"/>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资金到账日：</w:t>
      </w:r>
      <w:r>
        <w:rPr>
          <w:rFonts w:hint="eastAsia" w:ascii="宋体" w:hAnsi="宋体" w:cs="宋体"/>
          <w:bCs/>
          <w:color w:val="000000"/>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认购：</w:t>
      </w:r>
      <w:r>
        <w:rPr>
          <w:rFonts w:hint="eastAsia" w:ascii="宋体" w:hAnsi="宋体" w:cs="宋体"/>
          <w:bCs/>
          <w:color w:val="000000"/>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收益分配：</w:t>
      </w:r>
      <w:r>
        <w:rPr>
          <w:rFonts w:hint="eastAsia" w:ascii="宋体" w:hAnsi="宋体" w:cs="宋体"/>
          <w:bCs/>
          <w:color w:val="000000"/>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理财计划费用/产品费用：</w:t>
      </w:r>
      <w:r>
        <w:rPr>
          <w:rFonts w:hint="eastAsia" w:ascii="宋体" w:hAnsi="宋体" w:cs="宋体"/>
          <w:bCs/>
          <w:color w:val="000000"/>
          <w:highlight w:val="none"/>
        </w:rPr>
        <w:t>指管理人为成立理财计划及处理理财计划事务而支出的所有费用，包括但不限于管理人收取的固定管理费、浮动管理费、</w:t>
      </w:r>
      <w:r>
        <w:rPr>
          <w:rFonts w:hint="eastAsia" w:ascii="宋体" w:hAnsi="宋体" w:cs="宋体"/>
          <w:bCs/>
          <w:color w:val="000000"/>
          <w:highlight w:val="none"/>
          <w:lang w:eastAsia="zh-CN"/>
        </w:rPr>
        <w:t>销售服务费</w:t>
      </w:r>
      <w:r>
        <w:rPr>
          <w:rFonts w:hint="eastAsia" w:ascii="宋体" w:hAnsi="宋体" w:cs="宋体"/>
          <w:bCs/>
          <w:color w:val="000000"/>
          <w:highlight w:val="none"/>
        </w:rPr>
        <w:t>、托管人收取的托管费、交易费用、执行费用等相关费用，具体以</w:t>
      </w:r>
      <w:r>
        <w:rPr>
          <w:rFonts w:hint="eastAsia" w:ascii="宋体" w:hAnsi="宋体" w:cs="宋体"/>
          <w:bCs/>
          <w:color w:val="000000"/>
          <w:highlight w:val="none"/>
          <w:lang w:eastAsia="zh-CN"/>
        </w:rPr>
        <w:t>实际发生</w:t>
      </w:r>
      <w:r>
        <w:rPr>
          <w:rFonts w:hint="eastAsia" w:ascii="宋体" w:hAnsi="宋体" w:cs="宋体"/>
          <w:bCs/>
          <w:color w:val="000000"/>
          <w:highlight w:val="none"/>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bCs w:val="0"/>
          <w:color w:val="000000"/>
          <w:highlight w:val="none"/>
          <w:lang w:eastAsia="zh-CN"/>
        </w:rPr>
        <w:t>其他费用：</w:t>
      </w:r>
      <w:r>
        <w:rPr>
          <w:rFonts w:hint="eastAsia" w:ascii="宋体" w:hAnsi="宋体" w:cs="宋体"/>
          <w:b w:val="0"/>
          <w:bCs/>
          <w:color w:val="000000"/>
          <w:highlight w:val="none"/>
          <w:lang w:eastAsia="zh-CN"/>
        </w:rPr>
        <w:t>指除理财计划费用以外，理财计划涉及的其他相关费用，包括但不限于认购费、申购费、赎回费、投顾费等，具体以</w:t>
      </w:r>
      <w:r>
        <w:rPr>
          <w:rFonts w:hint="eastAsia" w:ascii="宋体" w:hAnsi="宋体" w:cs="宋体"/>
          <w:bCs/>
          <w:color w:val="000000"/>
          <w:highlight w:val="none"/>
        </w:rPr>
        <w:t>本说明书第八条约定</w:t>
      </w:r>
      <w:r>
        <w:rPr>
          <w:rFonts w:hint="eastAsia" w:ascii="宋体" w:hAnsi="宋体" w:cs="宋体"/>
          <w:b w:val="0"/>
          <w:bCs/>
          <w:color w:val="000000"/>
          <w:highlight w:val="none"/>
          <w:lang w:eastAsia="zh-CN"/>
        </w:rPr>
        <w:t>为准。</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highlight w:val="none"/>
        </w:rPr>
        <w:t>理财计划估值：</w:t>
      </w:r>
      <w:r>
        <w:rPr>
          <w:rFonts w:hint="eastAsia" w:ascii="宋体" w:hAnsi="宋体" w:cs="宋体"/>
          <w:bCs/>
          <w:color w:val="000000"/>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理财业绩比较基准：</w:t>
      </w:r>
      <w:r>
        <w:rPr>
          <w:rFonts w:hint="eastAsia" w:ascii="宋体" w:hAnsi="宋体" w:cs="宋体"/>
          <w:bCs/>
          <w:color w:val="000000"/>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000000"/>
          <w:kern w:val="2"/>
          <w:highlight w:val="none"/>
        </w:rPr>
      </w:pPr>
      <w:r>
        <w:rPr>
          <w:rFonts w:hint="eastAsia" w:ascii="宋体" w:hAnsi="宋体" w:cs="宋体"/>
          <w:b/>
          <w:color w:val="000000"/>
          <w:kern w:val="2"/>
          <w:highlight w:val="none"/>
        </w:rPr>
        <w:t>指定账户：</w:t>
      </w:r>
      <w:r>
        <w:rPr>
          <w:rFonts w:hint="eastAsia" w:ascii="宋体" w:hAnsi="宋体" w:cs="宋体"/>
          <w:bCs/>
          <w:color w:val="000000"/>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流动性</w:t>
      </w:r>
      <w:r>
        <w:rPr>
          <w:rFonts w:hint="eastAsia"/>
          <w:b/>
          <w:bCs w:val="0"/>
          <w:color w:val="000000"/>
          <w:highlight w:val="none"/>
          <w:lang w:val="en-US" w:eastAsia="zh-CN"/>
        </w:rPr>
        <w:t>受限资产：</w:t>
      </w:r>
      <w:r>
        <w:rPr>
          <w:rFonts w:hint="eastAsia"/>
          <w:color w:val="000000"/>
          <w:highlight w:val="none"/>
          <w:lang w:val="en-US" w:eastAsia="zh-CN"/>
        </w:rPr>
        <w:t>是指由于法律法规、监管、合同或操作障碍等原因无法以合理价格予以变现的资产，包括到期日在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个交易日以上的逆回购与银行定期存款（含协议约定有条件提前支取的银行存款）、距可赎回日在</w:t>
      </w:r>
      <w:r>
        <w:rPr>
          <w:rFonts w:hint="eastAsia" w:ascii="宋体" w:hAnsi="宋体" w:eastAsia="宋体" w:cs="宋体"/>
          <w:color w:val="000000"/>
          <w:highlight w:val="none"/>
          <w:lang w:val="en-US" w:eastAsia="zh-CN"/>
        </w:rPr>
        <w:t>10</w:t>
      </w:r>
      <w:r>
        <w:rPr>
          <w:rFonts w:hint="eastAsia"/>
          <w:color w:val="000000"/>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000000"/>
          <w:kern w:val="2"/>
          <w:highlight w:val="none"/>
        </w:rPr>
      </w:pPr>
      <w:r>
        <w:rPr>
          <w:rFonts w:hint="eastAsia"/>
          <w:b/>
          <w:bCs/>
          <w:color w:val="000000"/>
          <w:highlight w:val="none"/>
          <w:lang w:val="en-US" w:eastAsia="zh-CN"/>
        </w:rPr>
        <w:t>投资退出期：</w:t>
      </w:r>
      <w:r>
        <w:rPr>
          <w:rFonts w:hint="eastAsia" w:ascii="Times New Roman" w:hAnsi="Times New Roman" w:eastAsia="宋体" w:cs="Times New Roman"/>
          <w:color w:val="000000"/>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相关事件用语</w:t>
      </w:r>
    </w:p>
    <w:p>
      <w:pPr>
        <w:pStyle w:val="17"/>
        <w:numPr>
          <w:ilvl w:val="0"/>
          <w:numId w:val="16"/>
        </w:numPr>
        <w:adjustRightInd/>
        <w:spacing w:line="360" w:lineRule="auto"/>
        <w:rPr>
          <w:rFonts w:hint="eastAsia" w:ascii="宋体" w:hAnsi="宋体" w:cs="宋体"/>
          <w:bCs/>
          <w:color w:val="000000"/>
          <w:kern w:val="2"/>
          <w:highlight w:val="none"/>
        </w:rPr>
      </w:pPr>
      <w:r>
        <w:rPr>
          <w:rFonts w:hint="eastAsia" w:ascii="宋体" w:hAnsi="宋体" w:cs="宋体"/>
          <w:b/>
          <w:color w:val="000000"/>
          <w:kern w:val="2"/>
          <w:highlight w:val="none"/>
        </w:rPr>
        <w:t>不可抗力：</w:t>
      </w:r>
      <w:r>
        <w:rPr>
          <w:rFonts w:hint="eastAsia" w:ascii="宋体" w:hAnsi="宋体" w:cs="宋体"/>
          <w:bCs/>
          <w:color w:val="000000"/>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color w:val="000000"/>
          <w:highlight w:val="none"/>
        </w:rPr>
      </w:pPr>
      <w:r>
        <w:rPr>
          <w:rFonts w:hint="eastAsia" w:ascii="宋体" w:hAnsi="宋体" w:cs="宋体"/>
          <w:bCs/>
          <w:color w:val="000000"/>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巨额赎回：</w:t>
      </w:r>
      <w:r>
        <w:rPr>
          <w:rFonts w:hint="eastAsia" w:ascii="宋体" w:hAnsi="宋体" w:cs="宋体"/>
          <w:bCs/>
          <w:color w:val="000000"/>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摆动定价机制：</w:t>
      </w:r>
      <w:r>
        <w:rPr>
          <w:rFonts w:hint="eastAsia" w:ascii="宋体" w:hAnsi="宋体" w:cs="宋体"/>
          <w:b w:val="0"/>
          <w:bCs/>
          <w:color w:val="000000"/>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000000"/>
          <w:kern w:val="2"/>
          <w:highlight w:val="none"/>
        </w:rPr>
      </w:pPr>
      <w:r>
        <w:rPr>
          <w:rFonts w:hint="eastAsia" w:ascii="宋体" w:hAnsi="宋体" w:cs="宋体"/>
          <w:b/>
          <w:bCs w:val="0"/>
          <w:color w:val="000000"/>
          <w:kern w:val="2"/>
          <w:highlight w:val="none"/>
          <w:lang w:val="en-US" w:eastAsia="zh-CN"/>
        </w:rPr>
        <w:t>短期赎回费机制：</w:t>
      </w:r>
      <w:r>
        <w:rPr>
          <w:rFonts w:hint="eastAsia" w:ascii="宋体" w:hAnsi="宋体" w:cs="宋体"/>
          <w:b w:val="0"/>
          <w:bCs/>
          <w:color w:val="000000"/>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000000"/>
          <w:kern w:val="2"/>
          <w:highlight w:val="none"/>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风险评级</w:t>
      </w:r>
    </w:p>
    <w:p>
      <w:pPr>
        <w:pStyle w:val="17"/>
        <w:adjustRightInd/>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000000"/>
          <w:kern w:val="2"/>
          <w:highlight w:val="none"/>
        </w:rPr>
        <w:t>本理财计划的风险等级为〖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kern w:val="2"/>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kern w:val="2"/>
          <w:highlight w:val="none"/>
        </w:rPr>
        <w:t>〗风险。</w:t>
      </w:r>
      <w:r>
        <w:rPr>
          <w:rFonts w:hint="eastAsia" w:ascii="宋体" w:hAnsi="宋体" w:cs="宋体"/>
          <w:bCs/>
          <w:color w:val="000000"/>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保守型、</w:t>
            </w: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w:t>
            </w:r>
            <w:r>
              <w:rPr>
                <w:rFonts w:hint="eastAsia" w:ascii="宋体" w:hAnsi="宋体" w:cs="宋体"/>
                <w:bCs/>
                <w:color w:val="000000"/>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稳健型</w:t>
            </w:r>
            <w:r>
              <w:rPr>
                <w:rFonts w:hint="eastAsia" w:ascii="宋体" w:hAnsi="宋体" w:cs="宋体"/>
                <w:bCs/>
                <w:color w:val="000000"/>
                <w:kern w:val="2"/>
                <w:highlight w:val="none"/>
                <w:lang w:eastAsia="zh-CN"/>
              </w:rPr>
              <w:t>、</w:t>
            </w: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w:t>
            </w:r>
            <w:r>
              <w:rPr>
                <w:rFonts w:hint="eastAsia" w:ascii="宋体" w:hAnsi="宋体" w:cs="宋体"/>
                <w:bCs/>
                <w:color w:val="000000"/>
                <w:kern w:val="2"/>
                <w:highlight w:val="none"/>
              </w:rPr>
              <w:t>型</w:t>
            </w:r>
            <w:r>
              <w:rPr>
                <w:rFonts w:hint="eastAsia" w:ascii="宋体" w:hAnsi="宋体" w:cs="宋体"/>
                <w:bCs/>
                <w:color w:val="000000"/>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平衡型</w:t>
            </w: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000000"/>
                <w:kern w:val="2"/>
                <w:highlight w:val="none"/>
              </w:rPr>
            </w:pPr>
            <w:r>
              <w:rPr>
                <w:rFonts w:hint="eastAsia" w:ascii="宋体" w:hAnsi="宋体" w:cs="宋体"/>
                <w:bCs/>
                <w:color w:val="000000"/>
                <w:kern w:val="2"/>
                <w:highlight w:val="none"/>
                <w:lang w:eastAsia="zh-CN"/>
              </w:rPr>
              <w:t>进取型</w:t>
            </w:r>
          </w:p>
        </w:tc>
      </w:tr>
    </w:tbl>
    <w:p>
      <w:pPr>
        <w:pStyle w:val="17"/>
        <w:adjustRightInd/>
        <w:spacing w:line="360" w:lineRule="auto"/>
        <w:ind w:firstLine="480" w:firstLineChars="200"/>
        <w:rPr>
          <w:rFonts w:hint="default" w:ascii="宋体" w:hAnsi="宋体" w:cs="宋体"/>
          <w:bCs/>
          <w:color w:val="000000"/>
          <w:kern w:val="2"/>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000000"/>
          <w:kern w:val="2"/>
          <w:highlight w:val="none"/>
          <w:lang w:eastAsia="zh-CN"/>
        </w:rPr>
      </w:pPr>
    </w:p>
    <w:p>
      <w:pPr>
        <w:pStyle w:val="17"/>
        <w:numPr>
          <w:ilvl w:val="0"/>
          <w:numId w:val="18"/>
        </w:numPr>
        <w:adjustRightInd/>
        <w:spacing w:line="360" w:lineRule="auto"/>
        <w:outlineLvl w:val="9"/>
        <w:rPr>
          <w:rFonts w:hint="eastAsia" w:ascii="宋体" w:hAnsi="宋体" w:cs="宋体"/>
          <w:b/>
          <w:color w:val="000000"/>
          <w:kern w:val="2"/>
          <w:highlight w:val="none"/>
        </w:rPr>
      </w:pPr>
      <w:r>
        <w:rPr>
          <w:rFonts w:hint="eastAsia" w:ascii="宋体" w:hAnsi="宋体" w:cs="宋体"/>
          <w:b/>
          <w:color w:val="000000"/>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幸福99丰裕固收386天26107期理财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丰裕固收26107期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FYG26107</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Z7002226000252</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000000"/>
                <w:kern w:val="2"/>
                <w:highlight w:val="none"/>
                <w:lang w:eastAsia="zh-CN"/>
              </w:rPr>
              <w:t>投资者风险承受能力评级水平以销售机构评估为准。</w:t>
            </w:r>
          </w:p>
          <w:p>
            <w:pPr>
              <w:pageBreakBefore w:val="0"/>
              <w:spacing w:before="0" w:after="0" w:line="360" w:lineRule="auto"/>
              <w:ind w:left="0" w:right="0" w:hanging="1"/>
              <w:jc w:val="left"/>
              <w:textAlignment w:val="auto"/>
            </w:pPr>
            <w:r>
              <w:rPr>
                <w:rFonts w:ascii="宋体" w:hAnsi="宋体" w:eastAsia="宋体" w:cs="宋体"/>
                <w:b/>
                <w:i w:val="0"/>
                <w:caps w:val="0"/>
                <w:strike w:val="0"/>
                <w:dstrike w:val="0"/>
                <w:shadow w:val="0"/>
                <w:emboss w:val="0"/>
                <w:imprint w:val="0"/>
                <w:color w:val="000000"/>
                <w:kern w:val="2"/>
                <w:position w:val="-1"/>
                <w:sz w:val="21"/>
                <w:u w:val="none"/>
                <w:vertAlign w:val="baseline"/>
              </w:rPr>
              <w:t>其中：</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A份额（销售代码〖FYG26107A〗）：普通个人投资者和机构客户。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B份额（销售代码〖FYG26107B〗）：普通个人投资者和机构客户。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C份额（销售代码〖FYG26107C〗）：普通个人投资者和机构客户。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D份额（销售代码〖FYG26107D〗）：普通个人投资者和机构客户。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E份额（公司专属）（销售代码〖FYG26107E〗）：普通个人投资者和机构客户。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G份额（销售代码〖FYG26107G〗）：普通个人投资者和机构客户。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I份额（爽盈优选）（销售代码〖FYG26107I〗）：普通个人投资者和机构客户。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J份额（销售代码〖FYG26107J〗）：普通个人投资者和机构客户。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K份额（鲲鹏优选）（销售代码〖FYG26107K〗）：普通个人投资者和机构客户。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M份额（天府·优选）（销售代码〖FYG26107M〗）：普通个人投资者和机构客户。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N份额惠享款（长长财富·鑫享）（销售代码〖FYG26107N〗）：普通个人投资者和机构客户。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O份额惠享款（销售代码〖FYG26107O〗）：普通个人投资者和机构客户。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P份额（芙蓉锦程·优选）（销售代码〖FYG26107P〗）：普通个人投资者和机构客户。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Q份额（销售代码〖FYG26107Q〗）：普通个人投资者和机构客户。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R份额惠享款吉行十二号（销售代码〖FYG26107R〗）：普通个人投资者和机构客户。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T份额惠享款（齐鲁-逢六有约）（销售代码〖FYG26107T〗）：普通个人投资者和机构客户。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U份额（吉林农商工会卡专属）（销售代码〖FYG26107U〗）：普通个人投资者和机构客户。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V份额（金芙蓉专属）（销售代码〖FYG26107V〗）：普通个人投资者和机构客户。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W份额惠享款（销售代码〖FYG26107W〗）：普通个人投资者和机构客户。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X份额（销售代码〖FYG26107X〗）：普通个人投资者。</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Y份额惠享款（销售代码〖FYG26107Y〗）：普通个人投资者和机构客户。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Z份额惠享款（销售代码〖FYG26107Z〗）：普通个人投资者和机构客户。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ZA份额惠享款（销售代码〖FYG26107ZA〗）：普通个人投资者和机构客户。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ZB份额（吉林农商工薪代发专属）（销售代码〖FYG26107ZB〗）：普通个人投资者和机构客户。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ZC份额惠享款（长长财富·臻享）（销售代码〖FYG26107ZC〗）：普通个人投资者和机构客户。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ZD份额惠享款（湖北银行专属）（销售代码〖FYG26107ZD〗）：普通个人投资者和机构客户。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ZF份额（桂银优选）（销售代码〖FYG26107ZF〗）：普通个人投资者和机构客户。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ZG份额（销售代码〖FYG26107ZG〗）：普通个人投资者和机构客户。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ZH份额（金华银行专属）（销售代码〖FYG26107ZH〗）：普通个人投资者和机构客户。</w:t>
            </w:r>
            <w:r>
              <w:rPr>
                <w:rFonts w:ascii="宋体" w:hAnsi="宋体" w:eastAsia="宋体" w:cs="宋体"/>
                <w:b/>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i w:val="0"/>
                <w:caps w:val="0"/>
                <w:strike w:val="0"/>
                <w:dstrike w:val="0"/>
                <w:shadow w:val="0"/>
                <w:emboss w:val="0"/>
                <w:imprint w:val="0"/>
                <w:color w:val="000000"/>
                <w:kern w:val="2"/>
                <w:position w:val="-1"/>
                <w:sz w:val="21"/>
                <w:u w:val="none"/>
                <w:vertAlign w:val="baseline"/>
              </w:rPr>
              <w:t>ZK份额（销售代码〖FYG26107ZK〗）：普通个人投资者和机构客户。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固定收益类</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否</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人民币</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〖80〗亿元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13</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7</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〖ZC份额〗起点〖30〗万元整，超过认购起点部分，应为〖1〗元的整数倍。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〖ZD份额〗起点〖20〗万元整，超过认购起点部分，应为〖1〗元的整数倍。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〖ZK份额〗起点〖1〗元整，超过认购起点部分，应为〖1〗元的整数倍。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，则管理人可宣布本理财计划不成立并在原定理财计划成立日后〖2〗个工作日内通过管理人或销售机构发布不成立信息，投资者购买的理财资金将在原定成立日后2个工作日内划转至投资者指定理财账户，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CN"/>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理财计划总份额，单位净值〖保留小数点后四位〗</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w:t>
            </w:r>
            <w:r>
              <w:rPr>
                <w:rFonts w:hint="eastAsia" w:ascii="宋体" w:hAnsi="宋体" w:cs="宋体"/>
                <w:color w:val="000000"/>
                <w:kern w:val="2"/>
                <w:sz w:val="21"/>
                <w:szCs w:val="21"/>
                <w:highlight w:val="none"/>
                <w:lang w:val="en-US" w:eastAsia="zh-CN" w:bidi="ar-SA"/>
              </w:rPr>
              <w:t>四舍五入</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color w:val="000000"/>
                <w:kern w:val="2"/>
                <w:sz w:val="21"/>
                <w:szCs w:val="21"/>
                <w:lang w:val="en-US" w:eastAsia="zh-CN" w:bidi="ar"/>
              </w:rPr>
              <w:t>〖1〗个〖工作日〗</w:t>
            </w:r>
            <w:r>
              <w:rPr>
                <w:rFonts w:hint="eastAsia" w:ascii="宋体" w:hAnsi="宋体" w:cs="宋体"/>
                <w:color w:val="000000"/>
                <w:szCs w:val="21"/>
                <w:highlight w:val="none"/>
              </w:rPr>
              <w:t>，最晚</w:t>
            </w:r>
            <w:r>
              <w:rPr>
                <w:rFonts w:hint="eastAsia" w:ascii="宋体" w:hAnsi="宋体" w:eastAsia="宋体" w:cs="宋体"/>
                <w:color w:val="000000"/>
                <w:kern w:val="2"/>
                <w:sz w:val="21"/>
                <w:szCs w:val="21"/>
                <w:lang w:val="en-US" w:eastAsia="zh-CN" w:bidi="ar"/>
              </w:rPr>
              <w:t>〖3〗个〖工作日〗内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color w:val="000000"/>
                <w:szCs w:val="21"/>
                <w:highlight w:val="none"/>
                <w:lang w:eastAsia="zh-CN"/>
              </w:rPr>
              <w:t>不</w:t>
            </w:r>
            <w:r>
              <w:rPr>
                <w:rFonts w:hint="eastAsia" w:ascii="宋体" w:hAnsi="宋体" w:cs="宋体"/>
                <w:color w:val="000000"/>
                <w:szCs w:val="21"/>
                <w:highlight w:val="none"/>
              </w:rPr>
              <w:t>定期〗将大于1元部分的收益进行全部或部分收益分配，具体分配方案以管理人公告为准。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pageBreakBefore w:val="0"/>
              <w:spacing w:before="0" w:after="0" w:line="360" w:lineRule="auto"/>
              <w:ind w:left="0" w:right="0" w:hanging="1"/>
              <w:jc w:val="left"/>
              <w:textAlignment w:val="auto"/>
            </w:pP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本理财计划〖A份额〗业绩比较基准为〖2.35%-2.55%〗（年化）。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本理财计划〖B份额〗业绩比较基准为〖2.45%-2.65%〗（年化）。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本理财计划〖C份额〗业绩比较基准为〖2.55%-2.75%〗（年化）。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本理财计划〖D份额〗业绩比较基准为〖2.50%-2.70%〗（年化）。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本理财计划〖E份额〗业绩比较基准为〖2.20%-2.40%〗（年化）。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本理财计划〖G份额〗业绩比较基准为〖2.60%-2.80%〗（年化）。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本理财计划〖I份额〗业绩比较基准为〖2.35%-2.55%〗（年化）。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本理财计划〖J份额〗业绩比较基准为〖2.60%-2.80%〗（年化）。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本理财计划〖K份额〗业绩比较基准为〖2.35%-2.55%〗（年化）。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本理财计划〖M份额〗业绩比较基准为〖2.50%-2.70%〗（年化）。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本理财计划〖N份额〗业绩比较基准为〖2.45%-2.65%〗（年化）。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本理财计划〖O份额〗业绩比较基准为〖2.35%-2.55%〗（年化）。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本理财计划〖P份额〗业绩比较基准为〖2.50%-2.70%〗（年化）。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本理财计划〖Q份额〗业绩比较基准为〖2.40%-2.60%〗（年化）。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本理财计划〖R份额〗业绩比较基准为〖2.45%-2.65%〗（年化）。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本理财计划〖T份额〗业绩比较基准为〖2.50%-2.70%〗（年化）。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本理财计划〖U份额〗业绩比较基准为〖2.63%-2.83%〗（年化）。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本理财计划〖V份额〗业绩比较基准为〖2.50%-2.70%〗（年化）。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本理财计划〖W份额〗业绩比较基准为〖2.35%-2.55%〗（年化）。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本理财计划〖X份额〗业绩比较基准为〖2.60%-2.80%〗（年化）。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本理财计划〖Y份额〗业绩比较基准为〖2.45%-2.65%〗（年化）。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本理财计划〖ZA份额〗业绩比较基准为〖2.50%-2.70%〗（年化）。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本理财计划〖ZB份额〗业绩比较基准为〖2.60%-2.80%〗（年化）。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本理财计划〖ZC份额〗业绩比较基准为〖2.50%-2.70%〗（年化）。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本理财计划〖ZD份额〗业绩比较基准为〖2.65%-2.85%〗（年化）。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本理财计划〖ZF份额〗业绩比较基准为〖2.55%-2.75%〗（年化）。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本理财计划〖ZG份额〗业绩比较基准为〖2.50%-2.70%〗（年化）。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本理财计划〖ZH份额〗业绩比较基准为〖2.60%-2.80%〗（年化）。</w:t>
            </w:r>
            <w:r>
              <w:rPr>
                <w:rFonts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1"/>
                <w:u w:val="none"/>
                <w:vertAlign w:val="baseline"/>
              </w:rPr>
              <w:t>本理财计划〖ZK份额〗业绩比较基准为〖2.55%-2.75%〗（年化）。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color w:val="000000"/>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color w:val="000000"/>
                <w:szCs w:val="21"/>
                <w:highlight w:val="none"/>
              </w:rPr>
            </w:pPr>
            <w:r>
              <w:rPr>
                <w:rFonts w:hint="eastAsia" w:ascii="宋体" w:hAnsi="宋体" w:cs="宋体"/>
                <w:color w:val="000000"/>
                <w:szCs w:val="21"/>
                <w:highlight w:val="none"/>
              </w:rPr>
              <w:t>管理人有权根据市场情况及</w:t>
            </w:r>
            <w:r>
              <w:rPr>
                <w:rFonts w:hint="eastAsia" w:ascii="宋体" w:hAnsi="宋体" w:cs="宋体"/>
                <w:color w:val="000000"/>
                <w:szCs w:val="21"/>
                <w:highlight w:val="none"/>
                <w:lang w:eastAsia="zh-CN"/>
              </w:rPr>
              <w:t>理财计划</w:t>
            </w:r>
            <w:r>
              <w:rPr>
                <w:rFonts w:hint="eastAsia" w:ascii="宋体" w:hAnsi="宋体" w:cs="宋体"/>
                <w:color w:val="000000"/>
                <w:szCs w:val="21"/>
                <w:highlight w:val="none"/>
              </w:rPr>
              <w:t>运作情况调整业绩基准，并至少于新业绩基准启用前</w:t>
            </w:r>
            <w:r>
              <w:rPr>
                <w:rFonts w:hint="eastAsia" w:ascii="宋体" w:hAnsi="宋体" w:cs="宋体"/>
                <w:color w:val="000000"/>
                <w:kern w:val="0"/>
                <w:highlight w:val="none"/>
              </w:rPr>
              <w:t>〖</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w:t>
            </w:r>
            <w:r>
              <w:rPr>
                <w:rFonts w:hint="eastAsia" w:ascii="宋体" w:hAnsi="宋体" w:cs="宋体"/>
                <w:color w:val="000000"/>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color w:val="000000"/>
                <w:szCs w:val="21"/>
                <w:highlight w:val="none"/>
              </w:rPr>
              <w:t>本理财计划为净值型理财产品，其业绩表现将随市场波动具有不确定性。本公司提醒投资者关注，业绩比较基准</w:t>
            </w:r>
            <w:r>
              <w:rPr>
                <w:rFonts w:hint="eastAsia" w:ascii="宋体" w:hAnsi="宋体" w:cs="宋体"/>
                <w:b/>
                <w:color w:val="000000"/>
                <w:szCs w:val="21"/>
                <w:highlight w:val="none"/>
                <w:lang w:eastAsia="zh-CN"/>
              </w:rPr>
              <w:t>不是预期收益率，</w:t>
            </w:r>
            <w:r>
              <w:rPr>
                <w:rFonts w:hint="eastAsia" w:ascii="宋体" w:hAnsi="宋体" w:cs="宋体"/>
                <w:b/>
                <w:color w:val="000000"/>
                <w:szCs w:val="21"/>
                <w:highlight w:val="none"/>
              </w:rPr>
              <w:t>并不代表</w:t>
            </w:r>
            <w:r>
              <w:rPr>
                <w:rFonts w:hint="eastAsia" w:ascii="宋体" w:hAnsi="宋体" w:cs="宋体"/>
                <w:b/>
                <w:color w:val="000000"/>
                <w:szCs w:val="21"/>
                <w:highlight w:val="none"/>
                <w:lang w:eastAsia="zh-CN"/>
              </w:rPr>
              <w:t>理财计划的未来表现和</w:t>
            </w:r>
            <w:r>
              <w:rPr>
                <w:rFonts w:hint="eastAsia" w:ascii="宋体" w:hAnsi="宋体" w:cs="宋体"/>
                <w:b/>
                <w:color w:val="000000"/>
                <w:szCs w:val="21"/>
                <w:highlight w:val="none"/>
              </w:rPr>
              <w:t>实际收益率</w:t>
            </w:r>
            <w:r>
              <w:rPr>
                <w:rFonts w:hint="eastAsia" w:ascii="宋体" w:hAnsi="宋体" w:cs="宋体"/>
                <w:b/>
                <w:color w:val="000000"/>
                <w:szCs w:val="21"/>
                <w:highlight w:val="none"/>
                <w:lang w:eastAsia="zh-CN"/>
              </w:rPr>
              <w:t>，不构成对理财计划收益的承诺</w:t>
            </w:r>
            <w:r>
              <w:rPr>
                <w:rFonts w:hint="eastAsia" w:ascii="宋体" w:hAnsi="宋体" w:cs="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〖G份额〗收取年化〖0.05%〗的销售服务费, 〖I份额〗收取年化〖0.30%〗的销售服务费, 〖J份额〗收取年化〖0.05%〗的销售服务费, 〖K份额〗收取年化〖0.30%〗的销售服务费, 〖M份额〗收取年化〖0.15%〗的销售服务费, 〖N份额〗收取年化〖0.20%〗的销售服务费, 〖O份额〗收取年化〖0.30%〗的销售服务费, 〖P份额〗收取年化〖0.15%〗的销售服务费, 〖Q份额〗收取年化〖0.25%〗的销售服务费, 〖R份额〗收取年化〖0.20%〗的销售服务费, 〖T份额〗收取年化〖0.15%〗的销售服务费, 〖U份额〗收取年化〖0.02%〗的销售服务费, 〖V份额〗收取年化〖0.15%〗的销售服务费, 〖W份额〗收取年化〖0.30%〗的销售服务费, 〖X份额〗收取年化〖0.05%〗的销售服务费, 〖Y份额〗收取年化〖0.20%〗的销售服务费, 〖Z份额〗收取年化〖0.10%〗的销售服务费, 〖ZA份额〗收取年化〖0.15%〗的销售服务费, 〖ZB份额〗收取年化〖0.05%〗的销售服务费, 〖ZC份额〗收取年化〖0.15%〗的销售服务费, 〖ZD份额〗收取年化〖0.01%〗的销售服务费, 〖ZF份额〗收取年化〖0.15%〗的销售服务费, 〖ZG份额〗收取年化〖0.15%〗的销售服务费, 〖ZH份额〗收取年化〖0.05%〗的销售服务费, 〖ZK份额〗收取年化〖0.15%〗的销售服务费。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〖T份额〗收取年化〖0.10%〗的固定管理费, 〖U份额〗收取年化〖0.10%〗的固定管理费, 〖V份额〗收取年化〖0.10%〗的固定管理费, 〖W份额〗收取年化〖0.10%〗的固定管理费, 〖X份额〗收取年化〖0.10%〗的固定管理费, 〖Y份额〗收取年化〖0.10%〗的固定管理费, 〖Z份额〗收取年化〖0.10%〗的固定管理费, 〖ZA份额〗收取年化〖0.10%〗的固定管理费, 〖ZB份额〗收取年化〖0.10%〗的固定管理费, 〖ZC份额〗收取年化〖0.10%〗的固定管理费, 〖ZD份额〗收取年化〖0.09%〗的固定管理费, 〖ZF份额〗收取年化〖0.05%〗的固定管理费, 〖ZG份额〗收取年化〖0.10%〗的固定管理费, 〖ZH份额〗收取年化〖0.10%〗的固定管理费, 〖ZK份额〗收取年化〖0.05%〗的固定管理费。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000000"/>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投资范围</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color w:val="000000"/>
          <w:kern w:val="2"/>
          <w:position w:val="0"/>
          <w:sz w:val="24"/>
          <w:szCs w:val="24"/>
          <w:highlight w:val="none"/>
        </w:rPr>
      </w:pPr>
      <w:r>
        <w:rPr>
          <w:rFonts w:hint="eastAsia" w:ascii="宋体" w:hAnsi="宋体" w:eastAsia="宋体" w:cs="宋体"/>
          <w:color w:val="000000"/>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color w:val="000000"/>
          <w:highlight w:val="none"/>
        </w:rPr>
      </w:pPr>
      <w:r>
        <w:rPr>
          <w:rFonts w:hint="eastAsia" w:ascii="宋体" w:hAnsi="宋体" w:eastAsia="宋体" w:cs="宋体"/>
          <w:color w:val="000000"/>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投资比例</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本理财计划各投资资产占</w:t>
      </w:r>
      <w:r>
        <w:rPr>
          <w:rFonts w:hint="eastAsia" w:ascii="宋体" w:hAnsi="宋体" w:eastAsia="宋体" w:cs="宋体"/>
          <w:bCs/>
          <w:color w:val="000000"/>
          <w:sz w:val="24"/>
          <w:highlight w:val="none"/>
          <w:lang w:eastAsia="zh-CN"/>
        </w:rPr>
        <w:t>总</w:t>
      </w:r>
      <w:r>
        <w:rPr>
          <w:rFonts w:hint="eastAsia" w:ascii="宋体" w:hAnsi="宋体" w:eastAsia="宋体" w:cs="宋体"/>
          <w:bCs/>
          <w:color w:val="000000"/>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color w:val="000000"/>
          <w:sz w:val="24"/>
          <w:szCs w:val="24"/>
          <w:highlight w:val="none"/>
        </w:rPr>
      </w:pPr>
      <w:r>
        <w:rPr>
          <w:rFonts w:hint="eastAsia" w:ascii="宋体" w:hAnsi="宋体" w:eastAsia="宋体" w:cs="宋体"/>
          <w:color w:val="000000"/>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000000"/>
          <w:kern w:val="2"/>
          <w:highlight w:val="none"/>
        </w:rPr>
      </w:pPr>
      <w:r>
        <w:rPr>
          <w:rFonts w:hint="eastAsia" w:ascii="宋体" w:hAnsi="宋体" w:cs="宋体"/>
          <w:b/>
          <w:bCs w:val="0"/>
          <w:color w:val="000000"/>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投资集中度限制</w:t>
      </w:r>
    </w:p>
    <w:p>
      <w:pPr>
        <w:numPr>
          <w:ilvl w:val="0"/>
          <w:numId w:val="25"/>
        </w:num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本理财计划持有单只证券或单只公募</w:t>
      </w:r>
      <w:r>
        <w:fldChar w:fldCharType="begin"/>
      </w:r>
      <w:r>
        <w:instrText xml:space="preserve"> HYPERLINK "https://baike.baidu.com/item/%E8%AF%81%E5%88%B8%E6%8A%95%E8%B5%84%E5%9F%BA%E9%87%91/3746"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证券投资基金</w:t>
      </w:r>
      <w:r>
        <w:rPr>
          <w:rFonts w:ascii="宋体" w:hAnsi="宋体" w:cs="宋体"/>
          <w:bCs/>
          <w:color w:val="000000"/>
          <w:sz w:val="24"/>
          <w:highlight w:val="none"/>
        </w:rPr>
        <w:fldChar w:fldCharType="end"/>
      </w:r>
      <w:r>
        <w:rPr>
          <w:rFonts w:ascii="宋体" w:hAnsi="宋体" w:cs="宋体"/>
          <w:bCs/>
          <w:color w:val="000000"/>
          <w:sz w:val="24"/>
          <w:highlight w:val="none"/>
        </w:rPr>
        <w:t>的市值不得超过该理财</w:t>
      </w:r>
      <w:r>
        <w:rPr>
          <w:rFonts w:hint="eastAsia" w:ascii="宋体" w:hAnsi="宋体" w:cs="宋体"/>
          <w:bCs/>
          <w:color w:val="000000"/>
          <w:sz w:val="24"/>
          <w:highlight w:val="none"/>
        </w:rPr>
        <w:t>计划</w:t>
      </w:r>
      <w:r>
        <w:rPr>
          <w:rFonts w:ascii="宋体" w:hAnsi="宋体" w:cs="宋体"/>
          <w:bCs/>
          <w:color w:val="000000"/>
          <w:sz w:val="24"/>
          <w:highlight w:val="none"/>
        </w:rPr>
        <w:t>净资产</w:t>
      </w:r>
      <w:r>
        <w:rPr>
          <w:rFonts w:hint="eastAsia" w:ascii="宋体" w:hAnsi="宋体" w:cs="宋体"/>
          <w:bCs/>
          <w:color w:val="000000"/>
          <w:sz w:val="24"/>
          <w:highlight w:val="none"/>
        </w:rPr>
        <w:t>的</w:t>
      </w:r>
      <w:r>
        <w:rPr>
          <w:rFonts w:ascii="宋体" w:hAnsi="宋体" w:cs="宋体"/>
          <w:bCs/>
          <w:color w:val="000000"/>
          <w:sz w:val="24"/>
          <w:highlight w:val="none"/>
        </w:rPr>
        <w:t>10%</w:t>
      </w:r>
      <w:r>
        <w:rPr>
          <w:rFonts w:hint="eastAsia" w:ascii="宋体" w:hAnsi="宋体" w:cs="宋体"/>
          <w:bCs/>
          <w:color w:val="000000"/>
          <w:sz w:val="24"/>
          <w:highlight w:val="none"/>
        </w:rPr>
        <w:t>。</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国务院银行业监督管理机构另有规定的除外。</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投资期限限制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投资杠杆率限制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本理财计划的总资产不得超过净资产的200%。</w:t>
      </w:r>
    </w:p>
    <w:p>
      <w:pPr>
        <w:numPr>
          <w:ilvl w:val="0"/>
          <w:numId w:val="2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其他投资限制</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fldChar w:fldCharType="begin"/>
      </w:r>
      <w:r>
        <w:instrText xml:space="preserve"> HYPERLINK "https://baike.baidu.com/item/%E8%B5%84%E4%BA%A7%E6%94%AF%E6%8C%81%E8%AF%81%E5%88%B8/8989161" \t "https://baike.baidu.com/item/%E5%95%86%E4%B8%9A%E9%93%B6%E8%A1%8C%E7%90%86%E8%B4%A2%E4%B8%9A%E5%8A%A1%E7%9B%91%E7%9D%A3%E7%AE%A1%E7%90%86%E5%8A%9E%E6%B3%95/_blank" </w:instrText>
      </w:r>
      <w:r>
        <w:fldChar w:fldCharType="separate"/>
      </w:r>
      <w:r>
        <w:rPr>
          <w:rFonts w:ascii="宋体" w:hAnsi="宋体" w:cs="宋体"/>
          <w:bCs/>
          <w:color w:val="000000"/>
          <w:sz w:val="24"/>
          <w:highlight w:val="none"/>
        </w:rPr>
        <w:t>资产支持证券</w:t>
      </w:r>
      <w:r>
        <w:rPr>
          <w:rFonts w:ascii="宋体" w:hAnsi="宋体" w:cs="宋体"/>
          <w:bCs/>
          <w:color w:val="000000"/>
          <w:sz w:val="24"/>
          <w:highlight w:val="none"/>
        </w:rPr>
        <w:fldChar w:fldCharType="end"/>
      </w:r>
      <w:r>
        <w:rPr>
          <w:rFonts w:hint="eastAsia" w:ascii="宋体" w:hAnsi="宋体" w:cs="宋体"/>
          <w:bCs/>
          <w:color w:val="000000"/>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lang w:eastAsia="zh-CN"/>
        </w:rPr>
        <w:t>拟</w:t>
      </w:r>
      <w:r>
        <w:rPr>
          <w:rFonts w:hint="eastAsia" w:ascii="宋体" w:hAnsi="宋体" w:cs="宋体"/>
          <w:b/>
          <w:bCs w:val="0"/>
          <w:color w:val="00000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color w:val="000000"/>
          <w:sz w:val="24"/>
          <w:highlight w:val="none"/>
          <w:lang w:val="en-US" w:eastAsia="zh-CN"/>
        </w:rPr>
      </w:pPr>
      <w:r>
        <w:rPr>
          <w:rFonts w:hint="eastAsia" w:ascii="宋体" w:hAnsi="宋体" w:cs="宋体"/>
          <w:b w:val="0"/>
          <w:bCs/>
          <w:color w:val="000000"/>
          <w:sz w:val="24"/>
          <w:highlight w:val="none"/>
          <w:lang w:eastAsia="zh-CN"/>
        </w:rPr>
        <w:t>本理财计划</w:t>
      </w:r>
      <w:r>
        <w:rPr>
          <w:rFonts w:hint="eastAsia" w:ascii="宋体" w:hAnsi="宋体" w:cs="宋体"/>
          <w:b w:val="0"/>
          <w:bCs/>
          <w:color w:val="000000"/>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投资于</w:t>
      </w:r>
      <w:r>
        <w:rPr>
          <w:rFonts w:hint="eastAsia" w:ascii="宋体" w:hAnsi="宋体" w:cs="宋体"/>
          <w:bCs/>
          <w:color w:val="000000"/>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color w:val="000000"/>
          <w:sz w:val="24"/>
          <w:highlight w:val="none"/>
          <w:lang w:val="en-US" w:eastAsia="zh-CN"/>
        </w:rPr>
      </w:pPr>
      <w:r>
        <w:rPr>
          <w:rFonts w:hint="eastAsia" w:ascii="宋体" w:hAnsi="宋体" w:cs="宋体"/>
          <w:bCs/>
          <w:color w:val="000000"/>
          <w:sz w:val="24"/>
          <w:highlight w:val="none"/>
          <w:lang w:val="en-US" w:eastAsia="zh-CN"/>
        </w:rPr>
        <w:t>以上风险仅为列举性质，未能详尽列明拟投资市场和资产面临的全部流动性风险</w:t>
      </w:r>
      <w:r>
        <w:rPr>
          <w:rFonts w:hint="default" w:ascii="宋体" w:hAnsi="宋体" w:cs="宋体"/>
          <w:bCs/>
          <w:color w:val="000000"/>
          <w:sz w:val="24"/>
          <w:highlight w:val="none"/>
          <w:lang w:val="en-US" w:eastAsia="zh-CN"/>
        </w:rPr>
        <w:t>可能导致投资者投资本金及收益损失</w:t>
      </w:r>
      <w:r>
        <w:rPr>
          <w:rFonts w:hint="eastAsia" w:ascii="宋体" w:hAnsi="宋体" w:cs="宋体"/>
          <w:bCs/>
          <w:color w:val="000000"/>
          <w:sz w:val="24"/>
          <w:highlight w:val="none"/>
          <w:lang w:val="en-US" w:eastAsia="zh-CN"/>
        </w:rPr>
        <w:t>或延期兑付</w:t>
      </w:r>
      <w:r>
        <w:rPr>
          <w:rFonts w:hint="default" w:ascii="宋体" w:hAnsi="宋体" w:cs="宋体"/>
          <w:bCs/>
          <w:color w:val="000000"/>
          <w:sz w:val="24"/>
          <w:highlight w:val="none"/>
          <w:lang w:val="en-US" w:eastAsia="zh-CN"/>
        </w:rPr>
        <w:t>的所有因素</w:t>
      </w:r>
      <w:r>
        <w:rPr>
          <w:rFonts w:hint="eastAsia" w:ascii="宋体" w:hAnsi="宋体" w:cs="宋体"/>
          <w:bCs/>
          <w:color w:val="000000"/>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合作机构及主要职责</w:t>
      </w:r>
    </w:p>
    <w:p>
      <w:pPr>
        <w:numPr>
          <w:ilvl w:val="0"/>
          <w:numId w:val="28"/>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szCs w:val="21"/>
                <w:highlight w:val="none"/>
              </w:rPr>
            </w:pPr>
            <w:r>
              <w:rPr>
                <w:rFonts w:hint="default" w:ascii="宋体" w:hAnsi="宋体" w:eastAsia="宋体" w:cs="宋体"/>
                <w:bCs/>
                <w:color w:val="000000"/>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Cs w:val="21"/>
                <w:highlight w:val="none"/>
              </w:rPr>
            </w:pPr>
            <w:r>
              <w:rPr>
                <w:rFonts w:hint="eastAsia" w:ascii="宋体" w:hAnsi="宋体" w:cs="宋体"/>
                <w:bCs/>
                <w:color w:val="000000"/>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Cs w:val="21"/>
                <w:highlight w:val="none"/>
              </w:rPr>
            </w:pPr>
            <w:r>
              <w:rPr>
                <w:rFonts w:hint="eastAsia" w:ascii="宋体" w:hAnsi="宋体" w:eastAsia="宋体" w:cs="宋体"/>
                <w:bCs/>
                <w:color w:val="000000"/>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jc w:val="center"/>
            </w:pPr>
            <w:r>
              <w:t>销售机构信息</w:t>
            </w:r>
          </w:p>
        </w:tc>
        <w:tc>
          <w:tcPr>
            <w:tcW w:w="1600" w:type="dxa"/>
            <w:vMerge w:val="restart"/>
            <w:vAlign w:val="center"/>
          </w:tcPr>
          <w:p>
            <w:pPr>
              <w:jc w:val="center"/>
            </w:pPr>
            <w:r>
              <w:t>杭州银行股份有限公司</w:t>
            </w:r>
          </w:p>
        </w:tc>
        <w:tc>
          <w:tcPr>
            <w:tcW w:w="1200" w:type="dxa"/>
            <w:vAlign w:val="center"/>
          </w:tcPr>
          <w:p>
            <w:pPr>
              <w:jc w:val="left"/>
            </w:pPr>
            <w:r>
              <w:t>住所</w:t>
            </w:r>
          </w:p>
        </w:tc>
        <w:tc>
          <w:tcPr>
            <w:tcW w:w="3800" w:type="dxa"/>
            <w:vAlign w:val="center"/>
          </w:tcPr>
          <w:p>
            <w:pPr>
              <w:jc w:val="center"/>
            </w:pPr>
            <w: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杭银理财有限责任公司</w:t>
            </w:r>
          </w:p>
        </w:tc>
        <w:tc>
          <w:tcPr>
            <w:tcW w:w="1200" w:type="dxa"/>
            <w:vAlign w:val="center"/>
          </w:tcPr>
          <w:p>
            <w:pPr>
              <w:jc w:val="left"/>
            </w:pPr>
            <w:r>
              <w:t>住所</w:t>
            </w:r>
          </w:p>
        </w:tc>
        <w:tc>
          <w:tcPr>
            <w:tcW w:w="3800" w:type="dxa"/>
            <w:vAlign w:val="center"/>
          </w:tcPr>
          <w:p>
            <w:pPr>
              <w:jc w:val="center"/>
            </w:pPr>
            <w: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东莞农村商业银行股份有限公司</w:t>
            </w:r>
          </w:p>
        </w:tc>
        <w:tc>
          <w:tcPr>
            <w:tcW w:w="1200" w:type="dxa"/>
            <w:vAlign w:val="center"/>
          </w:tcPr>
          <w:p>
            <w:pPr>
              <w:jc w:val="left"/>
            </w:pPr>
            <w:r>
              <w:t>住所</w:t>
            </w:r>
          </w:p>
        </w:tc>
        <w:tc>
          <w:tcPr>
            <w:tcW w:w="3800" w:type="dxa"/>
            <w:vAlign w:val="center"/>
          </w:tcPr>
          <w:p>
            <w:pPr>
              <w:jc w:val="center"/>
            </w:pPr>
            <w: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中山农村商业银行股份有限公司</w:t>
            </w:r>
          </w:p>
        </w:tc>
        <w:tc>
          <w:tcPr>
            <w:tcW w:w="1200" w:type="dxa"/>
            <w:vAlign w:val="center"/>
          </w:tcPr>
          <w:p>
            <w:pPr>
              <w:jc w:val="left"/>
            </w:pPr>
            <w:r>
              <w:t>住所</w:t>
            </w:r>
          </w:p>
        </w:tc>
        <w:tc>
          <w:tcPr>
            <w:tcW w:w="3800" w:type="dxa"/>
            <w:vAlign w:val="center"/>
          </w:tcPr>
          <w:p>
            <w:pPr>
              <w:jc w:val="center"/>
            </w:pPr>
            <w: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南平市建阳区农村信用合作联社</w:t>
            </w:r>
          </w:p>
        </w:tc>
        <w:tc>
          <w:tcPr>
            <w:tcW w:w="1200" w:type="dxa"/>
            <w:vAlign w:val="center"/>
          </w:tcPr>
          <w:p>
            <w:pPr>
              <w:jc w:val="left"/>
            </w:pPr>
            <w:r>
              <w:t>住所</w:t>
            </w:r>
          </w:p>
        </w:tc>
        <w:tc>
          <w:tcPr>
            <w:tcW w:w="3800" w:type="dxa"/>
            <w:vAlign w:val="center"/>
          </w:tcPr>
          <w:p>
            <w:pPr>
              <w:jc w:val="center"/>
            </w:pPr>
            <w: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南靖县农村信用合作联社</w:t>
            </w:r>
          </w:p>
        </w:tc>
        <w:tc>
          <w:tcPr>
            <w:tcW w:w="1200" w:type="dxa"/>
            <w:vAlign w:val="center"/>
          </w:tcPr>
          <w:p>
            <w:pPr>
              <w:jc w:val="left"/>
            </w:pPr>
            <w:r>
              <w:t>住所</w:t>
            </w:r>
          </w:p>
        </w:tc>
        <w:tc>
          <w:tcPr>
            <w:tcW w:w="3800" w:type="dxa"/>
            <w:vAlign w:val="center"/>
          </w:tcPr>
          <w:p>
            <w:pPr>
              <w:jc w:val="center"/>
            </w:pPr>
            <w: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厦门农村商业银行股份有限公司</w:t>
            </w:r>
          </w:p>
        </w:tc>
        <w:tc>
          <w:tcPr>
            <w:tcW w:w="1200" w:type="dxa"/>
            <w:vAlign w:val="center"/>
          </w:tcPr>
          <w:p>
            <w:pPr>
              <w:jc w:val="left"/>
            </w:pPr>
            <w:r>
              <w:t>住所</w:t>
            </w:r>
          </w:p>
        </w:tc>
        <w:tc>
          <w:tcPr>
            <w:tcW w:w="3800" w:type="dxa"/>
            <w:vAlign w:val="center"/>
          </w:tcPr>
          <w:p>
            <w:pPr>
              <w:jc w:val="center"/>
            </w:pPr>
            <w: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厦门国际银行股份有限公司</w:t>
            </w:r>
          </w:p>
        </w:tc>
        <w:tc>
          <w:tcPr>
            <w:tcW w:w="1200" w:type="dxa"/>
            <w:vAlign w:val="center"/>
          </w:tcPr>
          <w:p>
            <w:pPr>
              <w:jc w:val="left"/>
            </w:pPr>
            <w:r>
              <w:t>住所</w:t>
            </w:r>
          </w:p>
        </w:tc>
        <w:tc>
          <w:tcPr>
            <w:tcW w:w="3800" w:type="dxa"/>
            <w:vAlign w:val="center"/>
          </w:tcPr>
          <w:p>
            <w:pPr>
              <w:jc w:val="center"/>
            </w:pPr>
            <w: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厦门银行股份有限公司</w:t>
            </w:r>
          </w:p>
        </w:tc>
        <w:tc>
          <w:tcPr>
            <w:tcW w:w="1200" w:type="dxa"/>
            <w:vAlign w:val="center"/>
          </w:tcPr>
          <w:p>
            <w:pPr>
              <w:jc w:val="left"/>
            </w:pPr>
            <w:r>
              <w:t>住所</w:t>
            </w:r>
          </w:p>
        </w:tc>
        <w:tc>
          <w:tcPr>
            <w:tcW w:w="3800" w:type="dxa"/>
            <w:vAlign w:val="center"/>
          </w:tcPr>
          <w:p>
            <w:pPr>
              <w:jc w:val="center"/>
            </w:pPr>
            <w:r>
              <w:t>厦门市思明区湖滨北路101号商业银行大厦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400-858-8888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古田县农村信用合作联社</w:t>
            </w:r>
          </w:p>
        </w:tc>
        <w:tc>
          <w:tcPr>
            <w:tcW w:w="1200" w:type="dxa"/>
            <w:vAlign w:val="center"/>
          </w:tcPr>
          <w:p>
            <w:pPr>
              <w:jc w:val="left"/>
            </w:pPr>
            <w:r>
              <w:t>住所</w:t>
            </w:r>
          </w:p>
        </w:tc>
        <w:tc>
          <w:tcPr>
            <w:tcW w:w="3800" w:type="dxa"/>
            <w:vAlign w:val="center"/>
          </w:tcPr>
          <w:p>
            <w:pPr>
              <w:jc w:val="center"/>
            </w:pPr>
            <w: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台州银行股份有限公司</w:t>
            </w:r>
          </w:p>
        </w:tc>
        <w:tc>
          <w:tcPr>
            <w:tcW w:w="1200" w:type="dxa"/>
            <w:vAlign w:val="center"/>
          </w:tcPr>
          <w:p>
            <w:pPr>
              <w:jc w:val="left"/>
            </w:pPr>
            <w:r>
              <w:t>住所</w:t>
            </w:r>
          </w:p>
        </w:tc>
        <w:tc>
          <w:tcPr>
            <w:tcW w:w="3800" w:type="dxa"/>
            <w:vAlign w:val="center"/>
          </w:tcPr>
          <w:p>
            <w:pPr>
              <w:jc w:val="center"/>
            </w:pPr>
            <w: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哈密市商业银行股份有限公司</w:t>
            </w:r>
          </w:p>
        </w:tc>
        <w:tc>
          <w:tcPr>
            <w:tcW w:w="1200" w:type="dxa"/>
            <w:vAlign w:val="center"/>
          </w:tcPr>
          <w:p>
            <w:pPr>
              <w:jc w:val="left"/>
            </w:pPr>
            <w:r>
              <w:t>住所</w:t>
            </w:r>
          </w:p>
        </w:tc>
        <w:tc>
          <w:tcPr>
            <w:tcW w:w="3800" w:type="dxa"/>
            <w:vAlign w:val="center"/>
          </w:tcPr>
          <w:p>
            <w:pPr>
              <w:jc w:val="center"/>
            </w:pPr>
            <w: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大田县农村信用合作联社</w:t>
            </w:r>
          </w:p>
        </w:tc>
        <w:tc>
          <w:tcPr>
            <w:tcW w:w="1200" w:type="dxa"/>
            <w:vAlign w:val="center"/>
          </w:tcPr>
          <w:p>
            <w:pPr>
              <w:jc w:val="left"/>
            </w:pPr>
            <w:r>
              <w:t>住所</w:t>
            </w:r>
          </w:p>
        </w:tc>
        <w:tc>
          <w:tcPr>
            <w:tcW w:w="3800" w:type="dxa"/>
            <w:vAlign w:val="center"/>
          </w:tcPr>
          <w:p>
            <w:pPr>
              <w:jc w:val="center"/>
            </w:pPr>
            <w: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大连农村商业银行股份有限公司</w:t>
            </w:r>
          </w:p>
        </w:tc>
        <w:tc>
          <w:tcPr>
            <w:tcW w:w="1200" w:type="dxa"/>
            <w:vAlign w:val="center"/>
          </w:tcPr>
          <w:p>
            <w:pPr>
              <w:jc w:val="left"/>
            </w:pPr>
            <w:r>
              <w:t>住所</w:t>
            </w:r>
          </w:p>
        </w:tc>
        <w:tc>
          <w:tcPr>
            <w:tcW w:w="3800" w:type="dxa"/>
            <w:vAlign w:val="center"/>
          </w:tcPr>
          <w:p>
            <w:pPr>
              <w:jc w:val="center"/>
            </w:pPr>
            <w: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大连银行股份有限公司</w:t>
            </w:r>
          </w:p>
        </w:tc>
        <w:tc>
          <w:tcPr>
            <w:tcW w:w="1200" w:type="dxa"/>
            <w:vAlign w:val="center"/>
          </w:tcPr>
          <w:p>
            <w:pPr>
              <w:jc w:val="left"/>
            </w:pPr>
            <w:r>
              <w:t>住所</w:t>
            </w:r>
          </w:p>
        </w:tc>
        <w:tc>
          <w:tcPr>
            <w:tcW w:w="3800" w:type="dxa"/>
            <w:vAlign w:val="center"/>
          </w:tcPr>
          <w:p>
            <w:pPr>
              <w:jc w:val="center"/>
            </w:pPr>
            <w: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宁化县农村信用合作联社</w:t>
            </w:r>
          </w:p>
        </w:tc>
        <w:tc>
          <w:tcPr>
            <w:tcW w:w="1200" w:type="dxa"/>
            <w:vAlign w:val="center"/>
          </w:tcPr>
          <w:p>
            <w:pPr>
              <w:jc w:val="left"/>
            </w:pPr>
            <w:r>
              <w:t>住所</w:t>
            </w:r>
          </w:p>
        </w:tc>
        <w:tc>
          <w:tcPr>
            <w:tcW w:w="3800" w:type="dxa"/>
            <w:vAlign w:val="center"/>
          </w:tcPr>
          <w:p>
            <w:pPr>
              <w:jc w:val="center"/>
            </w:pPr>
            <w: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寿宁县农村信用合作联社</w:t>
            </w:r>
          </w:p>
        </w:tc>
        <w:tc>
          <w:tcPr>
            <w:tcW w:w="1200" w:type="dxa"/>
            <w:vAlign w:val="center"/>
          </w:tcPr>
          <w:p>
            <w:pPr>
              <w:jc w:val="left"/>
            </w:pPr>
            <w:r>
              <w:t>住所</w:t>
            </w:r>
          </w:p>
        </w:tc>
        <w:tc>
          <w:tcPr>
            <w:tcW w:w="3800" w:type="dxa"/>
            <w:vAlign w:val="center"/>
          </w:tcPr>
          <w:p>
            <w:pPr>
              <w:jc w:val="center"/>
            </w:pPr>
            <w: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尤溪县农村信用合作联社</w:t>
            </w:r>
          </w:p>
        </w:tc>
        <w:tc>
          <w:tcPr>
            <w:tcW w:w="1200" w:type="dxa"/>
            <w:vAlign w:val="center"/>
          </w:tcPr>
          <w:p>
            <w:pPr>
              <w:jc w:val="left"/>
            </w:pPr>
            <w:r>
              <w:t>住所</w:t>
            </w:r>
          </w:p>
        </w:tc>
        <w:tc>
          <w:tcPr>
            <w:tcW w:w="3800" w:type="dxa"/>
            <w:vAlign w:val="center"/>
          </w:tcPr>
          <w:p>
            <w:pPr>
              <w:jc w:val="center"/>
            </w:pPr>
            <w: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山西银行股份有限公司</w:t>
            </w:r>
          </w:p>
        </w:tc>
        <w:tc>
          <w:tcPr>
            <w:tcW w:w="1200" w:type="dxa"/>
            <w:vAlign w:val="center"/>
          </w:tcPr>
          <w:p>
            <w:pPr>
              <w:jc w:val="left"/>
            </w:pPr>
            <w:r>
              <w:t>住所</w:t>
            </w:r>
          </w:p>
        </w:tc>
        <w:tc>
          <w:tcPr>
            <w:tcW w:w="3800" w:type="dxa"/>
            <w:vAlign w:val="center"/>
          </w:tcPr>
          <w:p>
            <w:pPr>
              <w:jc w:val="center"/>
            </w:pPr>
            <w: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广发银行股份有限公司</w:t>
            </w:r>
          </w:p>
        </w:tc>
        <w:tc>
          <w:tcPr>
            <w:tcW w:w="1200" w:type="dxa"/>
            <w:vAlign w:val="center"/>
          </w:tcPr>
          <w:p>
            <w:pPr>
              <w:jc w:val="left"/>
            </w:pPr>
            <w:r>
              <w:t>住所</w:t>
            </w:r>
          </w:p>
        </w:tc>
        <w:tc>
          <w:tcPr>
            <w:tcW w:w="3800" w:type="dxa"/>
            <w:vAlign w:val="center"/>
          </w:tcPr>
          <w:p>
            <w:pPr>
              <w:jc w:val="center"/>
            </w:pPr>
            <w: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广州农村商业银行股份有限公司</w:t>
            </w:r>
          </w:p>
        </w:tc>
        <w:tc>
          <w:tcPr>
            <w:tcW w:w="1200" w:type="dxa"/>
            <w:vAlign w:val="center"/>
          </w:tcPr>
          <w:p>
            <w:pPr>
              <w:jc w:val="left"/>
            </w:pPr>
            <w:r>
              <w:t>住所</w:t>
            </w:r>
          </w:p>
        </w:tc>
        <w:tc>
          <w:tcPr>
            <w:tcW w:w="3800" w:type="dxa"/>
            <w:vAlign w:val="center"/>
          </w:tcPr>
          <w:p>
            <w:pPr>
              <w:jc w:val="center"/>
            </w:pPr>
            <w: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广西北部湾银行股份有限公司</w:t>
            </w:r>
          </w:p>
        </w:tc>
        <w:tc>
          <w:tcPr>
            <w:tcW w:w="1200" w:type="dxa"/>
            <w:vAlign w:val="center"/>
          </w:tcPr>
          <w:p>
            <w:pPr>
              <w:jc w:val="left"/>
            </w:pPr>
            <w:r>
              <w:t>住所</w:t>
            </w:r>
          </w:p>
        </w:tc>
        <w:tc>
          <w:tcPr>
            <w:tcW w:w="3800" w:type="dxa"/>
            <w:vAlign w:val="center"/>
          </w:tcPr>
          <w:p>
            <w:pPr>
              <w:jc w:val="center"/>
            </w:pPr>
            <w:r>
              <w:t>南宁市良庆区云英路8号五象总部大厦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40000-96288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德化县农村信用合作联社</w:t>
            </w:r>
          </w:p>
        </w:tc>
        <w:tc>
          <w:tcPr>
            <w:tcW w:w="1200" w:type="dxa"/>
            <w:vAlign w:val="center"/>
          </w:tcPr>
          <w:p>
            <w:pPr>
              <w:jc w:val="left"/>
            </w:pPr>
            <w:r>
              <w:t>住所</w:t>
            </w:r>
          </w:p>
        </w:tc>
        <w:tc>
          <w:tcPr>
            <w:tcW w:w="3800" w:type="dxa"/>
            <w:vAlign w:val="center"/>
          </w:tcPr>
          <w:p>
            <w:pPr>
              <w:jc w:val="center"/>
            </w:pPr>
            <w: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惠安县农村信用合作联社</w:t>
            </w:r>
          </w:p>
        </w:tc>
        <w:tc>
          <w:tcPr>
            <w:tcW w:w="1200" w:type="dxa"/>
            <w:vAlign w:val="center"/>
          </w:tcPr>
          <w:p>
            <w:pPr>
              <w:jc w:val="left"/>
            </w:pPr>
            <w:r>
              <w:t>住所</w:t>
            </w:r>
          </w:p>
        </w:tc>
        <w:tc>
          <w:tcPr>
            <w:tcW w:w="3800" w:type="dxa"/>
            <w:vAlign w:val="center"/>
          </w:tcPr>
          <w:p>
            <w:pPr>
              <w:jc w:val="center"/>
            </w:pPr>
            <w: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新疆银行股份有限公司</w:t>
            </w:r>
          </w:p>
        </w:tc>
        <w:tc>
          <w:tcPr>
            <w:tcW w:w="1200" w:type="dxa"/>
            <w:vAlign w:val="center"/>
          </w:tcPr>
          <w:p>
            <w:pPr>
              <w:jc w:val="left"/>
            </w:pPr>
            <w:r>
              <w:t>住所</w:t>
            </w:r>
          </w:p>
        </w:tc>
        <w:tc>
          <w:tcPr>
            <w:tcW w:w="3800" w:type="dxa"/>
            <w:vAlign w:val="center"/>
          </w:tcPr>
          <w:p>
            <w:pPr>
              <w:jc w:val="center"/>
            </w:pPr>
            <w: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无锡农村商业银行股份有限公司</w:t>
            </w:r>
          </w:p>
        </w:tc>
        <w:tc>
          <w:tcPr>
            <w:tcW w:w="1200" w:type="dxa"/>
            <w:vAlign w:val="center"/>
          </w:tcPr>
          <w:p>
            <w:pPr>
              <w:jc w:val="left"/>
            </w:pPr>
            <w:r>
              <w:t>住所</w:t>
            </w:r>
          </w:p>
        </w:tc>
        <w:tc>
          <w:tcPr>
            <w:tcW w:w="3800" w:type="dxa"/>
            <w:vAlign w:val="center"/>
          </w:tcPr>
          <w:p>
            <w:pPr>
              <w:jc w:val="center"/>
            </w:pPr>
            <w: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昆仑银行股份有限公司</w:t>
            </w:r>
          </w:p>
        </w:tc>
        <w:tc>
          <w:tcPr>
            <w:tcW w:w="1200" w:type="dxa"/>
            <w:vAlign w:val="center"/>
          </w:tcPr>
          <w:p>
            <w:pPr>
              <w:jc w:val="left"/>
            </w:pPr>
            <w:r>
              <w:t>住所</w:t>
            </w:r>
          </w:p>
        </w:tc>
        <w:tc>
          <w:tcPr>
            <w:tcW w:w="3800" w:type="dxa"/>
            <w:vAlign w:val="center"/>
          </w:tcPr>
          <w:p>
            <w:pPr>
              <w:jc w:val="center"/>
            </w:pPr>
            <w: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明溪县农村信用合作联社</w:t>
            </w:r>
          </w:p>
        </w:tc>
        <w:tc>
          <w:tcPr>
            <w:tcW w:w="1200" w:type="dxa"/>
            <w:vAlign w:val="center"/>
          </w:tcPr>
          <w:p>
            <w:pPr>
              <w:jc w:val="left"/>
            </w:pPr>
            <w:r>
              <w:t>住所</w:t>
            </w:r>
          </w:p>
        </w:tc>
        <w:tc>
          <w:tcPr>
            <w:tcW w:w="3800" w:type="dxa"/>
            <w:vAlign w:val="center"/>
          </w:tcPr>
          <w:p>
            <w:pPr>
              <w:jc w:val="center"/>
            </w:pPr>
            <w: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晋商银行股份有限公司</w:t>
            </w:r>
          </w:p>
        </w:tc>
        <w:tc>
          <w:tcPr>
            <w:tcW w:w="1200" w:type="dxa"/>
            <w:vAlign w:val="center"/>
          </w:tcPr>
          <w:p>
            <w:pPr>
              <w:jc w:val="left"/>
            </w:pPr>
            <w:r>
              <w:t>住所</w:t>
            </w:r>
          </w:p>
        </w:tc>
        <w:tc>
          <w:tcPr>
            <w:tcW w:w="3800" w:type="dxa"/>
            <w:vAlign w:val="center"/>
          </w:tcPr>
          <w:p>
            <w:pPr>
              <w:jc w:val="center"/>
            </w:pPr>
            <w: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松溪县农村信用合作联社</w:t>
            </w:r>
          </w:p>
        </w:tc>
        <w:tc>
          <w:tcPr>
            <w:tcW w:w="1200" w:type="dxa"/>
            <w:vAlign w:val="center"/>
          </w:tcPr>
          <w:p>
            <w:pPr>
              <w:jc w:val="left"/>
            </w:pPr>
            <w:r>
              <w:t>住所</w:t>
            </w:r>
          </w:p>
        </w:tc>
        <w:tc>
          <w:tcPr>
            <w:tcW w:w="3800" w:type="dxa"/>
            <w:vAlign w:val="center"/>
          </w:tcPr>
          <w:p>
            <w:pPr>
              <w:jc w:val="center"/>
            </w:pPr>
            <w: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永春县农村信用合作联社</w:t>
            </w:r>
          </w:p>
        </w:tc>
        <w:tc>
          <w:tcPr>
            <w:tcW w:w="1200" w:type="dxa"/>
            <w:vAlign w:val="center"/>
          </w:tcPr>
          <w:p>
            <w:pPr>
              <w:jc w:val="left"/>
            </w:pPr>
            <w:r>
              <w:t>住所</w:t>
            </w:r>
          </w:p>
        </w:tc>
        <w:tc>
          <w:tcPr>
            <w:tcW w:w="3800" w:type="dxa"/>
            <w:vAlign w:val="center"/>
          </w:tcPr>
          <w:p>
            <w:pPr>
              <w:jc w:val="center"/>
            </w:pPr>
            <w: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永泰县农村信用合作联社</w:t>
            </w:r>
          </w:p>
        </w:tc>
        <w:tc>
          <w:tcPr>
            <w:tcW w:w="1200" w:type="dxa"/>
            <w:vAlign w:val="center"/>
          </w:tcPr>
          <w:p>
            <w:pPr>
              <w:jc w:val="left"/>
            </w:pPr>
            <w:r>
              <w:t>住所</w:t>
            </w:r>
          </w:p>
        </w:tc>
        <w:tc>
          <w:tcPr>
            <w:tcW w:w="3800" w:type="dxa"/>
            <w:vAlign w:val="center"/>
          </w:tcPr>
          <w:p>
            <w:pPr>
              <w:jc w:val="center"/>
            </w:pPr>
            <w: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汉口银行股份有限公司</w:t>
            </w:r>
          </w:p>
        </w:tc>
        <w:tc>
          <w:tcPr>
            <w:tcW w:w="1200" w:type="dxa"/>
            <w:vAlign w:val="center"/>
          </w:tcPr>
          <w:p>
            <w:pPr>
              <w:jc w:val="left"/>
            </w:pPr>
            <w:r>
              <w:t>住所</w:t>
            </w:r>
          </w:p>
        </w:tc>
        <w:tc>
          <w:tcPr>
            <w:tcW w:w="3800" w:type="dxa"/>
            <w:vAlign w:val="center"/>
          </w:tcPr>
          <w:p>
            <w:pPr>
              <w:jc w:val="center"/>
            </w:pPr>
            <w: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江苏丹阳农村商业银行股份有限公司</w:t>
            </w:r>
          </w:p>
        </w:tc>
        <w:tc>
          <w:tcPr>
            <w:tcW w:w="1200" w:type="dxa"/>
            <w:vAlign w:val="center"/>
          </w:tcPr>
          <w:p>
            <w:pPr>
              <w:jc w:val="left"/>
            </w:pPr>
            <w:r>
              <w:t>住所</w:t>
            </w:r>
          </w:p>
        </w:tc>
        <w:tc>
          <w:tcPr>
            <w:tcW w:w="3800" w:type="dxa"/>
            <w:vAlign w:val="center"/>
          </w:tcPr>
          <w:p>
            <w:pPr>
              <w:jc w:val="center"/>
            </w:pPr>
            <w: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江苏南通农村商业银行股份有限公司</w:t>
            </w:r>
          </w:p>
        </w:tc>
        <w:tc>
          <w:tcPr>
            <w:tcW w:w="1200" w:type="dxa"/>
            <w:vAlign w:val="center"/>
          </w:tcPr>
          <w:p>
            <w:pPr>
              <w:jc w:val="left"/>
            </w:pPr>
            <w:r>
              <w:t>住所</w:t>
            </w:r>
          </w:p>
        </w:tc>
        <w:tc>
          <w:tcPr>
            <w:tcW w:w="3800" w:type="dxa"/>
            <w:vAlign w:val="center"/>
          </w:tcPr>
          <w:p>
            <w:pPr>
              <w:jc w:val="center"/>
            </w:pPr>
            <w: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江苏启东农村商业银行股份有限公司</w:t>
            </w:r>
          </w:p>
        </w:tc>
        <w:tc>
          <w:tcPr>
            <w:tcW w:w="1200" w:type="dxa"/>
            <w:vAlign w:val="center"/>
          </w:tcPr>
          <w:p>
            <w:pPr>
              <w:jc w:val="left"/>
            </w:pPr>
            <w:r>
              <w:t>住所</w:t>
            </w:r>
          </w:p>
        </w:tc>
        <w:tc>
          <w:tcPr>
            <w:tcW w:w="3800" w:type="dxa"/>
            <w:vAlign w:val="center"/>
          </w:tcPr>
          <w:p>
            <w:pPr>
              <w:jc w:val="center"/>
            </w:pPr>
            <w: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江苏如皋农村商业银行股份有限公司</w:t>
            </w:r>
          </w:p>
        </w:tc>
        <w:tc>
          <w:tcPr>
            <w:tcW w:w="1200" w:type="dxa"/>
            <w:vAlign w:val="center"/>
          </w:tcPr>
          <w:p>
            <w:pPr>
              <w:jc w:val="left"/>
            </w:pPr>
            <w:r>
              <w:t>住所</w:t>
            </w:r>
          </w:p>
        </w:tc>
        <w:tc>
          <w:tcPr>
            <w:tcW w:w="3800" w:type="dxa"/>
            <w:vAlign w:val="center"/>
          </w:tcPr>
          <w:p>
            <w:pPr>
              <w:jc w:val="center"/>
            </w:pPr>
            <w: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江苏宜兴农村商业银行股份有限公司</w:t>
            </w:r>
          </w:p>
        </w:tc>
        <w:tc>
          <w:tcPr>
            <w:tcW w:w="1200" w:type="dxa"/>
            <w:vAlign w:val="center"/>
          </w:tcPr>
          <w:p>
            <w:pPr>
              <w:jc w:val="left"/>
            </w:pPr>
            <w:r>
              <w:t>住所</w:t>
            </w:r>
          </w:p>
        </w:tc>
        <w:tc>
          <w:tcPr>
            <w:tcW w:w="3800" w:type="dxa"/>
            <w:vAlign w:val="center"/>
          </w:tcPr>
          <w:p>
            <w:pPr>
              <w:jc w:val="center"/>
            </w:pPr>
            <w:r>
              <w:t>江苏宜兴市宜城街道解放东路579号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江苏宝应农村商业银行股份有限公司</w:t>
            </w:r>
          </w:p>
        </w:tc>
        <w:tc>
          <w:tcPr>
            <w:tcW w:w="1200" w:type="dxa"/>
            <w:vAlign w:val="center"/>
          </w:tcPr>
          <w:p>
            <w:pPr>
              <w:jc w:val="left"/>
            </w:pPr>
            <w:r>
              <w:t>住所</w:t>
            </w:r>
          </w:p>
        </w:tc>
        <w:tc>
          <w:tcPr>
            <w:tcW w:w="3800" w:type="dxa"/>
            <w:vAlign w:val="center"/>
          </w:tcPr>
          <w:p>
            <w:pPr>
              <w:jc w:val="center"/>
            </w:pPr>
            <w:r>
              <w:t>江苏省宝应县文津路1号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江苏扬中农村商业银行股份有限公司</w:t>
            </w:r>
          </w:p>
        </w:tc>
        <w:tc>
          <w:tcPr>
            <w:tcW w:w="1200" w:type="dxa"/>
            <w:vAlign w:val="center"/>
          </w:tcPr>
          <w:p>
            <w:pPr>
              <w:jc w:val="left"/>
            </w:pPr>
            <w:r>
              <w:t>住所</w:t>
            </w:r>
          </w:p>
        </w:tc>
        <w:tc>
          <w:tcPr>
            <w:tcW w:w="3800" w:type="dxa"/>
            <w:vAlign w:val="center"/>
          </w:tcPr>
          <w:p>
            <w:pPr>
              <w:jc w:val="center"/>
            </w:pPr>
            <w:r>
              <w:t>江苏省扬中市扬子西路79号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江苏扬州农村商业银行股份有限公司</w:t>
            </w:r>
          </w:p>
        </w:tc>
        <w:tc>
          <w:tcPr>
            <w:tcW w:w="1200" w:type="dxa"/>
            <w:vAlign w:val="center"/>
          </w:tcPr>
          <w:p>
            <w:pPr>
              <w:jc w:val="left"/>
            </w:pPr>
            <w:r>
              <w:t>住所</w:t>
            </w:r>
          </w:p>
        </w:tc>
        <w:tc>
          <w:tcPr>
            <w:tcW w:w="3800" w:type="dxa"/>
            <w:vAlign w:val="center"/>
          </w:tcPr>
          <w:p>
            <w:pPr>
              <w:jc w:val="center"/>
            </w:pPr>
            <w: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江苏昆山农村商业银行股份有限公司</w:t>
            </w:r>
          </w:p>
        </w:tc>
        <w:tc>
          <w:tcPr>
            <w:tcW w:w="1200" w:type="dxa"/>
            <w:vAlign w:val="center"/>
          </w:tcPr>
          <w:p>
            <w:pPr>
              <w:jc w:val="left"/>
            </w:pPr>
            <w:r>
              <w:t>住所</w:t>
            </w:r>
          </w:p>
        </w:tc>
        <w:tc>
          <w:tcPr>
            <w:tcW w:w="3800" w:type="dxa"/>
            <w:vAlign w:val="center"/>
          </w:tcPr>
          <w:p>
            <w:pPr>
              <w:jc w:val="center"/>
            </w:pPr>
            <w: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江苏江阴农村商业银行股份有限公司</w:t>
            </w:r>
          </w:p>
        </w:tc>
        <w:tc>
          <w:tcPr>
            <w:tcW w:w="1200" w:type="dxa"/>
            <w:vAlign w:val="center"/>
          </w:tcPr>
          <w:p>
            <w:pPr>
              <w:jc w:val="left"/>
            </w:pPr>
            <w:r>
              <w:t>住所</w:t>
            </w:r>
          </w:p>
        </w:tc>
        <w:tc>
          <w:tcPr>
            <w:tcW w:w="3800" w:type="dxa"/>
            <w:vAlign w:val="center"/>
          </w:tcPr>
          <w:p>
            <w:pPr>
              <w:jc w:val="center"/>
            </w:pPr>
            <w: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江苏沛县农村商业银行股份有限公司</w:t>
            </w:r>
          </w:p>
        </w:tc>
        <w:tc>
          <w:tcPr>
            <w:tcW w:w="1200" w:type="dxa"/>
            <w:vAlign w:val="center"/>
          </w:tcPr>
          <w:p>
            <w:pPr>
              <w:jc w:val="left"/>
            </w:pPr>
            <w:r>
              <w:t>住所</w:t>
            </w:r>
          </w:p>
        </w:tc>
        <w:tc>
          <w:tcPr>
            <w:tcW w:w="3800" w:type="dxa"/>
            <w:vAlign w:val="center"/>
          </w:tcPr>
          <w:p>
            <w:pPr>
              <w:jc w:val="center"/>
            </w:pPr>
            <w:r>
              <w:t>江苏省沛县汤沐路中段11号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江苏泗阳农村商业银行股份有限公司</w:t>
            </w:r>
          </w:p>
        </w:tc>
        <w:tc>
          <w:tcPr>
            <w:tcW w:w="1200" w:type="dxa"/>
            <w:vAlign w:val="center"/>
          </w:tcPr>
          <w:p>
            <w:pPr>
              <w:jc w:val="left"/>
            </w:pPr>
            <w:r>
              <w:t>住所</w:t>
            </w:r>
          </w:p>
        </w:tc>
        <w:tc>
          <w:tcPr>
            <w:tcW w:w="3800" w:type="dxa"/>
            <w:vAlign w:val="center"/>
          </w:tcPr>
          <w:p>
            <w:pPr>
              <w:jc w:val="center"/>
            </w:pPr>
            <w: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江苏灌南农村商业银行股份有限公司</w:t>
            </w:r>
          </w:p>
        </w:tc>
        <w:tc>
          <w:tcPr>
            <w:tcW w:w="1200" w:type="dxa"/>
            <w:vAlign w:val="center"/>
          </w:tcPr>
          <w:p>
            <w:pPr>
              <w:jc w:val="left"/>
            </w:pPr>
            <w:r>
              <w:t>住所</w:t>
            </w:r>
          </w:p>
        </w:tc>
        <w:tc>
          <w:tcPr>
            <w:tcW w:w="3800" w:type="dxa"/>
            <w:vAlign w:val="center"/>
          </w:tcPr>
          <w:p>
            <w:pPr>
              <w:jc w:val="center"/>
            </w:pPr>
            <w:r>
              <w:t>江苏省连云港市灌南县人民路29号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江苏紫金农村商业银行股份有限公司</w:t>
            </w:r>
          </w:p>
        </w:tc>
        <w:tc>
          <w:tcPr>
            <w:tcW w:w="1200" w:type="dxa"/>
            <w:vAlign w:val="center"/>
          </w:tcPr>
          <w:p>
            <w:pPr>
              <w:jc w:val="left"/>
            </w:pPr>
            <w:r>
              <w:t>住所</w:t>
            </w:r>
          </w:p>
        </w:tc>
        <w:tc>
          <w:tcPr>
            <w:tcW w:w="3800" w:type="dxa"/>
            <w:vAlign w:val="center"/>
          </w:tcPr>
          <w:p>
            <w:pPr>
              <w:jc w:val="center"/>
            </w:pPr>
            <w: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江苏苏州农村商业银行股份有限公司</w:t>
            </w:r>
          </w:p>
        </w:tc>
        <w:tc>
          <w:tcPr>
            <w:tcW w:w="1200" w:type="dxa"/>
            <w:vAlign w:val="center"/>
          </w:tcPr>
          <w:p>
            <w:pPr>
              <w:jc w:val="left"/>
            </w:pPr>
            <w:r>
              <w:t>住所</w:t>
            </w:r>
          </w:p>
        </w:tc>
        <w:tc>
          <w:tcPr>
            <w:tcW w:w="3800" w:type="dxa"/>
            <w:vAlign w:val="center"/>
          </w:tcPr>
          <w:p>
            <w:pPr>
              <w:jc w:val="center"/>
            </w:pPr>
            <w: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江苏银行股份有限公司</w:t>
            </w:r>
          </w:p>
        </w:tc>
        <w:tc>
          <w:tcPr>
            <w:tcW w:w="1200" w:type="dxa"/>
            <w:vAlign w:val="center"/>
          </w:tcPr>
          <w:p>
            <w:pPr>
              <w:jc w:val="left"/>
            </w:pPr>
            <w:r>
              <w:t>住所</w:t>
            </w:r>
          </w:p>
        </w:tc>
        <w:tc>
          <w:tcPr>
            <w:tcW w:w="3800" w:type="dxa"/>
            <w:vAlign w:val="center"/>
          </w:tcPr>
          <w:p>
            <w:pPr>
              <w:jc w:val="center"/>
            </w:pPr>
            <w: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江苏镇江农村商业银行股份有限公司</w:t>
            </w:r>
          </w:p>
        </w:tc>
        <w:tc>
          <w:tcPr>
            <w:tcW w:w="1200" w:type="dxa"/>
            <w:vAlign w:val="center"/>
          </w:tcPr>
          <w:p>
            <w:pPr>
              <w:jc w:val="left"/>
            </w:pPr>
            <w:r>
              <w:t>住所</w:t>
            </w:r>
          </w:p>
        </w:tc>
        <w:tc>
          <w:tcPr>
            <w:tcW w:w="3800" w:type="dxa"/>
            <w:vAlign w:val="center"/>
          </w:tcPr>
          <w:p>
            <w:pPr>
              <w:jc w:val="center"/>
            </w:pPr>
            <w: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泉州农村商业银行股份有限公司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泉州银行股份有限公司</w:t>
            </w:r>
          </w:p>
        </w:tc>
        <w:tc>
          <w:tcPr>
            <w:tcW w:w="1200" w:type="dxa"/>
            <w:vAlign w:val="center"/>
          </w:tcPr>
          <w:p>
            <w:pPr>
              <w:jc w:val="left"/>
            </w:pPr>
            <w:r>
              <w:t>住所</w:t>
            </w:r>
          </w:p>
        </w:tc>
        <w:tc>
          <w:tcPr>
            <w:tcW w:w="3800" w:type="dxa"/>
            <w:vAlign w:val="center"/>
          </w:tcPr>
          <w:p>
            <w:pPr>
              <w:jc w:val="center"/>
            </w:pPr>
            <w: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浦城县农村信用合作联社</w:t>
            </w:r>
          </w:p>
        </w:tc>
        <w:tc>
          <w:tcPr>
            <w:tcW w:w="1200" w:type="dxa"/>
            <w:vAlign w:val="center"/>
          </w:tcPr>
          <w:p>
            <w:pPr>
              <w:jc w:val="left"/>
            </w:pPr>
            <w:r>
              <w:t>住所</w:t>
            </w:r>
          </w:p>
        </w:tc>
        <w:tc>
          <w:tcPr>
            <w:tcW w:w="3800" w:type="dxa"/>
            <w:vAlign w:val="center"/>
          </w:tcPr>
          <w:p>
            <w:pPr>
              <w:jc w:val="center"/>
            </w:pPr>
            <w: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湖北银行股份有限公司</w:t>
            </w:r>
          </w:p>
        </w:tc>
        <w:tc>
          <w:tcPr>
            <w:tcW w:w="1200" w:type="dxa"/>
            <w:vAlign w:val="center"/>
          </w:tcPr>
          <w:p>
            <w:pPr>
              <w:jc w:val="left"/>
            </w:pPr>
            <w:r>
              <w:t>住所</w:t>
            </w:r>
          </w:p>
        </w:tc>
        <w:tc>
          <w:tcPr>
            <w:tcW w:w="3800" w:type="dxa"/>
            <w:vAlign w:val="center"/>
          </w:tcPr>
          <w:p>
            <w:pPr>
              <w:jc w:val="center"/>
            </w:pPr>
            <w: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珠海农村商业银行股份有限公司</w:t>
            </w:r>
          </w:p>
        </w:tc>
        <w:tc>
          <w:tcPr>
            <w:tcW w:w="1200" w:type="dxa"/>
            <w:vAlign w:val="center"/>
          </w:tcPr>
          <w:p>
            <w:pPr>
              <w:jc w:val="left"/>
            </w:pPr>
            <w:r>
              <w:t>住所</w:t>
            </w:r>
          </w:p>
        </w:tc>
        <w:tc>
          <w:tcPr>
            <w:tcW w:w="3800" w:type="dxa"/>
            <w:vAlign w:val="center"/>
          </w:tcPr>
          <w:p>
            <w:pPr>
              <w:jc w:val="center"/>
            </w:pPr>
            <w: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福建三明农村商业银行股份有限公司</w:t>
            </w:r>
          </w:p>
        </w:tc>
        <w:tc>
          <w:tcPr>
            <w:tcW w:w="1200" w:type="dxa"/>
            <w:vAlign w:val="center"/>
          </w:tcPr>
          <w:p>
            <w:pPr>
              <w:jc w:val="left"/>
            </w:pPr>
            <w:r>
              <w:t>住所</w:t>
            </w:r>
          </w:p>
        </w:tc>
        <w:tc>
          <w:tcPr>
            <w:tcW w:w="3800" w:type="dxa"/>
            <w:vAlign w:val="center"/>
          </w:tcPr>
          <w:p>
            <w:pPr>
              <w:jc w:val="center"/>
            </w:pPr>
            <w: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福建上杭农村商业银行股份有限公司</w:t>
            </w:r>
          </w:p>
        </w:tc>
        <w:tc>
          <w:tcPr>
            <w:tcW w:w="1200" w:type="dxa"/>
            <w:vAlign w:val="center"/>
          </w:tcPr>
          <w:p>
            <w:pPr>
              <w:jc w:val="left"/>
            </w:pPr>
            <w:r>
              <w:t>住所</w:t>
            </w:r>
          </w:p>
        </w:tc>
        <w:tc>
          <w:tcPr>
            <w:tcW w:w="3800" w:type="dxa"/>
            <w:vAlign w:val="center"/>
          </w:tcPr>
          <w:p>
            <w:pPr>
              <w:jc w:val="center"/>
            </w:pPr>
            <w: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福建仙游农村商业银行股份有限公司</w:t>
            </w:r>
          </w:p>
        </w:tc>
        <w:tc>
          <w:tcPr>
            <w:tcW w:w="1200" w:type="dxa"/>
            <w:vAlign w:val="center"/>
          </w:tcPr>
          <w:p>
            <w:pPr>
              <w:jc w:val="left"/>
            </w:pPr>
            <w:r>
              <w:t>住所</w:t>
            </w:r>
          </w:p>
        </w:tc>
        <w:tc>
          <w:tcPr>
            <w:tcW w:w="3800" w:type="dxa"/>
            <w:vAlign w:val="center"/>
          </w:tcPr>
          <w:p>
            <w:pPr>
              <w:jc w:val="center"/>
            </w:pPr>
            <w: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福建南安农村商业银行股份有限公司</w:t>
            </w:r>
          </w:p>
        </w:tc>
        <w:tc>
          <w:tcPr>
            <w:tcW w:w="1200" w:type="dxa"/>
            <w:vAlign w:val="center"/>
          </w:tcPr>
          <w:p>
            <w:pPr>
              <w:jc w:val="left"/>
            </w:pPr>
            <w:r>
              <w:t>住所</w:t>
            </w:r>
          </w:p>
        </w:tc>
        <w:tc>
          <w:tcPr>
            <w:tcW w:w="3800" w:type="dxa"/>
            <w:vAlign w:val="center"/>
          </w:tcPr>
          <w:p>
            <w:pPr>
              <w:jc w:val="center"/>
            </w:pPr>
            <w: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福建宁德农村商业银行股份有限公司</w:t>
            </w:r>
          </w:p>
        </w:tc>
        <w:tc>
          <w:tcPr>
            <w:tcW w:w="1200" w:type="dxa"/>
            <w:vAlign w:val="center"/>
          </w:tcPr>
          <w:p>
            <w:pPr>
              <w:jc w:val="left"/>
            </w:pPr>
            <w:r>
              <w:t>住所</w:t>
            </w:r>
          </w:p>
        </w:tc>
        <w:tc>
          <w:tcPr>
            <w:tcW w:w="3800" w:type="dxa"/>
            <w:vAlign w:val="center"/>
          </w:tcPr>
          <w:p>
            <w:pPr>
              <w:jc w:val="center"/>
            </w:pPr>
            <w: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福建安溪农村商业银行股份有限公司</w:t>
            </w:r>
          </w:p>
        </w:tc>
        <w:tc>
          <w:tcPr>
            <w:tcW w:w="1200" w:type="dxa"/>
            <w:vAlign w:val="center"/>
          </w:tcPr>
          <w:p>
            <w:pPr>
              <w:jc w:val="left"/>
            </w:pPr>
            <w:r>
              <w:t>住所</w:t>
            </w:r>
          </w:p>
        </w:tc>
        <w:tc>
          <w:tcPr>
            <w:tcW w:w="3800" w:type="dxa"/>
            <w:vAlign w:val="center"/>
          </w:tcPr>
          <w:p>
            <w:pPr>
              <w:jc w:val="center"/>
            </w:pPr>
            <w: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福建平和农村商业银行股份有限公司</w:t>
            </w:r>
          </w:p>
        </w:tc>
        <w:tc>
          <w:tcPr>
            <w:tcW w:w="1200" w:type="dxa"/>
            <w:vAlign w:val="center"/>
          </w:tcPr>
          <w:p>
            <w:pPr>
              <w:jc w:val="left"/>
            </w:pPr>
            <w:r>
              <w:t>住所</w:t>
            </w:r>
          </w:p>
        </w:tc>
        <w:tc>
          <w:tcPr>
            <w:tcW w:w="3800" w:type="dxa"/>
            <w:vAlign w:val="center"/>
          </w:tcPr>
          <w:p>
            <w:pPr>
              <w:jc w:val="center"/>
            </w:pPr>
            <w: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福建平潭农村商业银行股份有限公司</w:t>
            </w:r>
          </w:p>
        </w:tc>
        <w:tc>
          <w:tcPr>
            <w:tcW w:w="1200" w:type="dxa"/>
            <w:vAlign w:val="center"/>
          </w:tcPr>
          <w:p>
            <w:pPr>
              <w:jc w:val="left"/>
            </w:pPr>
            <w:r>
              <w:t>住所</w:t>
            </w:r>
          </w:p>
        </w:tc>
        <w:tc>
          <w:tcPr>
            <w:tcW w:w="3800" w:type="dxa"/>
            <w:vAlign w:val="center"/>
          </w:tcPr>
          <w:p>
            <w:pPr>
              <w:jc w:val="center"/>
            </w:pPr>
            <w:r>
              <w:t>平潭县潭城镇龙里路西侧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0591-86166116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福建建瓯农村商业银行股份有限公司</w:t>
            </w:r>
          </w:p>
        </w:tc>
        <w:tc>
          <w:tcPr>
            <w:tcW w:w="1200" w:type="dxa"/>
            <w:vAlign w:val="center"/>
          </w:tcPr>
          <w:p>
            <w:pPr>
              <w:jc w:val="left"/>
            </w:pPr>
            <w:r>
              <w:t>住所</w:t>
            </w:r>
          </w:p>
        </w:tc>
        <w:tc>
          <w:tcPr>
            <w:tcW w:w="3800" w:type="dxa"/>
            <w:vAlign w:val="center"/>
          </w:tcPr>
          <w:p>
            <w:pPr>
              <w:jc w:val="center"/>
            </w:pPr>
            <w: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福建晋江农村商业银行股份有限公司</w:t>
            </w:r>
          </w:p>
        </w:tc>
        <w:tc>
          <w:tcPr>
            <w:tcW w:w="1200" w:type="dxa"/>
            <w:vAlign w:val="center"/>
          </w:tcPr>
          <w:p>
            <w:pPr>
              <w:jc w:val="left"/>
            </w:pPr>
            <w:r>
              <w:t>住所</w:t>
            </w:r>
          </w:p>
        </w:tc>
        <w:tc>
          <w:tcPr>
            <w:tcW w:w="3800" w:type="dxa"/>
            <w:vAlign w:val="center"/>
          </w:tcPr>
          <w:p>
            <w:pPr>
              <w:jc w:val="center"/>
            </w:pPr>
            <w: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福建武夷山农村商业银行股份有限公司</w:t>
            </w:r>
          </w:p>
        </w:tc>
        <w:tc>
          <w:tcPr>
            <w:tcW w:w="1200" w:type="dxa"/>
            <w:vAlign w:val="center"/>
          </w:tcPr>
          <w:p>
            <w:pPr>
              <w:jc w:val="left"/>
            </w:pPr>
            <w:r>
              <w:t>住所</w:t>
            </w:r>
          </w:p>
        </w:tc>
        <w:tc>
          <w:tcPr>
            <w:tcW w:w="3800" w:type="dxa"/>
            <w:vAlign w:val="center"/>
          </w:tcPr>
          <w:p>
            <w:pPr>
              <w:jc w:val="center"/>
            </w:pPr>
            <w:r>
              <w:t>福建省武夷山市环岛西路76号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0599-5309753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福建沙县农村商业银行股份有限公司</w:t>
            </w:r>
          </w:p>
        </w:tc>
        <w:tc>
          <w:tcPr>
            <w:tcW w:w="1200" w:type="dxa"/>
            <w:vAlign w:val="center"/>
          </w:tcPr>
          <w:p>
            <w:pPr>
              <w:jc w:val="left"/>
            </w:pPr>
            <w:r>
              <w:t>住所</w:t>
            </w:r>
          </w:p>
        </w:tc>
        <w:tc>
          <w:tcPr>
            <w:tcW w:w="3800" w:type="dxa"/>
            <w:vAlign w:val="center"/>
          </w:tcPr>
          <w:p>
            <w:pPr>
              <w:jc w:val="center"/>
            </w:pPr>
            <w: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福建海峡银行股份有限公司</w:t>
            </w:r>
          </w:p>
        </w:tc>
        <w:tc>
          <w:tcPr>
            <w:tcW w:w="1200" w:type="dxa"/>
            <w:vAlign w:val="center"/>
          </w:tcPr>
          <w:p>
            <w:pPr>
              <w:jc w:val="left"/>
            </w:pPr>
            <w:r>
              <w:t>住所</w:t>
            </w:r>
          </w:p>
        </w:tc>
        <w:tc>
          <w:tcPr>
            <w:tcW w:w="3800" w:type="dxa"/>
            <w:vAlign w:val="center"/>
          </w:tcPr>
          <w:p>
            <w:pPr>
              <w:jc w:val="center"/>
            </w:pPr>
            <w: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福建漳州农村商业银行股份有限公司</w:t>
            </w:r>
          </w:p>
        </w:tc>
        <w:tc>
          <w:tcPr>
            <w:tcW w:w="1200" w:type="dxa"/>
            <w:vAlign w:val="center"/>
          </w:tcPr>
          <w:p>
            <w:pPr>
              <w:jc w:val="left"/>
            </w:pPr>
            <w:r>
              <w:t>住所</w:t>
            </w:r>
          </w:p>
        </w:tc>
        <w:tc>
          <w:tcPr>
            <w:tcW w:w="3800" w:type="dxa"/>
            <w:vAlign w:val="center"/>
          </w:tcPr>
          <w:p>
            <w:pPr>
              <w:jc w:val="center"/>
            </w:pPr>
            <w: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福建漳浦农村商业银行股份有限公司</w:t>
            </w:r>
          </w:p>
        </w:tc>
        <w:tc>
          <w:tcPr>
            <w:tcW w:w="1200" w:type="dxa"/>
            <w:vAlign w:val="center"/>
          </w:tcPr>
          <w:p>
            <w:pPr>
              <w:jc w:val="left"/>
            </w:pPr>
            <w:r>
              <w:t>住所</w:t>
            </w:r>
          </w:p>
        </w:tc>
        <w:tc>
          <w:tcPr>
            <w:tcW w:w="3800" w:type="dxa"/>
            <w:vAlign w:val="center"/>
          </w:tcPr>
          <w:p>
            <w:pPr>
              <w:jc w:val="center"/>
            </w:pPr>
            <w: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福建石狮农村商业银行股份有限公司</w:t>
            </w:r>
          </w:p>
        </w:tc>
        <w:tc>
          <w:tcPr>
            <w:tcW w:w="1200" w:type="dxa"/>
            <w:vAlign w:val="center"/>
          </w:tcPr>
          <w:p>
            <w:pPr>
              <w:jc w:val="left"/>
            </w:pPr>
            <w:r>
              <w:t>住所</w:t>
            </w:r>
          </w:p>
        </w:tc>
        <w:tc>
          <w:tcPr>
            <w:tcW w:w="3800" w:type="dxa"/>
            <w:vAlign w:val="center"/>
          </w:tcPr>
          <w:p>
            <w:pPr>
              <w:jc w:val="center"/>
            </w:pPr>
            <w: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福建福州农村商业银行股份有限公司</w:t>
            </w:r>
          </w:p>
        </w:tc>
        <w:tc>
          <w:tcPr>
            <w:tcW w:w="1200" w:type="dxa"/>
            <w:vAlign w:val="center"/>
          </w:tcPr>
          <w:p>
            <w:pPr>
              <w:jc w:val="left"/>
            </w:pPr>
            <w:r>
              <w:t>住所</w:t>
            </w:r>
          </w:p>
        </w:tc>
        <w:tc>
          <w:tcPr>
            <w:tcW w:w="3800" w:type="dxa"/>
            <w:vAlign w:val="center"/>
          </w:tcPr>
          <w:p>
            <w:pPr>
              <w:jc w:val="center"/>
            </w:pPr>
            <w: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福建莆田农村商业银行股份有限公司</w:t>
            </w:r>
          </w:p>
        </w:tc>
        <w:tc>
          <w:tcPr>
            <w:tcW w:w="1200" w:type="dxa"/>
            <w:vAlign w:val="center"/>
          </w:tcPr>
          <w:p>
            <w:pPr>
              <w:jc w:val="left"/>
            </w:pPr>
            <w:r>
              <w:t>住所</w:t>
            </w:r>
          </w:p>
        </w:tc>
        <w:tc>
          <w:tcPr>
            <w:tcW w:w="3800" w:type="dxa"/>
            <w:vAlign w:val="center"/>
          </w:tcPr>
          <w:p>
            <w:pPr>
              <w:jc w:val="center"/>
            </w:pPr>
            <w: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0594-2096336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福建连江农村商业银行股份有限公司</w:t>
            </w:r>
          </w:p>
        </w:tc>
        <w:tc>
          <w:tcPr>
            <w:tcW w:w="1200" w:type="dxa"/>
            <w:vAlign w:val="center"/>
          </w:tcPr>
          <w:p>
            <w:pPr>
              <w:jc w:val="left"/>
            </w:pPr>
            <w:r>
              <w:t>住所</w:t>
            </w:r>
          </w:p>
        </w:tc>
        <w:tc>
          <w:tcPr>
            <w:tcW w:w="3800" w:type="dxa"/>
            <w:vAlign w:val="center"/>
          </w:tcPr>
          <w:p>
            <w:pPr>
              <w:jc w:val="center"/>
            </w:pPr>
            <w: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福建邵武农村商业银行股份有限公司</w:t>
            </w:r>
          </w:p>
        </w:tc>
        <w:tc>
          <w:tcPr>
            <w:tcW w:w="1200" w:type="dxa"/>
            <w:vAlign w:val="center"/>
          </w:tcPr>
          <w:p>
            <w:pPr>
              <w:jc w:val="left"/>
            </w:pPr>
            <w:r>
              <w:t>住所</w:t>
            </w:r>
          </w:p>
        </w:tc>
        <w:tc>
          <w:tcPr>
            <w:tcW w:w="3800" w:type="dxa"/>
            <w:vAlign w:val="center"/>
          </w:tcPr>
          <w:p>
            <w:pPr>
              <w:jc w:val="center"/>
            </w:pPr>
            <w: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福建长乐农村商业银行股份有限公司</w:t>
            </w:r>
          </w:p>
        </w:tc>
        <w:tc>
          <w:tcPr>
            <w:tcW w:w="1200" w:type="dxa"/>
            <w:vAlign w:val="center"/>
          </w:tcPr>
          <w:p>
            <w:pPr>
              <w:jc w:val="left"/>
            </w:pPr>
            <w:r>
              <w:t>住所</w:t>
            </w:r>
          </w:p>
        </w:tc>
        <w:tc>
          <w:tcPr>
            <w:tcW w:w="3800" w:type="dxa"/>
            <w:vAlign w:val="center"/>
          </w:tcPr>
          <w:p>
            <w:pPr>
              <w:jc w:val="center"/>
            </w:pPr>
            <w: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福建龙岩农村商业银行股份有限公司</w:t>
            </w:r>
          </w:p>
        </w:tc>
        <w:tc>
          <w:tcPr>
            <w:tcW w:w="1200" w:type="dxa"/>
            <w:vAlign w:val="center"/>
          </w:tcPr>
          <w:p>
            <w:pPr>
              <w:jc w:val="left"/>
            </w:pPr>
            <w:r>
              <w:t>住所</w:t>
            </w:r>
          </w:p>
        </w:tc>
        <w:tc>
          <w:tcPr>
            <w:tcW w:w="3800" w:type="dxa"/>
            <w:vAlign w:val="center"/>
          </w:tcPr>
          <w:p>
            <w:pPr>
              <w:jc w:val="center"/>
            </w:pPr>
            <w: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福建龙海农村商业银行股份有限公司</w:t>
            </w:r>
          </w:p>
        </w:tc>
        <w:tc>
          <w:tcPr>
            <w:tcW w:w="1200" w:type="dxa"/>
            <w:vAlign w:val="center"/>
          </w:tcPr>
          <w:p>
            <w:pPr>
              <w:jc w:val="left"/>
            </w:pPr>
            <w:r>
              <w:t>住所</w:t>
            </w:r>
          </w:p>
        </w:tc>
        <w:tc>
          <w:tcPr>
            <w:tcW w:w="3800" w:type="dxa"/>
            <w:vAlign w:val="center"/>
          </w:tcPr>
          <w:p>
            <w:pPr>
              <w:jc w:val="center"/>
            </w:pPr>
            <w: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福鼎市农村信用合作联社</w:t>
            </w:r>
          </w:p>
        </w:tc>
        <w:tc>
          <w:tcPr>
            <w:tcW w:w="1200" w:type="dxa"/>
            <w:vAlign w:val="center"/>
          </w:tcPr>
          <w:p>
            <w:pPr>
              <w:jc w:val="left"/>
            </w:pPr>
            <w:r>
              <w:t>住所</w:t>
            </w:r>
          </w:p>
        </w:tc>
        <w:tc>
          <w:tcPr>
            <w:tcW w:w="3800" w:type="dxa"/>
            <w:vAlign w:val="center"/>
          </w:tcPr>
          <w:p>
            <w:pPr>
              <w:jc w:val="center"/>
            </w:pPr>
            <w: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罗源县农村信用合作联社</w:t>
            </w:r>
          </w:p>
        </w:tc>
        <w:tc>
          <w:tcPr>
            <w:tcW w:w="1200" w:type="dxa"/>
            <w:vAlign w:val="center"/>
          </w:tcPr>
          <w:p>
            <w:pPr>
              <w:jc w:val="left"/>
            </w:pPr>
            <w:r>
              <w:t>住所</w:t>
            </w:r>
          </w:p>
        </w:tc>
        <w:tc>
          <w:tcPr>
            <w:tcW w:w="3800" w:type="dxa"/>
            <w:vAlign w:val="center"/>
          </w:tcPr>
          <w:p>
            <w:pPr>
              <w:jc w:val="center"/>
            </w:pPr>
            <w: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贵阳银行股份有限公司</w:t>
            </w:r>
          </w:p>
        </w:tc>
        <w:tc>
          <w:tcPr>
            <w:tcW w:w="1200" w:type="dxa"/>
            <w:vAlign w:val="center"/>
          </w:tcPr>
          <w:p>
            <w:pPr>
              <w:jc w:val="left"/>
            </w:pPr>
            <w:r>
              <w:t>住所</w:t>
            </w:r>
          </w:p>
        </w:tc>
        <w:tc>
          <w:tcPr>
            <w:tcW w:w="3800" w:type="dxa"/>
            <w:vAlign w:val="center"/>
          </w:tcPr>
          <w:p>
            <w:pPr>
              <w:jc w:val="center"/>
            </w:pPr>
            <w: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辽宁农村商业银行股份有限公司</w:t>
            </w:r>
          </w:p>
        </w:tc>
        <w:tc>
          <w:tcPr>
            <w:tcW w:w="1200" w:type="dxa"/>
            <w:vAlign w:val="center"/>
          </w:tcPr>
          <w:p>
            <w:pPr>
              <w:jc w:val="left"/>
            </w:pPr>
            <w:r>
              <w:t>住所</w:t>
            </w:r>
          </w:p>
        </w:tc>
        <w:tc>
          <w:tcPr>
            <w:tcW w:w="3800" w:type="dxa"/>
            <w:vAlign w:val="center"/>
          </w:tcPr>
          <w:p>
            <w:pPr>
              <w:jc w:val="center"/>
            </w:pPr>
            <w: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连城县农村信用合作联社</w:t>
            </w:r>
          </w:p>
        </w:tc>
        <w:tc>
          <w:tcPr>
            <w:tcW w:w="1200" w:type="dxa"/>
            <w:vAlign w:val="center"/>
          </w:tcPr>
          <w:p>
            <w:pPr>
              <w:jc w:val="left"/>
            </w:pPr>
            <w:r>
              <w:t>住所</w:t>
            </w:r>
          </w:p>
        </w:tc>
        <w:tc>
          <w:tcPr>
            <w:tcW w:w="3800" w:type="dxa"/>
            <w:vAlign w:val="center"/>
          </w:tcPr>
          <w:p>
            <w:pPr>
              <w:jc w:val="center"/>
            </w:pPr>
            <w: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0597-8923750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长安银行股份有限公司</w:t>
            </w:r>
          </w:p>
        </w:tc>
        <w:tc>
          <w:tcPr>
            <w:tcW w:w="1200" w:type="dxa"/>
            <w:vAlign w:val="center"/>
          </w:tcPr>
          <w:p>
            <w:pPr>
              <w:jc w:val="left"/>
            </w:pPr>
            <w:r>
              <w:t>住所</w:t>
            </w:r>
          </w:p>
        </w:tc>
        <w:tc>
          <w:tcPr>
            <w:tcW w:w="3800" w:type="dxa"/>
            <w:vAlign w:val="center"/>
          </w:tcPr>
          <w:p>
            <w:pPr>
              <w:jc w:val="center"/>
            </w:pPr>
            <w: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闽侯县农村信用合作联社</w:t>
            </w:r>
          </w:p>
        </w:tc>
        <w:tc>
          <w:tcPr>
            <w:tcW w:w="1200" w:type="dxa"/>
            <w:vAlign w:val="center"/>
          </w:tcPr>
          <w:p>
            <w:pPr>
              <w:jc w:val="left"/>
            </w:pPr>
            <w:r>
              <w:t>住所</w:t>
            </w:r>
          </w:p>
        </w:tc>
        <w:tc>
          <w:tcPr>
            <w:tcW w:w="3800" w:type="dxa"/>
            <w:vAlign w:val="center"/>
          </w:tcPr>
          <w:p>
            <w:pPr>
              <w:jc w:val="center"/>
            </w:pPr>
            <w: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0591-2298221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闽清县农村信用合作联社</w:t>
            </w:r>
          </w:p>
        </w:tc>
        <w:tc>
          <w:tcPr>
            <w:tcW w:w="1200" w:type="dxa"/>
            <w:vAlign w:val="center"/>
          </w:tcPr>
          <w:p>
            <w:pPr>
              <w:jc w:val="left"/>
            </w:pPr>
            <w:r>
              <w:t>住所</w:t>
            </w:r>
          </w:p>
        </w:tc>
        <w:tc>
          <w:tcPr>
            <w:tcW w:w="3800" w:type="dxa"/>
            <w:vAlign w:val="center"/>
          </w:tcPr>
          <w:p>
            <w:pPr>
              <w:jc w:val="center"/>
            </w:pPr>
            <w: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霞浦县农村信用合作联社</w:t>
            </w:r>
          </w:p>
        </w:tc>
        <w:tc>
          <w:tcPr>
            <w:tcW w:w="1200" w:type="dxa"/>
            <w:vAlign w:val="center"/>
          </w:tcPr>
          <w:p>
            <w:pPr>
              <w:jc w:val="left"/>
            </w:pPr>
            <w:r>
              <w:t>住所</w:t>
            </w:r>
          </w:p>
        </w:tc>
        <w:tc>
          <w:tcPr>
            <w:tcW w:w="3800" w:type="dxa"/>
            <w:vAlign w:val="center"/>
          </w:tcPr>
          <w:p>
            <w:pPr>
              <w:jc w:val="center"/>
            </w:pPr>
            <w:r>
              <w:t>霞浦县赤岸大道11号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0593-8863336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顺昌县农村信用合作联社</w:t>
            </w:r>
          </w:p>
        </w:tc>
        <w:tc>
          <w:tcPr>
            <w:tcW w:w="1200" w:type="dxa"/>
            <w:vAlign w:val="center"/>
          </w:tcPr>
          <w:p>
            <w:pPr>
              <w:jc w:val="left"/>
            </w:pPr>
            <w:r>
              <w:t>住所</w:t>
            </w:r>
          </w:p>
        </w:tc>
        <w:tc>
          <w:tcPr>
            <w:tcW w:w="3800" w:type="dxa"/>
            <w:vAlign w:val="center"/>
          </w:tcPr>
          <w:p>
            <w:pPr>
              <w:jc w:val="center"/>
            </w:pPr>
            <w: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restart"/>
            <w:vAlign w:val="center"/>
          </w:tcPr>
          <w:p>
            <w:pPr>
              <w:jc w:val="center"/>
            </w:pPr>
            <w:r>
              <w:t>龙岩市永定区农村信用合作联社</w:t>
            </w:r>
          </w:p>
        </w:tc>
        <w:tc>
          <w:tcPr>
            <w:tcW w:w="1200" w:type="dxa"/>
            <w:vAlign w:val="center"/>
          </w:tcPr>
          <w:p>
            <w:pPr>
              <w:jc w:val="left"/>
            </w:pPr>
            <w:r>
              <w:t>住所</w:t>
            </w:r>
          </w:p>
        </w:tc>
        <w:tc>
          <w:tcPr>
            <w:tcW w:w="3800" w:type="dxa"/>
            <w:vAlign w:val="center"/>
          </w:tcPr>
          <w:p>
            <w:pPr>
              <w:jc w:val="center"/>
            </w:pPr>
            <w: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jc w:val="center"/>
            </w:pPr>
          </w:p>
        </w:tc>
        <w:tc>
          <w:tcPr>
            <w:tcW w:w="1600" w:type="dxa"/>
            <w:vMerge w:val="continue"/>
            <w:vAlign w:val="center"/>
          </w:tcPr>
          <w:p>
            <w:pPr>
              <w:jc w:val="center"/>
            </w:pPr>
          </w:p>
        </w:tc>
        <w:tc>
          <w:tcPr>
            <w:tcW w:w="1200" w:type="dxa"/>
            <w:vAlign w:val="center"/>
          </w:tcPr>
          <w:p>
            <w:pPr>
              <w:jc w:val="left"/>
            </w:pPr>
            <w:r>
              <w:t>客服热线</w:t>
            </w:r>
          </w:p>
        </w:tc>
        <w:tc>
          <w:tcPr>
            <w:tcW w:w="3800" w:type="dxa"/>
            <w:vAlign w:val="center"/>
          </w:tcPr>
          <w:p>
            <w:pPr>
              <w:jc w:val="center"/>
            </w:pPr>
            <w: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jc w:val="center"/>
            </w:pPr>
            <w:r>
              <w:t>销售机构职责</w:t>
            </w:r>
          </w:p>
        </w:tc>
        <w:tc>
          <w:tcPr>
            <w:tcW w:w="6600" w:type="dxa"/>
            <w:gridSpan w:val="3"/>
            <w:vAlign w:val="center"/>
          </w:tcPr>
          <w:p>
            <w:pPr>
              <w:jc w:val="left"/>
            </w:pPr>
            <w: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color w:val="000000"/>
          <w:sz w:val="24"/>
          <w:highlight w:val="none"/>
        </w:rPr>
      </w:pPr>
      <w:r>
        <w:rPr>
          <w:rFonts w:hint="eastAsia"/>
          <w:color w:val="000000"/>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color w:val="000000"/>
          <w:kern w:val="2"/>
          <w:highlight w:val="none"/>
          <w:lang w:eastAsia="zh-CN"/>
        </w:rPr>
      </w:pPr>
      <w:r>
        <w:rPr>
          <w:rFonts w:hint="eastAsia" w:ascii="宋体" w:hAnsi="宋体" w:cs="宋体"/>
          <w:bCs/>
          <w:color w:val="000000"/>
          <w:kern w:val="2"/>
          <w:highlight w:val="none"/>
          <w:lang w:eastAsia="zh-CN"/>
        </w:rPr>
        <w:t>银行存款</w:t>
      </w:r>
      <w:r>
        <w:rPr>
          <w:rFonts w:hint="eastAsia" w:ascii="宋体" w:hAnsi="宋体" w:cs="宋体"/>
          <w:bCs/>
          <w:color w:val="000000"/>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color w:val="000000"/>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color w:val="000000"/>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2）</w:t>
      </w:r>
      <w:r>
        <w:rPr>
          <w:rFonts w:hint="eastAsia" w:ascii="宋体" w:hAnsi="宋体"/>
          <w:color w:val="000000"/>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3）</w:t>
      </w:r>
      <w:r>
        <w:rPr>
          <w:rFonts w:hint="eastAsia" w:ascii="宋体" w:hAnsi="宋体"/>
          <w:color w:val="000000"/>
          <w:sz w:val="24"/>
          <w:highlight w:val="none"/>
        </w:rPr>
        <w:t>首次发行未上市的股票，按发行价格进行估值；</w:t>
      </w:r>
    </w:p>
    <w:p>
      <w:pPr>
        <w:numPr>
          <w:ilvl w:val="0"/>
          <w:numId w:val="0"/>
        </w:numPr>
        <w:spacing w:line="360" w:lineRule="auto"/>
        <w:rPr>
          <w:rFonts w:hint="eastAsia" w:ascii="宋体" w:hAnsi="宋体"/>
          <w:color w:val="000000"/>
          <w:sz w:val="24"/>
          <w:highlight w:val="none"/>
        </w:rPr>
      </w:pPr>
      <w:r>
        <w:rPr>
          <w:rFonts w:hint="eastAsia" w:ascii="宋体" w:hAnsi="宋体"/>
          <w:color w:val="000000"/>
          <w:sz w:val="24"/>
          <w:highlight w:val="none"/>
          <w:lang w:val="en-US" w:eastAsia="zh-CN"/>
        </w:rPr>
        <w:t xml:space="preserve">      4）</w:t>
      </w:r>
      <w:r>
        <w:rPr>
          <w:rFonts w:hint="eastAsia" w:ascii="宋体" w:hAnsi="宋体"/>
          <w:color w:val="000000"/>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color w:val="000000"/>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color w:val="000000"/>
          <w:kern w:val="2"/>
          <w:highlight w:val="none"/>
          <w:lang w:eastAsia="zh-CN"/>
        </w:rPr>
        <w:t>按最能反映公允价值的价格估值，</w:t>
      </w:r>
      <w:r>
        <w:rPr>
          <w:rFonts w:hint="eastAsia" w:ascii="宋体" w:hAnsi="宋体" w:cs="宋体"/>
          <w:bCs/>
          <w:color w:val="000000"/>
          <w:kern w:val="2"/>
          <w:highlight w:val="none"/>
        </w:rPr>
        <w:t>并自协商一致日后执行。</w:t>
      </w:r>
    </w:p>
    <w:p>
      <w:pPr>
        <w:pStyle w:val="17"/>
        <w:tabs>
          <w:tab w:val="left" w:pos="0"/>
        </w:tabs>
        <w:spacing w:line="360" w:lineRule="auto"/>
        <w:ind w:firstLine="480" w:firstLineChars="200"/>
        <w:rPr>
          <w:rFonts w:hint="eastAsia" w:ascii="宋体" w:hAnsi="宋体" w:cs="宋体"/>
          <w:bCs/>
          <w:color w:val="000000"/>
          <w:kern w:val="2"/>
          <w:highlight w:val="none"/>
        </w:rPr>
      </w:pPr>
      <w:r>
        <w:rPr>
          <w:rFonts w:hint="eastAsia" w:ascii="宋体" w:hAnsi="宋体" w:cs="宋体"/>
          <w:bCs/>
          <w:color w:val="000000"/>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费用及税收</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费用种类</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费用计提方法、标准及支付方式</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I份额〗、〖J份额〗、〖K份额〗、〖M份额〗、〖P份额〗、〖Q份额〗、〖U份额〗、〖V份额〗、〖X份额〗、〖ZB份额〗、〖ZF份额〗、〖ZG份额〗、〖ZH份额〗、〖ZK份额〗和销售服务费于产品成立日一次性收取的〖N份额〗、〖O份额〗、〖R份额〗、〖T份额〗、〖W份额〗、〖Y份额〗、〖Z份额〗、〖ZA份额〗、〖ZC份额〗、〖ZD份额〗。A份额的年化销售服务费率为〖0.30%〗, B份额的年化销售服务费率为〖0.20%〗, C份额的年化销售服务费率为〖0.10%〗, D份额的年化销售服务费率为〖0.15%〗, E份额的年化销售服务费率为〖0.40%〗, G份额的年化销售服务费率为〖0.05%〗, I份额的年化销售服务费率为〖0.30%〗, J份额的年化销售服务费率为〖0.05%〗, K份额的年化销售服务费率为〖0.30%〗, M份额的年化销售服务费率为〖0.15%〗, N份额的年化销售服务费率为〖0.20%〗, O份额的年化销售服务费率为〖0.30%〗, P份额的年化销售服务费率为〖0.15%〗, Q份额的年化销售服务费率为〖0.25%〗, R份额的年化销售服务费率为〖0.20%〗, T份额的年化销售服务费率为〖0.15%〗, U份额的年化销售服务费率为〖0.02%〗, V份额的年化销售服务费率为〖0.15%〗, W份额的年化销售服务费率为〖0.30%〗, X份额的年化销售服务费率为〖0.05%〗, Y份额的年化销售服务费率为〖0.20%〗, Z份额的年化销售服务费率为〖0.10%〗, ZA份额的年化销售服务费率为〖0.15%〗, ZB份额的年化销售服务费率为〖0.05%〗, ZC份额的年化销售服务费率为〖0.15%〗, ZD份额的年化销售服务费率为〖0.01%〗, ZF份额的年化销售服务费率为〖0.15%〗, ZG份额的年化销售服务费率为〖0.15%〗, ZH份额的年化销售服务费率为〖0.05%〗, ZK份额的年化销售服务费率为〖0.15%〗。两种计算方法如下：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0.025</w:t>
      </w:r>
      <w:r>
        <w:rPr>
          <w:rFonts w:hint="eastAsia" w:ascii="宋体" w:hAnsi="宋体" w:cs="宋体"/>
          <w:color w:val="000000"/>
          <w:sz w:val="24"/>
          <w:szCs w:val="24"/>
          <w:highlight w:val="none"/>
          <w:lang w:eastAsia="zh-CN"/>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T份额的年化固定管理费率为〖0.10%〗, U份额的年化固定管理费率为〖0.10%〗, V份额的年化固定管理费率为〖0.10%〗, W份额的年化固定管理费率为〖0.10%〗, X份额的年化固定管理费率为〖0.10%〗, Y份额的年化固定管理费率为〖0.10%〗, Z份额的年化固定管理费率为〖0.10%〗, ZA份额的年化固定管理费率为〖0.10%〗, ZB份额的年化固定管理费率为〖0.10%〗, ZC份额的年化固定管理费率为〖0.10%〗, ZD份额的年化固定管理费率为〖0.09%〗, ZF份额的年化固定管理费率为〖0.05%〗, ZG份额的年化固定管理费率为〖0.10%〗, ZH份额的年化固定管理费率为〖0.10%〗, ZK份额的年化固定管理费率为〖0.05%〗,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0.10</w:t>
      </w:r>
      <w:r>
        <w:rPr>
          <w:rFonts w:hint="eastAsia" w:ascii="宋体" w:hAnsi="宋体" w:cs="宋体"/>
          <w:bCs/>
          <w:color w:val="000000"/>
          <w:kern w:val="2"/>
          <w:sz w:val="24"/>
          <w:szCs w:val="24"/>
          <w:highlight w:val="none"/>
          <w:lang w:val="en-US" w:eastAsia="zh-CN"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00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CN"/>
        </w:rPr>
        <w:t>。</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审计费、律师费、公证费等费用。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监管规定的其他费用。</w:t>
      </w:r>
    </w:p>
    <w:p>
      <w:pPr>
        <w:spacing w:line="360" w:lineRule="auto"/>
        <w:jc w:val="left"/>
        <w:rPr>
          <w:rFonts w:ascii="宋体" w:hAnsi="宋体" w:cs="宋体"/>
          <w:bCs/>
          <w:color w:val="000000"/>
          <w:sz w:val="24"/>
          <w:highlight w:val="none"/>
        </w:rPr>
      </w:pPr>
      <w:r>
        <w:rPr>
          <w:rFonts w:hint="eastAsia" w:ascii="宋体" w:hAnsi="宋体" w:cs="宋体"/>
          <w:bCs/>
          <w:color w:val="000000"/>
          <w:sz w:val="24"/>
          <w:highlight w:val="none"/>
        </w:rPr>
        <w:t xml:space="preserve">    </w:t>
      </w:r>
      <w:r>
        <w:rPr>
          <w:rFonts w:hint="eastAsia" w:ascii="宋体" w:hAnsi="宋体" w:cs="宋体"/>
          <w:b/>
          <w:color w:val="000000"/>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税收说明</w:t>
      </w:r>
    </w:p>
    <w:p>
      <w:pPr>
        <w:numPr>
          <w:ilvl w:val="0"/>
          <w:numId w:val="38"/>
        </w:numPr>
        <w:spacing w:line="360" w:lineRule="auto"/>
        <w:jc w:val="left"/>
        <w:rPr>
          <w:color w:val="000000"/>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收益计算</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CN"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CN"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CN"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CN"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CN"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CN"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交易规则</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color w:val="000000"/>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申购及赎回</w:t>
      </w:r>
    </w:p>
    <w:p>
      <w:pPr>
        <w:spacing w:line="360" w:lineRule="auto"/>
        <w:ind w:firstLine="480" w:firstLineChars="200"/>
        <w:jc w:val="left"/>
        <w:rPr>
          <w:rFonts w:ascii="宋体" w:hAnsi="宋体" w:cs="宋体"/>
          <w:b/>
          <w:color w:val="000000"/>
          <w:sz w:val="24"/>
          <w:highlight w:val="none"/>
        </w:rPr>
      </w:pPr>
      <w:r>
        <w:rPr>
          <w:rFonts w:hint="eastAsia" w:ascii="宋体" w:hAnsi="宋体" w:cs="宋体"/>
          <w:bCs/>
          <w:color w:val="000000"/>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color w:val="000000"/>
          <w:sz w:val="24"/>
          <w:highlight w:val="none"/>
        </w:rPr>
      </w:pPr>
      <w:r>
        <w:rPr>
          <w:rFonts w:hint="eastAsia" w:ascii="宋体" w:hAnsi="宋体" w:cs="宋体"/>
          <w:bCs/>
          <w:color w:val="000000"/>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color w:val="000000"/>
          <w:kern w:val="2"/>
          <w:sz w:val="24"/>
          <w:szCs w:val="24"/>
          <w:lang w:val="en-US" w:eastAsia="zh-CN" w:bidi="ar"/>
        </w:rPr>
        <w:t>〖1〗个〖工作日〗</w:t>
      </w:r>
      <w:r>
        <w:rPr>
          <w:rFonts w:hint="eastAsia" w:ascii="宋体" w:hAnsi="宋体" w:cs="宋体"/>
          <w:bCs/>
          <w:color w:val="000000"/>
          <w:sz w:val="24"/>
          <w:highlight w:val="none"/>
        </w:rPr>
        <w:t>、最晚</w:t>
      </w:r>
      <w:r>
        <w:rPr>
          <w:rFonts w:hint="eastAsia" w:ascii="宋体" w:hAnsi="宋体" w:eastAsia="宋体" w:cs="宋体"/>
          <w:color w:val="000000"/>
          <w:kern w:val="2"/>
          <w:sz w:val="24"/>
          <w:szCs w:val="24"/>
          <w:lang w:val="en-US" w:eastAsia="zh-CN" w:bidi="ar"/>
        </w:rPr>
        <w:t>〖3〗个〖工作日〗</w:t>
      </w:r>
      <w:r>
        <w:rPr>
          <w:rFonts w:hint="eastAsia" w:ascii="宋体" w:hAnsi="宋体" w:cs="宋体"/>
          <w:bCs/>
          <w:color w:val="000000"/>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提前终止</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在理财计划期限内，管理人根据投资情况有提前终止权，于本理财计划提前终止日前</w:t>
      </w:r>
      <w:r>
        <w:rPr>
          <w:rFonts w:hint="eastAsia" w:ascii="宋体" w:hAnsi="宋体" w:cs="宋体"/>
          <w:color w:val="000000"/>
          <w:sz w:val="24"/>
          <w:szCs w:val="24"/>
          <w:highlight w:val="none"/>
        </w:rPr>
        <w:t>〖</w:t>
      </w:r>
      <w:r>
        <w:rPr>
          <w:rFonts w:hint="eastAsia" w:ascii="宋体" w:hAnsi="宋体" w:cs="宋体"/>
          <w:bCs/>
          <w:color w:val="000000"/>
          <w:sz w:val="24"/>
          <w:highlight w:val="none"/>
        </w:rPr>
        <w:t>2〗个〖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〗通过管理人或销售机构发布提前终止公告，并于终止日后</w:t>
      </w:r>
      <w:r>
        <w:rPr>
          <w:rFonts w:hint="eastAsia" w:ascii="宋体" w:hAnsi="宋体" w:cs="宋体"/>
          <w:color w:val="000000"/>
          <w:sz w:val="24"/>
          <w:szCs w:val="24"/>
          <w:highlight w:val="none"/>
        </w:rPr>
        <w:t>〖</w:t>
      </w:r>
      <w:r>
        <w:rPr>
          <w:rFonts w:hint="eastAsia" w:ascii="宋体" w:hAnsi="宋体" w:cs="宋体"/>
          <w:color w:val="000000"/>
          <w:kern w:val="2"/>
          <w:sz w:val="24"/>
          <w:szCs w:val="24"/>
          <w:highlight w:val="none"/>
          <w:lang w:val="en-US" w:eastAsia="zh-CN" w:bidi="ar-SA"/>
        </w:rPr>
        <w:t>3</w:t>
      </w:r>
      <w:r>
        <w:rPr>
          <w:rFonts w:hint="eastAsia" w:ascii="宋体" w:hAnsi="宋体" w:cs="宋体"/>
          <w:bCs/>
          <w:color w:val="000000"/>
          <w:sz w:val="24"/>
          <w:highlight w:val="none"/>
        </w:rPr>
        <w:t>〗个〖</w:t>
      </w:r>
      <w:r>
        <w:rPr>
          <w:rFonts w:hint="eastAsia" w:ascii="宋体" w:hAnsi="宋体" w:eastAsia="宋体" w:cs="宋体"/>
          <w:bCs/>
          <w:color w:val="000000"/>
          <w:kern w:val="2"/>
          <w:sz w:val="24"/>
          <w:szCs w:val="24"/>
          <w:highlight w:val="none"/>
          <w:lang w:val="en-US" w:eastAsia="zh-CN" w:bidi="ar-SA"/>
        </w:rPr>
        <w:t>工作日</w:t>
      </w:r>
      <w:r>
        <w:rPr>
          <w:rFonts w:hint="eastAsia" w:ascii="宋体" w:hAnsi="宋体" w:cs="宋体"/>
          <w:bCs/>
          <w:color w:val="000000"/>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如发生以下事项时，管理人可对本理财计划行使全部</w:t>
      </w:r>
      <w:r>
        <w:rPr>
          <w:rFonts w:hint="eastAsia" w:ascii="宋体" w:hAnsi="宋体" w:cs="宋体"/>
          <w:b/>
          <w:color w:val="000000"/>
          <w:sz w:val="24"/>
          <w:highlight w:val="none"/>
          <w:lang w:eastAsia="zh-CN"/>
        </w:rPr>
        <w:t>或部分</w:t>
      </w:r>
      <w:r>
        <w:rPr>
          <w:rFonts w:hint="eastAsia" w:ascii="宋体" w:hAnsi="宋体" w:cs="宋体"/>
          <w:b/>
          <w:color w:val="000000"/>
          <w:sz w:val="24"/>
          <w:highlight w:val="none"/>
        </w:rPr>
        <w:t>提前终止权：</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因不可抗力因素导致本理财计划必须提前终止的。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理财计划的投资策略已不适合当前的市场环境的。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lang w:eastAsia="zh-CN"/>
        </w:rPr>
        <w:t>融资人行使提前到期或还款权利的。</w:t>
      </w:r>
    </w:p>
    <w:p>
      <w:pPr>
        <w:numPr>
          <w:ilvl w:val="0"/>
          <w:numId w:val="44"/>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管理人认为应该提前终止的其他情形。</w:t>
      </w:r>
    </w:p>
    <w:p>
      <w:pPr>
        <w:numPr>
          <w:ilvl w:val="0"/>
          <w:numId w:val="4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延期</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管理人与托管人、销售机构协商一致决定延期。</w:t>
      </w:r>
    </w:p>
    <w:p>
      <w:pPr>
        <w:numPr>
          <w:ilvl w:val="0"/>
          <w:numId w:val="45"/>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法律法规规定的或管理人认为有必要延期的其他情形。</w:t>
      </w:r>
    </w:p>
    <w:p>
      <w:pPr>
        <w:spacing w:line="360" w:lineRule="auto"/>
        <w:jc w:val="left"/>
        <w:rPr>
          <w:rFonts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信息披露</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披露内容及时间</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color w:val="000000"/>
          <w:sz w:val="24"/>
          <w:highlight w:val="none"/>
        </w:rPr>
      </w:pPr>
      <w:r>
        <w:rPr>
          <w:rFonts w:hint="eastAsia" w:ascii="宋体" w:hAnsi="宋体" w:cs="宋体"/>
          <w:b/>
          <w:color w:val="000000"/>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color w:val="000000"/>
          <w:sz w:val="24"/>
          <w:highlight w:val="none"/>
        </w:rPr>
      </w:pPr>
    </w:p>
    <w:p>
      <w:pPr>
        <w:numPr>
          <w:ilvl w:val="0"/>
          <w:numId w:val="27"/>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其他</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追索条款</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信息安全</w:t>
      </w:r>
    </w:p>
    <w:p>
      <w:pPr>
        <w:spacing w:line="360" w:lineRule="auto"/>
        <w:ind w:firstLine="480" w:firstLineChars="200"/>
        <w:rPr>
          <w:rFonts w:hint="eastAsia" w:ascii="宋体" w:hAnsi="宋体" w:cs="宋体"/>
          <w:b/>
          <w:color w:val="000000"/>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color w:val="000000"/>
          <w:sz w:val="24"/>
          <w:highlight w:val="none"/>
        </w:rPr>
      </w:pPr>
      <w:r>
        <w:rPr>
          <w:rFonts w:hint="eastAsia" w:ascii="宋体" w:hAnsi="宋体" w:cs="宋体"/>
          <w:b/>
          <w:color w:val="000000"/>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理财非存款、产品有风险、投资须谨慎</w:t>
      </w:r>
    </w:p>
    <w:p>
      <w:p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尊敬的投资者：</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理财计划办理流程</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投资者应仔细阅读本理财计划完整合同（包括但不限于</w:t>
      </w:r>
      <w:r>
        <w:rPr>
          <w:rFonts w:hint="eastAsia" w:ascii="宋体" w:hAnsi="宋体" w:cs="宋体"/>
          <w:color w:val="000000"/>
          <w:kern w:val="0"/>
          <w:sz w:val="24"/>
          <w:highlight w:val="none"/>
          <w:lang w:eastAsia="zh-CN"/>
        </w:rPr>
        <w:t>理财计划</w:t>
      </w:r>
      <w:r>
        <w:rPr>
          <w:rFonts w:hint="eastAsia" w:ascii="宋体" w:hAnsi="宋体" w:cs="宋体"/>
          <w:color w:val="000000"/>
          <w:kern w:val="0"/>
          <w:sz w:val="24"/>
          <w:highlight w:val="none"/>
        </w:rPr>
        <w:t>风险揭示书、理财计划产品说明书、投资者权益须知</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理财计划投资协议书</w:t>
      </w:r>
      <w:r>
        <w:rPr>
          <w:rFonts w:hint="eastAsia" w:ascii="宋体" w:hAnsi="宋体" w:cs="宋体"/>
          <w:color w:val="000000"/>
          <w:kern w:val="0"/>
          <w:sz w:val="24"/>
          <w:highlight w:val="none"/>
          <w:lang w:eastAsia="zh-CN"/>
        </w:rPr>
        <w:t>和理财计划（</w:t>
      </w:r>
      <w:r>
        <w:rPr>
          <w:rFonts w:hint="eastAsia" w:ascii="宋体" w:hAnsi="宋体" w:cs="宋体"/>
          <w:color w:val="000000"/>
          <w:kern w:val="0"/>
          <w:sz w:val="24"/>
          <w:highlight w:val="none"/>
          <w:lang w:val="en-US" w:eastAsia="zh-CN"/>
        </w:rPr>
        <w:t>代理销售</w:t>
      </w:r>
      <w:r>
        <w:rPr>
          <w:rFonts w:hint="eastAsia" w:ascii="宋体" w:hAnsi="宋体" w:cs="宋体"/>
          <w:color w:val="000000"/>
          <w:kern w:val="0"/>
          <w:sz w:val="24"/>
          <w:highlight w:val="none"/>
          <w:lang w:eastAsia="zh-CN"/>
        </w:rPr>
        <w:t>）销售协议书</w:t>
      </w:r>
      <w:r>
        <w:rPr>
          <w:rFonts w:hint="eastAsia" w:ascii="宋体" w:hAnsi="宋体" w:cs="宋体"/>
          <w:color w:val="000000"/>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如在银行营业场所购买杭银理财理财计划，销售机构需对每笔理财计划销售过程同步录音录像。</w:t>
      </w:r>
      <w:r>
        <w:rPr>
          <w:rFonts w:hint="eastAsia" w:ascii="宋体" w:hAnsi="宋体" w:cs="宋体"/>
          <w:color w:val="000000"/>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杭银理财产品风险评级</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olor w:val="000000"/>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color w:val="000000"/>
          <w:kern w:val="0"/>
          <w:sz w:val="24"/>
          <w:highlight w:val="none"/>
          <w:lang w:val="en-US" w:eastAsia="zh-CN"/>
        </w:rPr>
      </w:pPr>
      <w:r>
        <w:rPr>
          <w:rFonts w:hint="eastAsia" w:ascii="宋体" w:hAnsi="宋体" w:cs="宋体"/>
          <w:bCs/>
          <w:color w:val="000000"/>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投资者风险承受能力评估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个人投资者风险承受能力评估流程（详询销售机构工作人员）</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个人投资者在销售机构进行风险承受能力评估；</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填写销售机构个人投资者风险承受能力测试问卷；</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生成相应的个人投资者风险承受能力评估结果；</w:t>
      </w:r>
    </w:p>
    <w:p>
      <w:pPr>
        <w:numPr>
          <w:ilvl w:val="0"/>
          <w:numId w:val="57"/>
        </w:numPr>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投资者对评估结果进行确认。</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color w:val="000000"/>
          <w:kern w:val="0"/>
          <w:sz w:val="24"/>
          <w:highlight w:val="none"/>
          <w:lang w:eastAsia="zh-CN"/>
        </w:rPr>
        <w:t>理财计划风险揭示书、理财计划</w:t>
      </w:r>
      <w:r>
        <w:rPr>
          <w:rFonts w:hint="eastAsia" w:ascii="宋体" w:hAnsi="宋体" w:cs="宋体"/>
          <w:color w:val="000000"/>
          <w:kern w:val="0"/>
          <w:sz w:val="24"/>
          <w:highlight w:val="none"/>
        </w:rPr>
        <w:t>产品说明书</w:t>
      </w:r>
      <w:r>
        <w:rPr>
          <w:rFonts w:hint="eastAsia" w:ascii="宋体" w:hAnsi="宋体" w:cs="宋体"/>
          <w:color w:val="000000"/>
          <w:kern w:val="0"/>
          <w:sz w:val="24"/>
          <w:highlight w:val="none"/>
          <w:lang w:eastAsia="zh-CN"/>
        </w:rPr>
        <w:t>、理财计划投资协议书和理财计划销售协议书</w:t>
      </w:r>
      <w:r>
        <w:rPr>
          <w:rFonts w:hint="eastAsia" w:ascii="宋体" w:hAnsi="宋体" w:cs="宋体"/>
          <w:color w:val="000000"/>
          <w:kern w:val="0"/>
          <w:sz w:val="24"/>
          <w:highlight w:val="none"/>
        </w:rPr>
        <w:t>的基础上，充分认识投资本理财计划需要承担的风险。</w:t>
      </w:r>
      <w:r>
        <w:rPr>
          <w:rFonts w:hint="eastAsia" w:ascii="宋体" w:hAnsi="宋体" w:cs="宋体"/>
          <w:color w:val="000000"/>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四、理财计划信息披露</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五、投资者信息管理</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color w:val="000000"/>
          <w:kern w:val="0"/>
          <w:sz w:val="24"/>
          <w:highlight w:val="none"/>
        </w:rPr>
      </w:pPr>
      <w:r>
        <w:rPr>
          <w:rFonts w:hint="eastAsia" w:ascii="宋体" w:hAnsi="宋体" w:cs="宋体"/>
          <w:b/>
          <w:color w:val="000000"/>
          <w:kern w:val="0"/>
          <w:sz w:val="24"/>
          <w:highlight w:val="none"/>
        </w:rPr>
        <w:t>六、投诉与建议</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投资者如认为理财</w:t>
      </w:r>
      <w:r>
        <w:rPr>
          <w:rFonts w:hint="eastAsia" w:ascii="宋体" w:hAnsi="宋体" w:cs="宋体"/>
          <w:color w:val="000000"/>
          <w:kern w:val="0"/>
          <w:sz w:val="24"/>
          <w:highlight w:val="none"/>
          <w:lang w:val="en-US" w:eastAsia="zh-CN"/>
        </w:rPr>
        <w:t>计划</w:t>
      </w:r>
      <w:r>
        <w:rPr>
          <w:rFonts w:hint="eastAsia" w:ascii="宋体" w:hAnsi="宋体" w:cs="宋体"/>
          <w:color w:val="000000"/>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color w:val="000000"/>
          <w:kern w:val="0"/>
          <w:sz w:val="24"/>
          <w:highlight w:val="none"/>
          <w:lang w:val="en-US" w:eastAsia="zh-CN"/>
        </w:rPr>
        <w:t>或管理人</w:t>
      </w:r>
      <w:r>
        <w:rPr>
          <w:rFonts w:hint="eastAsia" w:ascii="宋体" w:hAnsi="宋体" w:cs="宋体"/>
          <w:color w:val="000000"/>
          <w:kern w:val="0"/>
          <w:sz w:val="24"/>
          <w:highlight w:val="none"/>
        </w:rPr>
        <w:t>热线或客服电话进行反馈</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color w:val="000000"/>
          <w:kern w:val="0"/>
          <w:sz w:val="24"/>
          <w:highlight w:val="none"/>
        </w:rPr>
      </w:pPr>
      <w:r>
        <w:rPr>
          <w:rFonts w:hint="eastAsia" w:ascii="宋体" w:hAnsi="宋体" w:cs="宋体"/>
          <w:color w:val="000000"/>
          <w:kern w:val="0"/>
          <w:sz w:val="24"/>
          <w:highlight w:val="none"/>
        </w:rPr>
        <w:t>联络方式</w:t>
      </w:r>
    </w:p>
    <w:p>
      <w:p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bCs/>
          <w:color w:val="000000"/>
          <w:kern w:val="2"/>
          <w:highlight w:val="none"/>
          <w:u w:val="none"/>
          <w:lang w:val="en-US" w:eastAsia="zh-CN"/>
        </w:rPr>
        <w:t>https://</w:t>
      </w:r>
      <w:r>
        <w:rPr>
          <w:rStyle w:val="11"/>
          <w:rFonts w:hint="eastAsia" w:ascii="宋体" w:hAnsi="宋体" w:cs="宋体"/>
          <w:color w:val="000000"/>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u w:val="none"/>
          <w:lang w:val="en-US" w:eastAsia="zh-CN"/>
        </w:rPr>
        <w:t>公司地址：</w:t>
      </w:r>
      <w:r>
        <w:rPr>
          <w:rFonts w:hint="eastAsia" w:ascii="宋体" w:hAnsi="宋体" w:cs="宋体"/>
          <w:color w:val="000000"/>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若</w:t>
      </w:r>
      <w:r>
        <w:rPr>
          <w:rFonts w:hint="eastAsia" w:ascii="宋体" w:hAnsi="宋体" w:cs="宋体"/>
          <w:color w:val="000000"/>
          <w:kern w:val="0"/>
          <w:sz w:val="24"/>
          <w:highlight w:val="none"/>
        </w:rPr>
        <w:t>上述联系方式变更，杭银理财将提前通过</w:t>
      </w: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color w:val="000000"/>
          <w:kern w:val="0"/>
          <w:sz w:val="24"/>
          <w:highlight w:val="none"/>
        </w:rPr>
      </w:pPr>
      <w:r>
        <w:rPr>
          <w:rFonts w:hint="eastAsia" w:ascii="宋体" w:hAnsi="宋体" w:cs="宋体"/>
          <w:color w:val="000000"/>
          <w:kern w:val="0"/>
          <w:sz w:val="24"/>
          <w:highlight w:val="none"/>
          <w:lang w:eastAsia="zh-CN"/>
        </w:rPr>
        <w:t>杭州银行</w:t>
      </w:r>
      <w:r>
        <w:rPr>
          <w:rFonts w:hint="eastAsia" w:ascii="宋体" w:hAnsi="宋体" w:cs="宋体"/>
          <w:color w:val="000000"/>
          <w:kern w:val="0"/>
          <w:sz w:val="24"/>
          <w:highlight w:val="none"/>
        </w:rPr>
        <w:t>（作为销售机构）</w:t>
      </w:r>
      <w:r>
        <w:rPr>
          <w:rFonts w:hint="eastAsia" w:ascii="宋体" w:hAnsi="宋体" w:cs="宋体"/>
          <w:color w:val="000000"/>
          <w:kern w:val="0"/>
          <w:sz w:val="24"/>
          <w:highlight w:val="none"/>
          <w:lang w:eastAsia="zh-CN"/>
        </w:rPr>
        <w:t>联络方式：</w:t>
      </w:r>
    </w:p>
    <w:p>
      <w:pPr>
        <w:spacing w:line="360" w:lineRule="auto"/>
        <w:ind w:firstLine="480" w:firstLineChars="200"/>
        <w:rPr>
          <w:rFonts w:hint="eastAsia" w:ascii="宋体" w:hAnsi="宋体" w:cs="宋体"/>
          <w:color w:val="000000"/>
          <w:kern w:val="0"/>
          <w:sz w:val="24"/>
          <w:highlight w:val="none"/>
          <w:u w:val="single"/>
          <w:lang w:val="en-US" w:eastAsia="zh-CN"/>
        </w:rPr>
      </w:pPr>
      <w:r>
        <w:rPr>
          <w:rFonts w:hint="eastAsia" w:ascii="宋体" w:hAnsi="宋体" w:cs="宋体"/>
          <w:color w:val="000000"/>
          <w:kern w:val="0"/>
          <w:sz w:val="24"/>
          <w:highlight w:val="none"/>
          <w:lang w:eastAsia="zh-CN"/>
        </w:rPr>
        <w:t>官方网站</w:t>
      </w:r>
      <w:r>
        <w:rPr>
          <w:rFonts w:hint="eastAsia" w:ascii="宋体" w:hAnsi="宋体" w:cs="宋体"/>
          <w:color w:val="000000"/>
          <w:kern w:val="0"/>
          <w:sz w:val="24"/>
          <w:highlight w:val="none"/>
          <w:lang w:val="en-US" w:eastAsia="zh-CN"/>
        </w:rPr>
        <w:t xml:space="preserve">: </w:t>
      </w:r>
      <w:r>
        <w:fldChar w:fldCharType="begin"/>
      </w:r>
      <w:r>
        <w:instrText xml:space="preserve"> HYPERLINK "http://www.hzbankwealth.cn" </w:instrText>
      </w:r>
      <w:r>
        <w:fldChar w:fldCharType="separate"/>
      </w:r>
      <w:r>
        <w:rPr>
          <w:rStyle w:val="11"/>
          <w:rFonts w:hint="eastAsia" w:ascii="宋体" w:hAnsi="宋体" w:cs="宋体"/>
          <w:color w:val="000000"/>
          <w:kern w:val="0"/>
          <w:sz w:val="24"/>
          <w:highlight w:val="none"/>
          <w:u w:val="none"/>
          <w:lang w:val="en-US" w:eastAsia="zh-CN"/>
        </w:rPr>
        <w:t>www.hzbank.com.cn</w:t>
      </w:r>
      <w:r>
        <w:rPr>
          <w:rStyle w:val="11"/>
          <w:rFonts w:hint="eastAsia" w:ascii="宋体" w:hAnsi="宋体" w:cs="宋体"/>
          <w:color w:val="000000"/>
          <w:kern w:val="0"/>
          <w:sz w:val="24"/>
          <w:highlight w:val="none"/>
          <w:u w:val="none"/>
          <w:lang w:val="en-US" w:eastAsia="zh-CN"/>
        </w:rPr>
        <w:fldChar w:fldCharType="end"/>
      </w:r>
    </w:p>
    <w:p>
      <w:pPr>
        <w:spacing w:line="360" w:lineRule="auto"/>
        <w:ind w:firstLine="480" w:firstLineChars="200"/>
        <w:rPr>
          <w:rFonts w:hint="default" w:ascii="宋体" w:hAnsi="宋体" w:eastAsia="宋体" w:cs="宋体"/>
          <w:color w:val="000000"/>
          <w:kern w:val="0"/>
          <w:sz w:val="24"/>
          <w:highlight w:val="none"/>
          <w:u w:val="none"/>
          <w:lang w:val="en-US" w:eastAsia="zh-CN"/>
        </w:rPr>
      </w:pPr>
      <w:r>
        <w:rPr>
          <w:rFonts w:hint="eastAsia" w:ascii="宋体" w:hAnsi="宋体" w:cs="宋体"/>
          <w:color w:val="000000"/>
          <w:kern w:val="0"/>
          <w:sz w:val="24"/>
          <w:highlight w:val="none"/>
          <w:u w:val="none"/>
          <w:lang w:val="en-US" w:eastAsia="zh-CN"/>
        </w:rPr>
        <w:t>客户服务热线：95398、</w:t>
      </w:r>
      <w:r>
        <w:rPr>
          <w:rFonts w:hint="eastAsia" w:ascii="宋体" w:hAnsi="宋体" w:cs="宋体"/>
          <w:color w:val="000000"/>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color w:val="000000"/>
          <w:kern w:val="0"/>
          <w:sz w:val="24"/>
          <w:highlight w:val="none"/>
          <w:lang w:eastAsia="zh-CN"/>
        </w:rPr>
        <w:t>在</w:t>
      </w:r>
      <w:r>
        <w:rPr>
          <w:rFonts w:hint="eastAsia" w:ascii="宋体" w:hAnsi="宋体" w:cs="宋体"/>
          <w:color w:val="000000"/>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color w:val="000000"/>
          <w:sz w:val="44"/>
          <w:szCs w:val="44"/>
          <w:highlight w:val="none"/>
        </w:rPr>
      </w:pPr>
      <w:bookmarkStart w:id="0" w:name="_GoBack"/>
      <w:bookmarkEnd w:id="0"/>
      <w:r>
        <w:rPr>
          <w:rFonts w:hint="eastAsia"/>
          <w:b/>
          <w:color w:val="000000"/>
          <w:sz w:val="44"/>
          <w:szCs w:val="44"/>
          <w:highlight w:val="none"/>
        </w:rPr>
        <w:t>杭银理财理财计划投资协议书</w:t>
      </w:r>
    </w:p>
    <w:p>
      <w:pPr>
        <w:jc w:val="center"/>
        <w:rPr>
          <w:rFonts w:hint="eastAsia"/>
          <w:b/>
          <w:color w:val="000000"/>
          <w:sz w:val="44"/>
          <w:szCs w:val="44"/>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center"/>
        <w:rPr>
          <w:rFonts w:hint="eastAsia"/>
          <w:b/>
          <w:color w:val="000000"/>
          <w:sz w:val="32"/>
          <w:szCs w:val="32"/>
          <w:highlight w:val="none"/>
        </w:rPr>
      </w:pPr>
      <w:r>
        <w:rPr>
          <w:rFonts w:hint="eastAsia" w:ascii="宋体" w:hAnsi="宋体" w:cs="宋体"/>
          <w:b/>
          <w:bCs/>
          <w:color w:val="000000"/>
          <w:sz w:val="24"/>
          <w:highlight w:val="none"/>
          <w:u w:val="single"/>
        </w:rPr>
        <w:t>理财非存款、产品有风险、投资须谨慎</w:t>
      </w:r>
    </w:p>
    <w:p>
      <w:pPr>
        <w:spacing w:line="360" w:lineRule="auto"/>
        <w:ind w:firstLine="482" w:firstLineChars="200"/>
        <w:rPr>
          <w:rFonts w:hint="eastAsia"/>
          <w:b/>
          <w:bCs/>
          <w:color w:val="000000"/>
          <w:sz w:val="24"/>
          <w:highlight w:val="none"/>
        </w:rPr>
      </w:pPr>
      <w:r>
        <w:rPr>
          <w:rFonts w:hint="eastAsia"/>
          <w:b/>
          <w:bCs/>
          <w:color w:val="000000"/>
          <w:sz w:val="24"/>
          <w:highlight w:val="none"/>
        </w:rPr>
        <w:t>特别提示：杭银理财理财计划投资协议书与</w:t>
      </w:r>
      <w:r>
        <w:rPr>
          <w:rFonts w:hint="eastAsia"/>
          <w:b/>
          <w:bCs/>
          <w:color w:val="000000"/>
          <w:sz w:val="24"/>
          <w:highlight w:val="none"/>
          <w:lang w:eastAsia="zh-CN"/>
        </w:rPr>
        <w:t>理财计划风险揭示书、理财计划产品说明书、</w:t>
      </w:r>
      <w:r>
        <w:rPr>
          <w:rFonts w:hint="eastAsia"/>
          <w:b/>
          <w:bCs/>
          <w:color w:val="000000"/>
          <w:sz w:val="24"/>
          <w:highlight w:val="none"/>
        </w:rPr>
        <w:t>投资者权益须知</w:t>
      </w:r>
      <w:r>
        <w:rPr>
          <w:rFonts w:hint="eastAsia"/>
          <w:b/>
          <w:bCs/>
          <w:color w:val="000000"/>
          <w:sz w:val="24"/>
          <w:highlight w:val="none"/>
          <w:lang w:eastAsia="zh-CN"/>
        </w:rPr>
        <w:t>及理财计划销售协议书</w:t>
      </w:r>
      <w:r>
        <w:rPr>
          <w:rFonts w:hint="eastAsia"/>
          <w:b/>
          <w:bCs/>
          <w:color w:val="000000"/>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sz w:val="24"/>
          <w:highlight w:val="none"/>
        </w:rPr>
      </w:pPr>
      <w:r>
        <w:rPr>
          <w:rFonts w:hint="eastAsia"/>
          <w:color w:val="000000"/>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sz w:val="24"/>
          <w:highlight w:val="none"/>
        </w:rPr>
      </w:pPr>
    </w:p>
    <w:p>
      <w:pPr>
        <w:numPr>
          <w:ilvl w:val="0"/>
          <w:numId w:val="61"/>
        </w:numPr>
        <w:spacing w:line="360" w:lineRule="auto"/>
        <w:ind w:firstLine="482" w:firstLineChars="200"/>
        <w:outlineLvl w:val="9"/>
        <w:rPr>
          <w:rFonts w:hint="eastAsia" w:ascii="宋体" w:hAnsi="宋体"/>
          <w:b/>
          <w:bCs/>
          <w:color w:val="000000"/>
          <w:sz w:val="24"/>
          <w:highlight w:val="none"/>
        </w:rPr>
      </w:pPr>
      <w:r>
        <w:rPr>
          <w:rFonts w:hint="eastAsia"/>
          <w:b/>
          <w:bCs/>
          <w:color w:val="000000"/>
          <w:sz w:val="24"/>
          <w:highlight w:val="none"/>
        </w:rPr>
        <w:t>名词释义</w:t>
      </w:r>
    </w:p>
    <w:p>
      <w:pPr>
        <w:spacing w:line="360" w:lineRule="auto"/>
        <w:ind w:firstLine="480" w:firstLineChars="200"/>
        <w:rPr>
          <w:rFonts w:hint="eastAsia"/>
          <w:bCs/>
          <w:color w:val="000000"/>
          <w:sz w:val="24"/>
          <w:highlight w:val="none"/>
        </w:rPr>
      </w:pPr>
      <w:r>
        <w:rPr>
          <w:rFonts w:hint="eastAsia"/>
          <w:bCs/>
          <w:color w:val="000000"/>
          <w:sz w:val="24"/>
          <w:highlight w:val="none"/>
        </w:rPr>
        <w:t>详见理财计划说明书“释义”部分。</w:t>
      </w:r>
    </w:p>
    <w:p>
      <w:pPr>
        <w:spacing w:line="360" w:lineRule="auto"/>
        <w:ind w:firstLine="480" w:firstLineChars="200"/>
        <w:rPr>
          <w:rFonts w:hint="eastAsia"/>
          <w:bCs/>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投资者权利与义务</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投资者进行投资时，应严格遵守反洗钱相关法规的规定，切实履行反洗钱及反恐怖融资义务。 </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管理人权利与义务</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color w:val="000000"/>
          <w:sz w:val="24"/>
          <w:highlight w:val="none"/>
        </w:rPr>
      </w:pPr>
      <w:r>
        <w:rPr>
          <w:rFonts w:ascii="宋体" w:hAnsi="宋体"/>
          <w:color w:val="000000"/>
          <w:sz w:val="24"/>
          <w:highlight w:val="none"/>
        </w:rPr>
        <w:t>管理人不得将理财</w:t>
      </w:r>
      <w:r>
        <w:rPr>
          <w:rFonts w:hint="eastAsia" w:ascii="宋体" w:hAnsi="宋体"/>
          <w:color w:val="000000"/>
          <w:sz w:val="24"/>
          <w:highlight w:val="none"/>
        </w:rPr>
        <w:t>计划</w:t>
      </w:r>
      <w:r>
        <w:rPr>
          <w:rFonts w:ascii="宋体" w:hAnsi="宋体"/>
          <w:color w:val="000000"/>
          <w:sz w:val="24"/>
          <w:highlight w:val="none"/>
        </w:rPr>
        <w:t>财产归入其自有资产</w:t>
      </w:r>
      <w:r>
        <w:rPr>
          <w:rFonts w:hint="eastAsia" w:ascii="宋体" w:hAnsi="宋体"/>
          <w:color w:val="000000"/>
          <w:sz w:val="24"/>
          <w:highlight w:val="none"/>
        </w:rPr>
        <w:t>，</w:t>
      </w:r>
      <w:r>
        <w:rPr>
          <w:rFonts w:ascii="宋体" w:hAnsi="宋体"/>
          <w:color w:val="000000"/>
          <w:sz w:val="24"/>
          <w:highlight w:val="none"/>
        </w:rPr>
        <w:t>因依法解散</w:t>
      </w:r>
      <w:r>
        <w:rPr>
          <w:rFonts w:hint="eastAsia" w:ascii="宋体" w:hAnsi="宋体"/>
          <w:color w:val="000000"/>
          <w:sz w:val="24"/>
          <w:highlight w:val="none"/>
        </w:rPr>
        <w:t>、</w:t>
      </w:r>
      <w:r>
        <w:rPr>
          <w:rFonts w:ascii="宋体" w:hAnsi="宋体"/>
          <w:color w:val="000000"/>
          <w:sz w:val="24"/>
          <w:highlight w:val="none"/>
        </w:rPr>
        <w:t>被依法撤销或者被依法宣告破产等原因进行清算的</w:t>
      </w:r>
      <w:r>
        <w:rPr>
          <w:rFonts w:hint="eastAsia" w:ascii="宋体" w:hAnsi="宋体"/>
          <w:color w:val="000000"/>
          <w:sz w:val="24"/>
          <w:highlight w:val="none"/>
        </w:rPr>
        <w:t>，</w:t>
      </w:r>
      <w:r>
        <w:rPr>
          <w:rFonts w:ascii="宋体" w:hAnsi="宋体"/>
          <w:color w:val="000000"/>
          <w:sz w:val="24"/>
          <w:highlight w:val="none"/>
        </w:rPr>
        <w:t>理财</w:t>
      </w:r>
      <w:r>
        <w:rPr>
          <w:rFonts w:hint="eastAsia" w:ascii="宋体" w:hAnsi="宋体"/>
          <w:color w:val="000000"/>
          <w:sz w:val="24"/>
          <w:highlight w:val="none"/>
        </w:rPr>
        <w:t>计划</w:t>
      </w:r>
      <w:r>
        <w:rPr>
          <w:rFonts w:ascii="宋体" w:hAnsi="宋体"/>
          <w:color w:val="000000"/>
          <w:sz w:val="24"/>
          <w:highlight w:val="none"/>
        </w:rPr>
        <w:t>财产不属于其清算财产</w:t>
      </w:r>
      <w:r>
        <w:rPr>
          <w:rFonts w:hint="eastAsia" w:ascii="宋体" w:hAnsi="宋体"/>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理财计划认（申）购、赎回及终止</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税收处理</w:t>
      </w:r>
    </w:p>
    <w:p>
      <w:pPr>
        <w:widowControl/>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违约责任及免责条款</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color w:val="000000"/>
          <w:sz w:val="24"/>
          <w:highlight w:val="none"/>
          <w:lang w:eastAsia="zh-CN"/>
        </w:rPr>
        <w:t>赎回</w:t>
      </w:r>
      <w:r>
        <w:rPr>
          <w:rFonts w:hint="eastAsia" w:ascii="宋体" w:hAnsi="宋体"/>
          <w:color w:val="000000"/>
          <w:sz w:val="24"/>
          <w:highlight w:val="none"/>
        </w:rPr>
        <w:t>，本合同自动终止。因提前终止而产生的损失及相关费用由投资者承担。本合同前述情况终止的，理财本金不计付</w:t>
      </w:r>
      <w:r>
        <w:rPr>
          <w:rFonts w:hint="eastAsia" w:ascii="宋体" w:hAnsi="宋体"/>
          <w:color w:val="000000"/>
          <w:sz w:val="24"/>
          <w:highlight w:val="none"/>
          <w:lang w:eastAsia="zh-CN"/>
        </w:rPr>
        <w:t>赎回</w:t>
      </w:r>
      <w:r>
        <w:rPr>
          <w:rFonts w:hint="eastAsia" w:ascii="宋体" w:hAnsi="宋体"/>
          <w:color w:val="000000"/>
          <w:sz w:val="24"/>
          <w:highlight w:val="none"/>
        </w:rPr>
        <w:t>日前的理财收益，也不计付存款利息。</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适用法律与争议解决</w:t>
      </w:r>
    </w:p>
    <w:p>
      <w:pPr>
        <w:widowControl/>
        <w:spacing w:line="360" w:lineRule="auto"/>
        <w:ind w:firstLine="480" w:firstLineChars="200"/>
        <w:contextualSpacing/>
        <w:rPr>
          <w:rFonts w:ascii="宋体" w:hAnsi="宋体"/>
          <w:color w:val="000000"/>
          <w:sz w:val="24"/>
          <w:highlight w:val="none"/>
        </w:rPr>
      </w:pPr>
      <w:r>
        <w:rPr>
          <w:rFonts w:hint="eastAsia" w:ascii="宋体" w:hAnsi="宋体"/>
          <w:color w:val="000000"/>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color w:val="000000"/>
          <w:sz w:val="24"/>
          <w:highlight w:val="none"/>
        </w:rPr>
        <w:t>的法律和行政法规。本合同项下的及与之有关的一切争议，投资者与管理人双方应首先协商解决，协商不成的，应提交</w:t>
      </w:r>
      <w:r>
        <w:rPr>
          <w:rFonts w:hint="eastAsia" w:ascii="宋体" w:hAnsi="宋体"/>
          <w:color w:val="000000"/>
          <w:sz w:val="24"/>
          <w:highlight w:val="none"/>
          <w:lang w:val="en-US" w:eastAsia="zh-CN"/>
        </w:rPr>
        <w:t>被告人</w:t>
      </w:r>
      <w:r>
        <w:rPr>
          <w:rFonts w:hint="eastAsia" w:ascii="宋体" w:hAnsi="宋体"/>
          <w:color w:val="000000"/>
          <w:sz w:val="24"/>
          <w:highlight w:val="none"/>
        </w:rPr>
        <w:t>所在地人民法院司法裁决。诉讼期间，未涉及争议的条款仍需继续履行。</w:t>
      </w:r>
    </w:p>
    <w:p>
      <w:pPr>
        <w:spacing w:line="360" w:lineRule="auto"/>
        <w:ind w:left="482"/>
        <w:rPr>
          <w:b/>
          <w:color w:val="000000"/>
          <w:sz w:val="24"/>
          <w:highlight w:val="none"/>
        </w:rPr>
      </w:pPr>
    </w:p>
    <w:p>
      <w:pPr>
        <w:numPr>
          <w:ilvl w:val="0"/>
          <w:numId w:val="61"/>
        </w:numPr>
        <w:spacing w:line="360" w:lineRule="auto"/>
        <w:ind w:firstLine="482" w:firstLineChars="200"/>
        <w:outlineLvl w:val="9"/>
        <w:rPr>
          <w:rFonts w:hint="eastAsia"/>
          <w:b/>
          <w:color w:val="000000"/>
          <w:sz w:val="24"/>
          <w:highlight w:val="none"/>
        </w:rPr>
      </w:pPr>
      <w:r>
        <w:rPr>
          <w:rFonts w:hint="eastAsia"/>
          <w:b/>
          <w:color w:val="000000"/>
          <w:sz w:val="24"/>
          <w:highlight w:val="none"/>
        </w:rPr>
        <w:t>协议生效和终止</w:t>
      </w:r>
    </w:p>
    <w:p>
      <w:pPr>
        <w:widowControl/>
        <w:numPr>
          <w:ilvl w:val="0"/>
          <w:numId w:val="66"/>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本协议书以纸质书面形式订立的，自投资者</w:t>
      </w:r>
      <w:r>
        <w:rPr>
          <w:rFonts w:hint="eastAsia" w:ascii="宋体" w:hAnsi="宋体"/>
          <w:color w:val="000000"/>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sz w:val="24"/>
          <w:highlight w:val="none"/>
        </w:rPr>
        <w:t>之后立即生效。协议一式</w:t>
      </w:r>
      <w:r>
        <w:rPr>
          <w:rFonts w:hint="eastAsia" w:ascii="宋体" w:hAnsi="宋体"/>
          <w:color w:val="000000"/>
          <w:sz w:val="24"/>
          <w:highlight w:val="none"/>
          <w:lang w:eastAsia="zh-CN"/>
        </w:rPr>
        <w:t>贰</w:t>
      </w:r>
      <w:r>
        <w:rPr>
          <w:rFonts w:hint="eastAsia" w:ascii="宋体" w:hAnsi="宋体"/>
          <w:color w:val="000000"/>
          <w:sz w:val="24"/>
          <w:highlight w:val="none"/>
        </w:rPr>
        <w:t>份，投资者和管理人双方各执</w:t>
      </w:r>
      <w:r>
        <w:rPr>
          <w:rFonts w:hint="eastAsia" w:ascii="宋体" w:hAnsi="宋体"/>
          <w:color w:val="000000"/>
          <w:sz w:val="24"/>
          <w:highlight w:val="none"/>
          <w:lang w:eastAsia="zh-CN"/>
        </w:rPr>
        <w:t>壹</w:t>
      </w:r>
      <w:r>
        <w:rPr>
          <w:rFonts w:hint="eastAsia" w:ascii="宋体" w:hAnsi="宋体"/>
          <w:color w:val="000000"/>
          <w:sz w:val="24"/>
          <w:highlight w:val="none"/>
        </w:rPr>
        <w:t xml:space="preserve">份，具有同等法律效力。 </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color w:val="000000"/>
          <w:sz w:val="24"/>
          <w:highlight w:val="none"/>
        </w:rPr>
      </w:pPr>
      <w:r>
        <w:rPr>
          <w:rFonts w:hint="eastAsia" w:ascii="宋体" w:hAnsi="宋体"/>
          <w:color w:val="000000"/>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sz w:val="24"/>
          <w:highlight w:val="none"/>
        </w:rPr>
      </w:pPr>
    </w:p>
    <w:p>
      <w:pPr>
        <w:numPr>
          <w:ilvl w:val="0"/>
          <w:numId w:val="61"/>
        </w:numPr>
        <w:spacing w:line="360" w:lineRule="auto"/>
        <w:ind w:firstLine="482" w:firstLineChars="200"/>
        <w:outlineLvl w:val="9"/>
        <w:rPr>
          <w:b/>
          <w:color w:val="000000"/>
          <w:sz w:val="24"/>
          <w:highlight w:val="none"/>
        </w:rPr>
      </w:pPr>
      <w:r>
        <w:rPr>
          <w:rFonts w:hint="eastAsia"/>
          <w:b/>
          <w:color w:val="000000"/>
          <w:sz w:val="24"/>
          <w:highlight w:val="none"/>
        </w:rPr>
        <w:t>附则</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color w:val="000000"/>
          <w:sz w:val="24"/>
          <w:highlight w:val="none"/>
        </w:rPr>
      </w:pPr>
      <w:r>
        <w:rPr>
          <w:rFonts w:hint="eastAsia" w:ascii="宋体" w:hAnsi="宋体"/>
          <w:color w:val="000000"/>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color w:val="000000"/>
          <w:kern w:val="0"/>
          <w:highlight w:val="none"/>
        </w:rPr>
        <w:t>杭银理财有限责任公司</w:t>
      </w:r>
    </w:p>
    <w:p>
      <w:pPr>
        <w:pageBreakBefore/>
        <w:widowControl/>
        <w:spacing w:line="360" w:lineRule="auto"/>
        <w:rPr>
          <w:rFonts w:ascii="宋体" w:hAnsi="宋体"/>
          <w:color w:val="000000"/>
          <w:sz w:val="24"/>
          <w:highlight w:val="none"/>
        </w:rPr>
      </w:pPr>
      <w:r>
        <w:rPr>
          <w:rFonts w:hint="eastAsia" w:ascii="宋体" w:hAnsi="宋体"/>
          <w:color w:val="000000"/>
          <w:sz w:val="24"/>
          <w:highlight w:val="none"/>
        </w:rPr>
        <w:t>本页为纸质形式（如有）</w:t>
      </w:r>
      <w:r>
        <w:rPr>
          <w:rFonts w:hint="eastAsia" w:ascii="宋体" w:hAnsi="宋体"/>
          <w:color w:val="000000"/>
          <w:sz w:val="24"/>
          <w:highlight w:val="none"/>
          <w:lang w:val="en-US" w:eastAsia="zh-CN"/>
        </w:rPr>
        <w:t>投资</w:t>
      </w:r>
      <w:r>
        <w:rPr>
          <w:rFonts w:hint="eastAsia" w:ascii="宋体" w:hAnsi="宋体"/>
          <w:color w:val="000000"/>
          <w:sz w:val="24"/>
          <w:highlight w:val="none"/>
        </w:rPr>
        <w:t>协议书签章页</w:t>
      </w: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color w:val="000000"/>
          <w:sz w:val="24"/>
          <w:highlight w:val="none"/>
        </w:rPr>
      </w:pPr>
    </w:p>
    <w:p>
      <w:pPr>
        <w:spacing w:line="360" w:lineRule="auto"/>
        <w:rPr>
          <w:rFonts w:hint="eastAsia" w:ascii="宋体" w:hAnsi="宋体"/>
          <w:b/>
          <w:bCs/>
          <w:color w:val="000000"/>
          <w:sz w:val="24"/>
          <w:highlight w:val="none"/>
        </w:rPr>
      </w:pPr>
      <w:r>
        <w:rPr>
          <w:rFonts w:hint="eastAsia" w:ascii="宋体" w:hAnsi="宋体"/>
          <w:b/>
          <w:bCs/>
          <w:color w:val="000000"/>
          <w:sz w:val="24"/>
          <w:highlight w:val="none"/>
        </w:rPr>
        <w:t>投资者（签字</w:t>
      </w:r>
      <w:r>
        <w:rPr>
          <w:rFonts w:hint="eastAsia" w:ascii="宋体" w:hAnsi="宋体" w:eastAsia="宋体" w:cs="黑体"/>
          <w:b/>
          <w:bCs/>
          <w:color w:val="000000"/>
          <w:sz w:val="24"/>
          <w:highlight w:val="none"/>
          <w:lang w:eastAsia="zh-CN"/>
        </w:rPr>
        <w:t>或签章</w:t>
      </w:r>
      <w:r>
        <w:rPr>
          <w:rFonts w:hint="eastAsia" w:ascii="宋体" w:hAnsi="宋体"/>
          <w:b/>
          <w:bCs/>
          <w:color w:val="000000"/>
          <w:sz w:val="24"/>
          <w:highlight w:val="none"/>
        </w:rPr>
        <w:t>）：</w:t>
      </w:r>
    </w:p>
    <w:p>
      <w:pPr>
        <w:spacing w:line="360" w:lineRule="auto"/>
        <w:rPr>
          <w:rFonts w:hint="eastAsia" w:ascii="宋体" w:hAnsi="宋体"/>
          <w:b/>
          <w:bCs/>
          <w:color w:val="000000"/>
          <w:sz w:val="24"/>
          <w:highlight w:val="none"/>
        </w:rPr>
      </w:pPr>
    </w:p>
    <w:p>
      <w:pPr>
        <w:spacing w:line="360" w:lineRule="auto"/>
        <w:rPr>
          <w:rFonts w:hint="eastAsia" w:ascii="宋体" w:hAnsi="宋体"/>
          <w:b/>
          <w:bCs/>
          <w:color w:val="000000"/>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color w:val="000000"/>
          <w:sz w:val="24"/>
          <w:highlight w:val="none"/>
        </w:rPr>
        <w:t xml:space="preserve">   年   月   日</w:t>
      </w:r>
    </w:p>
    <w:p>
      <w:pPr>
        <w:pageBreakBefore/>
        <w:widowControl/>
        <w:spacing w:line="120" w:lineRule="auto"/>
        <w:jc w:val="center"/>
        <w:outlineLvl w:val="9"/>
        <w:rPr>
          <w:rFonts w:hint="eastAsia" w:ascii="Calibri" w:hAnsi="Calibri" w:eastAsia="宋体" w:cs="黑体"/>
          <w:b/>
          <w:bCs w:val="0"/>
          <w:color w:val="000000"/>
          <w:sz w:val="44"/>
          <w:szCs w:val="44"/>
          <w:highlight w:val="none"/>
        </w:rPr>
      </w:pPr>
      <w:r>
        <w:rPr>
          <w:rFonts w:hint="eastAsia" w:ascii="Calibri" w:hAnsi="Calibri" w:eastAsia="宋体" w:cs="黑体"/>
          <w:b/>
          <w:bCs w:val="0"/>
          <w:color w:val="000000"/>
          <w:sz w:val="44"/>
          <w:szCs w:val="44"/>
          <w:highlight w:val="none"/>
          <w:lang w:val="en-US" w:eastAsia="zh-CN"/>
        </w:rPr>
        <w:t>杭银理财理财计划</w:t>
      </w:r>
      <w:r>
        <w:rPr>
          <w:rFonts w:hint="eastAsia" w:ascii="Calibri" w:hAnsi="Calibri" w:eastAsia="宋体" w:cs="黑体"/>
          <w:b/>
          <w:bCs w:val="0"/>
          <w:color w:val="000000"/>
          <w:sz w:val="44"/>
          <w:szCs w:val="44"/>
          <w:highlight w:val="none"/>
        </w:rPr>
        <w:t>销售协议书</w:t>
      </w:r>
    </w:p>
    <w:p>
      <w:pPr>
        <w:jc w:val="center"/>
        <w:rPr>
          <w:rFonts w:hint="eastAsia" w:ascii="宋体" w:hAnsi="宋体" w:eastAsia="宋体" w:cs="宋体"/>
          <w:b w:val="0"/>
          <w:bCs w:val="0"/>
          <w:color w:val="000000"/>
          <w:sz w:val="28"/>
          <w:szCs w:val="28"/>
          <w:highlight w:val="none"/>
        </w:rPr>
      </w:pPr>
      <w:r>
        <w:rPr>
          <w:rFonts w:hint="eastAsia" w:ascii="宋体" w:hAnsi="宋体" w:eastAsia="宋体" w:cs="宋体"/>
          <w:color w:val="000000"/>
          <w:sz w:val="28"/>
          <w:szCs w:val="28"/>
          <w:highlight w:val="none"/>
        </w:rPr>
        <w:t>（</w:t>
      </w:r>
      <w:r>
        <w:rPr>
          <w:rFonts w:hint="eastAsia" w:ascii="宋体" w:hAnsi="宋体" w:eastAsia="宋体" w:cs="宋体"/>
          <w:color w:val="000000"/>
          <w:sz w:val="28"/>
          <w:szCs w:val="28"/>
          <w:highlight w:val="none"/>
          <w:lang w:eastAsia="zh-CN"/>
        </w:rPr>
        <w:t>202502</w:t>
      </w:r>
      <w:r>
        <w:rPr>
          <w:rFonts w:hint="eastAsia" w:ascii="宋体" w:hAnsi="宋体" w:eastAsia="宋体" w:cs="宋体"/>
          <w:color w:val="000000"/>
          <w:sz w:val="28"/>
          <w:szCs w:val="28"/>
          <w:highlight w:val="none"/>
        </w:rPr>
        <w:t>版）</w:t>
      </w:r>
    </w:p>
    <w:p>
      <w:pPr>
        <w:spacing w:line="360" w:lineRule="auto"/>
        <w:jc w:val="center"/>
        <w:rPr>
          <w:rFonts w:hint="default"/>
          <w:color w:val="000000"/>
          <w:sz w:val="32"/>
          <w:szCs w:val="40"/>
          <w:highlight w:val="none"/>
          <w:lang w:val="en-US" w:eastAsia="zh-CN"/>
        </w:rPr>
      </w:pPr>
      <w:r>
        <w:rPr>
          <w:rFonts w:hint="eastAsia" w:ascii="宋体" w:hAnsi="宋体" w:cs="宋体"/>
          <w:b/>
          <w:bCs/>
          <w:color w:val="000000"/>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color w:val="000000"/>
          <w:sz w:val="24"/>
          <w:highlight w:val="none"/>
        </w:rPr>
      </w:pPr>
      <w:r>
        <w:rPr>
          <w:rFonts w:hint="eastAsia" w:ascii="Calibri" w:hAnsi="Calibri" w:eastAsia="宋体" w:cs="黑体"/>
          <w:b/>
          <w:bCs/>
          <w:color w:val="000000"/>
          <w:sz w:val="24"/>
          <w:highlight w:val="none"/>
        </w:rPr>
        <w:t>特别提示：</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rPr>
        <w:t>杭银理财</w:t>
      </w:r>
      <w:r>
        <w:rPr>
          <w:rFonts w:hint="eastAsia" w:ascii="Calibri" w:hAnsi="Calibri" w:eastAsia="宋体" w:cs="黑体"/>
          <w:b/>
          <w:bCs/>
          <w:color w:val="000000"/>
          <w:sz w:val="24"/>
          <w:highlight w:val="none"/>
          <w:lang w:val="en-US" w:eastAsia="zh-CN"/>
        </w:rPr>
        <w:t>理财计划销售协议书</w:t>
      </w:r>
      <w:r>
        <w:rPr>
          <w:rFonts w:hint="eastAsia" w:ascii="宋体" w:hAnsi="宋体" w:eastAsia="宋体" w:cs="宋体"/>
          <w:b/>
          <w:bCs/>
          <w:color w:val="000000"/>
          <w:sz w:val="24"/>
          <w:highlight w:val="none"/>
          <w:lang w:val="en-US" w:eastAsia="zh-CN"/>
        </w:rPr>
        <w:t>（202502</w:t>
      </w:r>
      <w:r>
        <w:rPr>
          <w:rFonts w:hint="eastAsia" w:ascii="Calibri" w:hAnsi="Calibri" w:eastAsia="宋体" w:cs="黑体"/>
          <w:b/>
          <w:bCs/>
          <w:color w:val="000000"/>
          <w:sz w:val="24"/>
          <w:highlight w:val="none"/>
          <w:lang w:val="en-US" w:eastAsia="zh-CN"/>
        </w:rPr>
        <w:t>版）</w:t>
      </w:r>
      <w:r>
        <w:rPr>
          <w:rFonts w:hint="eastAsia" w:ascii="Calibri" w:hAnsi="Calibri" w:eastAsia="宋体" w:cs="黑体"/>
          <w:b/>
          <w:bCs/>
          <w:color w:val="000000"/>
          <w:sz w:val="24"/>
          <w:highlight w:val="none"/>
          <w:lang w:eastAsia="zh-CN"/>
        </w:rPr>
        <w:t>》</w:t>
      </w:r>
      <w:r>
        <w:rPr>
          <w:rFonts w:hint="eastAsia" w:ascii="Calibri" w:hAnsi="Calibri" w:eastAsia="宋体" w:cs="黑体"/>
          <w:b/>
          <w:bCs/>
          <w:color w:val="000000"/>
          <w:sz w:val="24"/>
          <w:highlight w:val="none"/>
          <w:lang w:val="en-US" w:eastAsia="zh-CN"/>
        </w:rPr>
        <w:t>与对应期次的</w:t>
      </w:r>
      <w:r>
        <w:rPr>
          <w:rFonts w:hint="eastAsia" w:eastAsia="宋体" w:cs="黑体"/>
          <w:b/>
          <w:bCs/>
          <w:color w:val="000000"/>
          <w:sz w:val="24"/>
          <w:highlight w:val="none"/>
          <w:lang w:val="en-US" w:eastAsia="zh-CN"/>
        </w:rPr>
        <w:t>理财计划风险揭示书、理财计划产品说明书、投资者权益须知及</w:t>
      </w:r>
      <w:r>
        <w:rPr>
          <w:rFonts w:hint="eastAsia" w:ascii="Calibri" w:hAnsi="Calibri" w:eastAsia="宋体" w:cs="黑体"/>
          <w:b/>
          <w:bCs/>
          <w:color w:val="000000"/>
          <w:sz w:val="24"/>
          <w:highlight w:val="none"/>
        </w:rPr>
        <w:t>理财计划投资协议书共同构成完整且不可分割的理财计划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。杭银理财有限责任公司（以下简称“杭银理财”）建议投资者在购买理财计划前认真阅读</w:t>
      </w:r>
      <w:r>
        <w:rPr>
          <w:rFonts w:hint="eastAsia" w:ascii="Calibri" w:hAnsi="Calibri" w:eastAsia="宋体" w:cs="黑体"/>
          <w:b/>
          <w:bCs/>
          <w:color w:val="000000"/>
          <w:sz w:val="24"/>
          <w:highlight w:val="none"/>
          <w:lang w:val="en-US" w:eastAsia="zh-CN"/>
        </w:rPr>
        <w:t>全套</w:t>
      </w:r>
      <w:r>
        <w:rPr>
          <w:rFonts w:hint="eastAsia" w:ascii="Calibri" w:hAnsi="Calibri" w:eastAsia="宋体" w:cs="黑体"/>
          <w:b/>
          <w:bCs/>
          <w:color w:val="000000"/>
          <w:sz w:val="24"/>
          <w:highlight w:val="none"/>
        </w:rPr>
        <w:t>理财计划</w:t>
      </w:r>
      <w:r>
        <w:rPr>
          <w:rFonts w:hint="eastAsia" w:ascii="Calibri" w:hAnsi="Calibri" w:eastAsia="宋体" w:cs="黑体"/>
          <w:b/>
          <w:bCs/>
          <w:color w:val="000000"/>
          <w:sz w:val="24"/>
          <w:highlight w:val="none"/>
          <w:lang w:val="en-US" w:eastAsia="zh-CN"/>
        </w:rPr>
        <w:t>合同</w:t>
      </w:r>
      <w:r>
        <w:rPr>
          <w:rFonts w:hint="eastAsia" w:ascii="Calibri" w:hAnsi="Calibri" w:eastAsia="宋体" w:cs="黑体"/>
          <w:b/>
          <w:bCs/>
          <w:color w:val="000000"/>
          <w:sz w:val="24"/>
          <w:highlight w:val="none"/>
        </w:rPr>
        <w:t>，投资者签署</w:t>
      </w:r>
      <w:r>
        <w:rPr>
          <w:rFonts w:hint="eastAsia" w:ascii="Calibri" w:hAnsi="Calibri" w:eastAsia="宋体" w:cs="黑体"/>
          <w:b/>
          <w:bCs/>
          <w:color w:val="000000"/>
          <w:sz w:val="24"/>
          <w:highlight w:val="none"/>
          <w:lang w:val="en-US" w:eastAsia="zh-CN"/>
        </w:rPr>
        <w:t>本</w:t>
      </w:r>
      <w:r>
        <w:rPr>
          <w:rFonts w:hint="eastAsia" w:ascii="Calibri" w:hAnsi="Calibri" w:eastAsia="宋体" w:cs="黑体"/>
          <w:b/>
          <w:bCs/>
          <w:color w:val="000000"/>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color w:val="000000"/>
          <w:sz w:val="24"/>
          <w:highlight w:val="none"/>
          <w:lang w:val="en-US" w:eastAsia="zh-CN"/>
        </w:rPr>
      </w:pPr>
      <w:r>
        <w:rPr>
          <w:rFonts w:hint="eastAsia" w:ascii="Calibri" w:hAnsi="Calibri" w:eastAsia="宋体" w:cs="黑体"/>
          <w:b/>
          <w:bCs/>
          <w:color w:val="000000"/>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理财计划销售的相关法律主体为发行理财计划的理财公司、</w:t>
      </w:r>
      <w:r>
        <w:rPr>
          <w:rFonts w:hint="eastAsia" w:eastAsia="宋体" w:cs="黑体"/>
          <w:color w:val="000000"/>
          <w:sz w:val="24"/>
          <w:highlight w:val="none"/>
          <w:lang w:val="en-US" w:eastAsia="zh-CN"/>
        </w:rPr>
        <w:t>理财公司自有销售渠道以及</w:t>
      </w:r>
      <w:r>
        <w:rPr>
          <w:rFonts w:hint="eastAsia" w:ascii="Calibri" w:hAnsi="Calibri" w:eastAsia="宋体" w:cs="黑体"/>
          <w:color w:val="000000"/>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color w:val="000000"/>
          <w:sz w:val="24"/>
          <w:highlight w:val="none"/>
          <w:lang w:val="en-US" w:eastAsia="zh-CN"/>
        </w:rPr>
        <w:t>理财公司和</w:t>
      </w:r>
      <w:r>
        <w:rPr>
          <w:rFonts w:hint="eastAsia" w:ascii="Calibri" w:hAnsi="Calibri" w:eastAsia="宋体" w:cs="黑体"/>
          <w:color w:val="000000"/>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r>
        <w:rPr>
          <w:rFonts w:hint="eastAsia" w:ascii="Calibri" w:hAnsi="Calibri" w:eastAsia="宋体" w:cs="黑体"/>
          <w:color w:val="000000"/>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第一条 </w:t>
      </w:r>
      <w:r>
        <w:rPr>
          <w:rFonts w:hint="eastAsia" w:ascii="Calibri" w:hAnsi="Calibri" w:eastAsia="宋体" w:cs="黑体"/>
          <w:b/>
          <w:bCs/>
          <w:color w:val="000000"/>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r>
        <w:rPr>
          <w:rFonts w:hint="eastAsia" w:ascii="Calibri" w:hAnsi="Calibri" w:eastAsia="宋体" w:cs="黑体"/>
          <w:bCs/>
          <w:color w:val="000000"/>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第二条 </w:t>
      </w:r>
      <w:r>
        <w:rPr>
          <w:rFonts w:hint="eastAsia" w:ascii="Calibri" w:hAnsi="Calibri" w:eastAsia="宋体" w:cs="黑体"/>
          <w:b/>
          <w:bCs/>
          <w:color w:val="000000"/>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rPr>
        <w:t>投资者购买</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lang w:eastAsia="zh-CN"/>
        </w:rPr>
        <w:t>代理销售</w:t>
      </w:r>
      <w:r>
        <w:rPr>
          <w:rFonts w:hint="eastAsia" w:ascii="宋体" w:hAnsi="宋体" w:eastAsia="宋体" w:cs="黑体"/>
          <w:b/>
          <w:bCs/>
          <w:color w:val="000000"/>
          <w:sz w:val="24"/>
          <w:highlight w:val="none"/>
        </w:rPr>
        <w:t>的私募</w:t>
      </w:r>
      <w:r>
        <w:rPr>
          <w:rFonts w:hint="eastAsia" w:ascii="宋体" w:hAnsi="宋体" w:eastAsia="宋体" w:cs="黑体"/>
          <w:b/>
          <w:bCs/>
          <w:color w:val="000000"/>
          <w:sz w:val="24"/>
          <w:highlight w:val="none"/>
          <w:lang w:eastAsia="zh-CN"/>
        </w:rPr>
        <w:t>理财计划</w:t>
      </w:r>
      <w:r>
        <w:rPr>
          <w:rFonts w:hint="eastAsia" w:ascii="宋体" w:hAnsi="宋体" w:eastAsia="宋体" w:cs="黑体"/>
          <w:b/>
          <w:bCs/>
          <w:color w:val="000000"/>
          <w:sz w:val="24"/>
          <w:highlight w:val="none"/>
        </w:rPr>
        <w:t>后，可以享有24 小时的投资冷静期，在投资冷静期内，如</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改变投资决定，应提出解除相应理财</w:t>
      </w:r>
      <w:r>
        <w:rPr>
          <w:rFonts w:hint="eastAsia" w:ascii="宋体" w:hAnsi="宋体" w:eastAsia="宋体" w:cs="黑体"/>
          <w:b/>
          <w:bCs/>
          <w:color w:val="000000"/>
          <w:sz w:val="24"/>
          <w:highlight w:val="none"/>
          <w:lang w:val="en-US" w:eastAsia="zh-CN"/>
        </w:rPr>
        <w:t>计划合同</w:t>
      </w:r>
      <w:r>
        <w:rPr>
          <w:rFonts w:hint="eastAsia" w:ascii="宋体" w:hAnsi="宋体" w:eastAsia="宋体" w:cs="黑体"/>
          <w:b/>
          <w:bCs/>
          <w:color w:val="000000"/>
          <w:sz w:val="24"/>
          <w:highlight w:val="none"/>
        </w:rPr>
        <w:t>文件申请，</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将及时退还</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的全部投资款项。</w:t>
      </w:r>
      <w:r>
        <w:rPr>
          <w:rFonts w:hint="eastAsia" w:ascii="宋体" w:hAnsi="宋体" w:eastAsia="宋体" w:cs="黑体"/>
          <w:color w:val="000000"/>
          <w:sz w:val="24"/>
          <w:highlight w:val="none"/>
        </w:rPr>
        <w:t>投资冷静期相关约定详见</w:t>
      </w:r>
      <w:r>
        <w:rPr>
          <w:rFonts w:hint="eastAsia" w:ascii="宋体" w:hAnsi="宋体" w:eastAsia="宋体" w:cs="黑体"/>
          <w:color w:val="000000"/>
          <w:sz w:val="24"/>
          <w:highlight w:val="none"/>
          <w:lang w:val="en-US" w:eastAsia="zh-CN"/>
        </w:rPr>
        <w:t>理财计划产品</w:t>
      </w:r>
      <w:r>
        <w:rPr>
          <w:rFonts w:hint="eastAsia" w:ascii="宋体" w:hAnsi="宋体" w:eastAsia="宋体" w:cs="黑体"/>
          <w:color w:val="000000"/>
          <w:sz w:val="24"/>
          <w:highlight w:val="none"/>
        </w:rPr>
        <w:t>说明书</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投资者保证执行及交付任何文件或履行本协议项下的义务，均不会违反任何适用法律、法规、法令或法律限制</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color w:val="000000"/>
          <w:sz w:val="24"/>
          <w:highlight w:val="none"/>
          <w:lang w:val="en-US" w:eastAsia="zh-CN"/>
        </w:rPr>
        <w:t>其</w:t>
      </w:r>
      <w:r>
        <w:rPr>
          <w:rFonts w:hint="eastAsia" w:ascii="宋体" w:hAnsi="宋体" w:eastAsia="宋体" w:cs="黑体"/>
          <w:color w:val="000000"/>
          <w:sz w:val="24"/>
          <w:highlight w:val="none"/>
        </w:rPr>
        <w:t>授权指定</w:t>
      </w:r>
      <w:r>
        <w:rPr>
          <w:rFonts w:hint="eastAsia" w:ascii="宋体" w:hAnsi="宋体" w:eastAsia="宋体" w:cs="黑体"/>
          <w:color w:val="000000"/>
          <w:sz w:val="24"/>
          <w:highlight w:val="none"/>
          <w:lang w:val="en-US" w:eastAsia="zh-CN"/>
        </w:rPr>
        <w:t>的</w:t>
      </w:r>
      <w:r>
        <w:rPr>
          <w:rFonts w:hint="eastAsia" w:ascii="宋体" w:hAnsi="宋体" w:eastAsia="宋体" w:cs="黑体"/>
          <w:color w:val="000000"/>
          <w:sz w:val="24"/>
          <w:highlight w:val="none"/>
        </w:rPr>
        <w:t>账户</w:t>
      </w:r>
      <w:r>
        <w:rPr>
          <w:rFonts w:hint="eastAsia" w:ascii="宋体" w:hAnsi="宋体" w:eastAsia="宋体" w:cs="黑体"/>
          <w:color w:val="000000"/>
          <w:sz w:val="24"/>
          <w:highlight w:val="none"/>
          <w:lang w:val="en-US" w:eastAsia="zh-CN"/>
        </w:rPr>
        <w:t>中（以下简称“授权指定账户”）</w:t>
      </w:r>
      <w:r>
        <w:rPr>
          <w:rFonts w:hint="eastAsia" w:ascii="宋体" w:hAnsi="宋体" w:eastAsia="宋体" w:cs="黑体"/>
          <w:color w:val="000000"/>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在此确认</w:t>
      </w:r>
      <w:r>
        <w:rPr>
          <w:rFonts w:hint="eastAsia" w:ascii="宋体" w:hAnsi="宋体" w:eastAsia="宋体" w:cs="黑体"/>
          <w:b/>
          <w:bCs/>
          <w:color w:val="000000"/>
          <w:sz w:val="24"/>
          <w:highlight w:val="none"/>
          <w:lang w:val="en-US" w:eastAsia="zh-CN"/>
        </w:rPr>
        <w:t>销售机构</w:t>
      </w:r>
      <w:r>
        <w:rPr>
          <w:rFonts w:hint="eastAsia" w:ascii="宋体" w:hAnsi="宋体" w:eastAsia="宋体" w:cs="黑体"/>
          <w:b/>
          <w:bCs/>
          <w:color w:val="000000"/>
          <w:sz w:val="24"/>
          <w:highlight w:val="none"/>
        </w:rPr>
        <w:t>的系统记录以及录音、录像构成对</w:t>
      </w:r>
      <w:r>
        <w:rPr>
          <w:rFonts w:hint="eastAsia" w:ascii="宋体" w:hAnsi="宋体" w:eastAsia="宋体" w:cs="黑体"/>
          <w:b/>
          <w:bCs/>
          <w:color w:val="000000"/>
          <w:sz w:val="24"/>
          <w:highlight w:val="none"/>
          <w:lang w:val="en-US" w:eastAsia="zh-CN"/>
        </w:rPr>
        <w:t>投资者</w:t>
      </w:r>
      <w:r>
        <w:rPr>
          <w:rFonts w:hint="eastAsia" w:ascii="宋体" w:hAnsi="宋体" w:eastAsia="宋体" w:cs="黑体"/>
          <w:b/>
          <w:bCs/>
          <w:color w:val="000000"/>
          <w:sz w:val="24"/>
          <w:highlight w:val="none"/>
        </w:rPr>
        <w:t>操作行为（包括但不限于购买、赎回、撤单）的有效证据，并且在</w:t>
      </w:r>
      <w:r>
        <w:rPr>
          <w:rFonts w:hint="eastAsia" w:ascii="宋体" w:hAnsi="宋体" w:eastAsia="宋体" w:cs="黑体"/>
          <w:b/>
          <w:bCs/>
          <w:color w:val="000000"/>
          <w:sz w:val="24"/>
          <w:highlight w:val="none"/>
          <w:lang w:val="en-US" w:eastAsia="zh-CN"/>
        </w:rPr>
        <w:t>双</w:t>
      </w:r>
      <w:r>
        <w:rPr>
          <w:rFonts w:hint="eastAsia" w:ascii="宋体" w:hAnsi="宋体" w:eastAsia="宋体" w:cs="黑体"/>
          <w:b/>
          <w:bCs/>
          <w:color w:val="000000"/>
          <w:sz w:val="24"/>
          <w:highlight w:val="none"/>
        </w:rPr>
        <w:t>方发生争议时可以作为合法有效的证据使用</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在本理财计划存续期内，如有权机关要求</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配合对投资者理财份额、理财账户、授权指定账户进行查封、冻结或扣划的，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有权根据实际情况采取</w:t>
      </w:r>
      <w:r>
        <w:rPr>
          <w:rFonts w:hint="eastAsia" w:ascii="宋体" w:hAnsi="宋体" w:eastAsia="宋体" w:cs="黑体"/>
          <w:color w:val="000000"/>
          <w:sz w:val="24"/>
          <w:highlight w:val="none"/>
          <w:lang w:val="en-US" w:eastAsia="zh-CN"/>
        </w:rPr>
        <w:t>相应</w:t>
      </w:r>
      <w:r>
        <w:rPr>
          <w:rFonts w:hint="eastAsia" w:ascii="宋体" w:hAnsi="宋体" w:eastAsia="宋体" w:cs="黑体"/>
          <w:color w:val="000000"/>
          <w:sz w:val="24"/>
          <w:highlight w:val="none"/>
        </w:rPr>
        <w:t>措施。</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本协议终止前，投资者不得将授权指定账户销户。若发生因投资者注销授权指定账户造成理财计划无法正常兑付的，</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投资者应确保其提供的所有资料真实、完整、合法、有效，如果有任何变更，投资者应及时通知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并办理变更手续。如因投资者未及时通知</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并办理相应的变更手续，由此导致的一切后果由投资者自行承担，</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lang w:val="en-US" w:eastAsia="zh-CN"/>
        </w:rPr>
        <w:t>投资者</w:t>
      </w:r>
      <w:r>
        <w:rPr>
          <w:rFonts w:hint="eastAsia" w:ascii="宋体" w:hAnsi="宋体" w:eastAsia="宋体" w:cs="黑体"/>
          <w:color w:val="000000"/>
          <w:sz w:val="24"/>
          <w:highlight w:val="none"/>
        </w:rPr>
        <w:t>对本协议及其条款负有保密义务，未经</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书面许可，不得向任何组织、个人提供或泄露与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有关的业务资料及信息，但法律、法规另有规定的除外</w:t>
      </w:r>
      <w:r>
        <w:rPr>
          <w:rFonts w:hint="eastAsia" w:ascii="宋体" w:hAnsi="宋体" w:eastAsia="宋体" w:cs="黑体"/>
          <w:color w:val="000000"/>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color w:val="000000"/>
          <w:sz w:val="24"/>
          <w:highlight w:val="none"/>
          <w:lang w:val="en-US" w:eastAsia="zh-CN"/>
        </w:rPr>
      </w:pPr>
      <w:r>
        <w:rPr>
          <w:rFonts w:hint="eastAsia" w:ascii="宋体" w:hAnsi="宋体" w:eastAsia="宋体" w:cs="黑体"/>
          <w:b/>
          <w:bCs/>
          <w:color w:val="000000"/>
          <w:sz w:val="24"/>
          <w:highlight w:val="none"/>
          <w:lang w:val="en-US" w:eastAsia="zh-CN"/>
        </w:rPr>
        <w:t>投</w:t>
      </w:r>
      <w:r>
        <w:rPr>
          <w:rFonts w:hint="eastAsia" w:ascii="宋体" w:hAnsi="宋体"/>
          <w:b/>
          <w:bCs/>
          <w:color w:val="000000"/>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第三条 </w:t>
      </w:r>
      <w:r>
        <w:rPr>
          <w:rFonts w:hint="eastAsia" w:ascii="Calibri" w:hAnsi="Calibri" w:eastAsia="宋体" w:cs="黑体"/>
          <w:b/>
          <w:bCs/>
          <w:color w:val="000000"/>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b/>
          <w:bCs/>
          <w:color w:val="000000"/>
          <w:sz w:val="24"/>
          <w:highlight w:val="none"/>
          <w:lang w:val="en-US" w:eastAsia="zh-CN"/>
        </w:rPr>
        <w:t>代理销售机构非本计划的发行、管理机构，对本计划的业绩不承担任何保证和其他经济责任，不承担本计划的投资和兑付管理责任</w:t>
      </w:r>
      <w:r>
        <w:rPr>
          <w:rFonts w:hint="eastAsia" w:ascii="宋体" w:hAnsi="宋体" w:eastAsia="宋体" w:cs="黑体"/>
          <w:color w:val="000000"/>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第四条 </w:t>
      </w:r>
      <w:r>
        <w:rPr>
          <w:rFonts w:hint="eastAsia" w:ascii="Calibri" w:hAnsi="Calibri" w:eastAsia="宋体" w:cs="黑体"/>
          <w:b/>
          <w:bCs/>
          <w:color w:val="000000"/>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理财计划认/申购确认：管理人根据</w:t>
      </w:r>
      <w:r>
        <w:rPr>
          <w:rFonts w:hint="eastAsia" w:ascii="宋体" w:hAnsi="宋体" w:eastAsia="宋体" w:cs="黑体"/>
          <w:color w:val="000000"/>
          <w:sz w:val="24"/>
          <w:highlight w:val="none"/>
          <w:lang w:eastAsia="zh-CN"/>
        </w:rPr>
        <w:t>销售</w:t>
      </w:r>
      <w:r>
        <w:rPr>
          <w:rFonts w:hint="eastAsia" w:ascii="宋体" w:hAnsi="宋体" w:eastAsia="宋体" w:cs="黑体"/>
          <w:color w:val="000000"/>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理财计划赎回/终止兑付：在正常情况下，管理人和</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产品说明书约定管理人对理财计划进行延期或转换时，</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资金清算：理财计划终止或份额赎回时，管理人按理财计划合同约定划付至</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清算账户后，由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向投资者划付投资者应得资金。如因投资者清算账户余额不足，或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未及时足额划付资金，或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清算账户内资金被依法冻结或扣划，或</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清算账户处于被挂失、冻结、注销或其他非正常状态等原因而导致交易失败</w:t>
      </w:r>
      <w:r>
        <w:rPr>
          <w:rFonts w:hint="eastAsia" w:ascii="宋体" w:hAnsi="宋体" w:eastAsia="宋体" w:cs="黑体"/>
          <w:color w:val="000000"/>
          <w:sz w:val="24"/>
          <w:highlight w:val="none"/>
          <w:lang w:eastAsia="zh-CN"/>
        </w:rPr>
        <w:t>，</w:t>
      </w:r>
      <w:r>
        <w:rPr>
          <w:rFonts w:hint="eastAsia" w:ascii="宋体" w:hAnsi="宋体" w:eastAsia="宋体" w:cs="黑体"/>
          <w:color w:val="000000"/>
          <w:sz w:val="24"/>
          <w:highlight w:val="none"/>
        </w:rPr>
        <w:t>对于因上述原因导致的交易失败可能带来的任何损失及预期损失，投资者须自行承担或向</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第五条 </w:t>
      </w:r>
      <w:r>
        <w:rPr>
          <w:rFonts w:hint="eastAsia" w:ascii="Calibri" w:hAnsi="Calibri" w:eastAsia="宋体" w:cs="黑体"/>
          <w:b/>
          <w:bCs/>
          <w:color w:val="000000"/>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原因导致司法或行政</w:t>
      </w:r>
      <w:r>
        <w:rPr>
          <w:rFonts w:hint="eastAsia" w:ascii="宋体" w:hAnsi="宋体" w:eastAsia="宋体" w:cs="黑体"/>
          <w:color w:val="000000"/>
          <w:sz w:val="24"/>
          <w:highlight w:val="none"/>
          <w:lang w:eastAsia="zh-CN"/>
        </w:rPr>
        <w:t>等有权机关</w:t>
      </w:r>
      <w:r>
        <w:rPr>
          <w:rFonts w:hint="eastAsia" w:ascii="宋体" w:hAnsi="宋体" w:eastAsia="宋体" w:cs="黑体"/>
          <w:color w:val="000000"/>
          <w:sz w:val="24"/>
          <w:highlight w:val="none"/>
        </w:rPr>
        <w:t>采取强制措施对其理财本金、收益进行部分或全部被扣划，均视投资者本人就全部理财本金进行了提前</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，本</w:t>
      </w:r>
      <w:r>
        <w:rPr>
          <w:rFonts w:hint="eastAsia" w:ascii="宋体" w:hAnsi="宋体" w:eastAsia="宋体" w:cs="黑体"/>
          <w:color w:val="000000"/>
          <w:sz w:val="24"/>
          <w:highlight w:val="none"/>
          <w:lang w:eastAsia="zh-CN"/>
        </w:rPr>
        <w:t>协议</w:t>
      </w:r>
      <w:r>
        <w:rPr>
          <w:rFonts w:hint="eastAsia" w:ascii="宋体" w:hAnsi="宋体" w:eastAsia="宋体" w:cs="黑体"/>
          <w:color w:val="000000"/>
          <w:sz w:val="24"/>
          <w:highlight w:val="none"/>
        </w:rPr>
        <w:t>自动终止。因提前终止而产生的损失及相关费用由投资者承担。本</w:t>
      </w:r>
      <w:r>
        <w:rPr>
          <w:rFonts w:hint="eastAsia" w:ascii="宋体" w:hAnsi="宋体" w:eastAsia="宋体" w:cs="黑体"/>
          <w:color w:val="000000"/>
          <w:sz w:val="24"/>
          <w:highlight w:val="none"/>
          <w:lang w:eastAsia="zh-CN"/>
        </w:rPr>
        <w:t>协议因</w:t>
      </w:r>
      <w:r>
        <w:rPr>
          <w:rFonts w:hint="eastAsia" w:ascii="宋体" w:hAnsi="宋体" w:eastAsia="宋体" w:cs="黑体"/>
          <w:color w:val="000000"/>
          <w:sz w:val="24"/>
          <w:highlight w:val="none"/>
        </w:rPr>
        <w:t>前述情况终止的，理财本金不计付</w:t>
      </w:r>
      <w:r>
        <w:rPr>
          <w:rFonts w:hint="eastAsia" w:ascii="宋体" w:hAnsi="宋体" w:eastAsia="宋体" w:cs="黑体"/>
          <w:color w:val="000000"/>
          <w:sz w:val="24"/>
          <w:highlight w:val="none"/>
          <w:lang w:eastAsia="zh-CN"/>
        </w:rPr>
        <w:t>赎回</w:t>
      </w:r>
      <w:r>
        <w:rPr>
          <w:rFonts w:hint="eastAsia" w:ascii="宋体" w:hAnsi="宋体" w:eastAsia="宋体" w:cs="黑体"/>
          <w:color w:val="000000"/>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投资者违反本协议第二条内容，应承担相应违约责任。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对由此导致的理财业务交易延误、中断、终止及</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损失不承担任何责任，并有权单方终止双方理财业务关系。因</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违反双方约定给</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或全体投资者造成损失的，</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若由于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过错导致理财计划资产发生损失，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应按其过错承担赔偿责任，</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由于地震、火灾、战争等不可抗力或突发重大卫生公共事件等不可预测事件造成的交易中断、延误等风险及损失，</w:t>
      </w:r>
      <w:r>
        <w:rPr>
          <w:rFonts w:hint="eastAsia" w:ascii="宋体" w:hAnsi="宋体" w:eastAsia="宋体" w:cs="黑体"/>
          <w:color w:val="000000"/>
          <w:sz w:val="24"/>
          <w:highlight w:val="none"/>
          <w:lang w:eastAsia="zh-CN"/>
        </w:rPr>
        <w:t>销售机构</w:t>
      </w:r>
      <w:r>
        <w:rPr>
          <w:rFonts w:hint="eastAsia" w:ascii="宋体" w:hAnsi="宋体" w:eastAsia="宋体" w:cs="黑体"/>
          <w:color w:val="000000"/>
          <w:sz w:val="24"/>
          <w:highlight w:val="none"/>
        </w:rPr>
        <w:t>不承担责任；但</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应在上述情况发生</w:t>
      </w:r>
      <w:r>
        <w:rPr>
          <w:rFonts w:hint="eastAsia" w:ascii="宋体" w:hAnsi="宋体" w:eastAsia="宋体" w:cs="黑体"/>
          <w:color w:val="000000"/>
          <w:sz w:val="24"/>
          <w:highlight w:val="none"/>
          <w:lang w:eastAsia="zh-CN"/>
        </w:rPr>
        <w:t>后</w:t>
      </w:r>
      <w:r>
        <w:rPr>
          <w:rFonts w:hint="eastAsia" w:ascii="宋体" w:hAnsi="宋体" w:eastAsia="宋体" w:cs="黑体"/>
          <w:color w:val="000000"/>
          <w:sz w:val="24"/>
          <w:highlight w:val="none"/>
        </w:rPr>
        <w:t>在条件允许时及时通知</w:t>
      </w:r>
      <w:r>
        <w:rPr>
          <w:rFonts w:hint="eastAsia" w:ascii="宋体" w:hAnsi="宋体" w:eastAsia="宋体" w:cs="黑体"/>
          <w:color w:val="000000"/>
          <w:sz w:val="24"/>
          <w:highlight w:val="none"/>
          <w:lang w:eastAsia="zh-CN"/>
        </w:rPr>
        <w:t>投资者</w:t>
      </w:r>
      <w:r>
        <w:rPr>
          <w:rFonts w:hint="eastAsia" w:ascii="宋体" w:hAnsi="宋体" w:eastAsia="宋体" w:cs="黑体"/>
          <w:color w:val="000000"/>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因国家有关法律、法规、规章、政策的修改或新的法律、法规、规章、政策颁布以及紧急措施的出台导致的风险及损失，</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color w:val="000000"/>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第六条 </w:t>
      </w:r>
      <w:r>
        <w:rPr>
          <w:rFonts w:hint="eastAsia" w:ascii="Calibri" w:hAnsi="Calibri" w:eastAsia="宋体" w:cs="黑体"/>
          <w:b/>
          <w:bCs/>
          <w:color w:val="000000"/>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color w:val="000000"/>
          <w:sz w:val="24"/>
          <w:highlight w:val="none"/>
          <w:lang w:val="en-US" w:eastAsia="zh-CN"/>
        </w:rPr>
      </w:pPr>
      <w:r>
        <w:rPr>
          <w:rFonts w:hint="eastAsia" w:eastAsia="宋体" w:cs="黑体"/>
          <w:b/>
          <w:bCs/>
          <w:color w:val="000000"/>
          <w:sz w:val="24"/>
          <w:highlight w:val="none"/>
          <w:lang w:val="en-US" w:eastAsia="zh-CN"/>
        </w:rPr>
        <w:t xml:space="preserve">第七条 </w:t>
      </w:r>
      <w:r>
        <w:rPr>
          <w:rFonts w:hint="eastAsia" w:ascii="Calibri" w:hAnsi="Calibri" w:eastAsia="宋体" w:cs="黑体"/>
          <w:b/>
          <w:bCs/>
          <w:color w:val="000000"/>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本协议书</w:t>
      </w:r>
      <w:r>
        <w:rPr>
          <w:rFonts w:hint="eastAsia" w:ascii="宋体" w:hAnsi="宋体"/>
          <w:color w:val="000000"/>
          <w:sz w:val="24"/>
          <w:highlight w:val="none"/>
        </w:rPr>
        <w:t>以纸质书面形式订立的，自投资者签</w:t>
      </w:r>
      <w:r>
        <w:rPr>
          <w:rFonts w:hint="eastAsia" w:ascii="宋体" w:hAnsi="宋体"/>
          <w:color w:val="000000"/>
          <w:sz w:val="24"/>
          <w:highlight w:val="none"/>
          <w:lang w:val="en-US" w:eastAsia="zh-CN"/>
        </w:rPr>
        <w:t>署（如投资者为个人，应签字；如投资者为机构，应法定代表人或授权代理人签字或盖章并加盖公章或有效授权印章）</w:t>
      </w:r>
      <w:r>
        <w:rPr>
          <w:rFonts w:hint="eastAsia" w:ascii="宋体" w:hAnsi="宋体"/>
          <w:color w:val="000000"/>
          <w:sz w:val="24"/>
          <w:highlight w:val="none"/>
        </w:rPr>
        <w:t>和</w:t>
      </w:r>
      <w:r>
        <w:rPr>
          <w:rFonts w:hint="eastAsia" w:ascii="宋体" w:hAnsi="宋体"/>
          <w:color w:val="000000"/>
          <w:sz w:val="24"/>
          <w:highlight w:val="none"/>
          <w:lang w:eastAsia="zh-CN"/>
        </w:rPr>
        <w:t>销售机构</w:t>
      </w:r>
      <w:r>
        <w:rPr>
          <w:rFonts w:hint="eastAsia" w:ascii="宋体" w:hAnsi="宋体"/>
          <w:color w:val="000000"/>
          <w:sz w:val="24"/>
          <w:highlight w:val="none"/>
        </w:rPr>
        <w:t>签章之后立即生效。协议一式叁份，投资者、管理人和</w:t>
      </w:r>
      <w:r>
        <w:rPr>
          <w:rFonts w:hint="eastAsia" w:ascii="宋体" w:hAnsi="宋体"/>
          <w:color w:val="000000"/>
          <w:sz w:val="24"/>
          <w:highlight w:val="none"/>
          <w:lang w:eastAsia="zh-CN"/>
        </w:rPr>
        <w:t>销售机构</w:t>
      </w:r>
      <w:r>
        <w:rPr>
          <w:rFonts w:hint="eastAsia" w:ascii="宋体" w:hAnsi="宋体"/>
          <w:color w:val="000000"/>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本协议书以数据电文形式订立的，投资者在销售机构的电子银行</w:t>
      </w:r>
      <w:r>
        <w:rPr>
          <w:rFonts w:hint="eastAsia" w:ascii="宋体" w:hAnsi="宋体" w:eastAsia="宋体" w:cs="黑体"/>
          <w:color w:val="000000"/>
          <w:sz w:val="24"/>
          <w:highlight w:val="none"/>
          <w:lang w:eastAsia="zh-CN"/>
        </w:rPr>
        <w:t>渠道</w:t>
      </w:r>
      <w:r>
        <w:rPr>
          <w:rFonts w:hint="eastAsia" w:ascii="宋体" w:hAnsi="宋体" w:eastAsia="宋体" w:cs="黑体"/>
          <w:color w:val="000000"/>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lang w:val="en-US" w:eastAsia="zh-CN"/>
        </w:rPr>
      </w:pPr>
      <w:r>
        <w:rPr>
          <w:rFonts w:hint="eastAsia" w:ascii="宋体" w:hAnsi="宋体" w:eastAsia="宋体" w:cs="黑体"/>
          <w:color w:val="000000"/>
          <w:sz w:val="24"/>
          <w:highlight w:val="none"/>
        </w:rPr>
        <w:t>投资者和</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color w:val="000000"/>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color w:val="000000"/>
          <w:sz w:val="24"/>
          <w:highlight w:val="none"/>
          <w:lang w:val="en-US" w:eastAsia="zh-CN"/>
        </w:rPr>
      </w:pPr>
      <w:r>
        <w:rPr>
          <w:rFonts w:hint="eastAsia" w:eastAsia="宋体" w:cs="黑体"/>
          <w:b/>
          <w:bCs w:val="0"/>
          <w:color w:val="000000"/>
          <w:sz w:val="24"/>
          <w:highlight w:val="none"/>
          <w:lang w:val="en-US" w:eastAsia="zh-CN"/>
        </w:rPr>
        <w:t xml:space="preserve">第八条 </w:t>
      </w:r>
      <w:r>
        <w:rPr>
          <w:rFonts w:hint="eastAsia" w:ascii="Calibri" w:hAnsi="Calibri" w:eastAsia="宋体" w:cs="黑体"/>
          <w:b/>
          <w:bCs w:val="0"/>
          <w:color w:val="00000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如果投资者与</w:t>
      </w:r>
      <w:r>
        <w:rPr>
          <w:rFonts w:hint="eastAsia" w:ascii="宋体" w:hAnsi="宋体" w:eastAsia="宋体" w:cs="黑体"/>
          <w:color w:val="000000"/>
          <w:sz w:val="24"/>
          <w:highlight w:val="none"/>
          <w:lang w:val="en-US" w:eastAsia="zh-CN"/>
        </w:rPr>
        <w:t>销售机构</w:t>
      </w:r>
      <w:r>
        <w:rPr>
          <w:rFonts w:hint="eastAsia" w:ascii="宋体" w:hAnsi="宋体" w:eastAsia="宋体" w:cs="黑体"/>
          <w:color w:val="000000"/>
          <w:sz w:val="24"/>
          <w:highlight w:val="none"/>
        </w:rPr>
        <w:t>之间存在多份理财计划</w:t>
      </w:r>
      <w:r>
        <w:rPr>
          <w:rFonts w:hint="eastAsia" w:ascii="宋体" w:hAnsi="宋体" w:eastAsia="宋体" w:cs="黑体"/>
          <w:color w:val="000000"/>
          <w:sz w:val="24"/>
          <w:highlight w:val="none"/>
          <w:lang w:val="en-US" w:eastAsia="zh-CN"/>
        </w:rPr>
        <w:t>销售</w:t>
      </w:r>
      <w:r>
        <w:rPr>
          <w:rFonts w:hint="eastAsia" w:ascii="宋体" w:hAnsi="宋体" w:eastAsia="宋体" w:cs="黑体"/>
          <w:color w:val="000000"/>
          <w:sz w:val="24"/>
          <w:highlight w:val="none"/>
        </w:rPr>
        <w:t>协议书，则每一协议书分别与其所对应的</w:t>
      </w:r>
      <w:r>
        <w:rPr>
          <w:rFonts w:hint="eastAsia" w:ascii="宋体" w:hAnsi="宋体" w:eastAsia="宋体" w:cs="黑体"/>
          <w:color w:val="000000"/>
          <w:sz w:val="24"/>
          <w:highlight w:val="none"/>
          <w:lang w:val="en-US" w:eastAsia="zh-CN"/>
        </w:rPr>
        <w:t>理财计划</w:t>
      </w:r>
      <w:r>
        <w:rPr>
          <w:rFonts w:hint="eastAsia" w:ascii="宋体" w:hAnsi="宋体" w:eastAsia="宋体" w:cs="黑体"/>
          <w:color w:val="000000"/>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color w:val="000000"/>
          <w:sz w:val="24"/>
          <w:highlight w:val="none"/>
        </w:rPr>
      </w:pPr>
      <w:r>
        <w:rPr>
          <w:rFonts w:hint="eastAsia" w:ascii="宋体" w:hAnsi="宋体" w:eastAsia="宋体" w:cs="黑体"/>
          <w:color w:val="000000"/>
          <w:sz w:val="24"/>
          <w:highlight w:val="none"/>
        </w:rPr>
        <w:t>在理财计划存续期内，如因监管政策或法律法规发生变化，在不损害投资者利益的前提下，</w:t>
      </w:r>
      <w:r>
        <w:rPr>
          <w:rFonts w:hint="eastAsia" w:ascii="宋体" w:hAnsi="宋体" w:eastAsia="宋体" w:cs="黑体"/>
          <w:color w:val="000000"/>
          <w:sz w:val="24"/>
          <w:highlight w:val="none"/>
          <w:lang w:val="en-US" w:eastAsia="zh-CN"/>
        </w:rPr>
        <w:t>管理人</w:t>
      </w:r>
      <w:r>
        <w:rPr>
          <w:rFonts w:hint="eastAsia" w:ascii="宋体" w:hAnsi="宋体" w:eastAsia="宋体" w:cs="黑体"/>
          <w:color w:val="000000"/>
          <w:sz w:val="24"/>
          <w:highlight w:val="none"/>
        </w:rPr>
        <w:t>有权单方对理财计划</w:t>
      </w:r>
      <w:r>
        <w:rPr>
          <w:rFonts w:hint="default" w:ascii="宋体" w:hAnsi="宋体" w:eastAsia="宋体" w:cs="黑体"/>
          <w:color w:val="000000"/>
          <w:sz w:val="24"/>
          <w:highlight w:val="none"/>
          <w:lang w:val="en-US"/>
        </w:rPr>
        <w:t>合同</w:t>
      </w:r>
      <w:r>
        <w:rPr>
          <w:rFonts w:hint="eastAsia" w:ascii="宋体" w:hAnsi="宋体" w:eastAsia="宋体" w:cs="黑体"/>
          <w:color w:val="000000"/>
          <w:sz w:val="24"/>
          <w:highlight w:val="none"/>
          <w:lang w:val="en-US" w:eastAsia="zh-CN"/>
        </w:rPr>
        <w:t>销售文件</w:t>
      </w:r>
      <w:r>
        <w:rPr>
          <w:rFonts w:hint="eastAsia" w:ascii="宋体" w:hAnsi="宋体" w:eastAsia="宋体" w:cs="黑体"/>
          <w:color w:val="000000"/>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color w:val="000000"/>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highlight w:val="none"/>
          <w:lang w:val="en-US" w:eastAsia="zh-CN"/>
        </w:rPr>
      </w:pPr>
    </w:p>
    <w:p>
      <w:pPr>
        <w:widowControl/>
        <w:spacing w:line="360" w:lineRule="auto"/>
        <w:jc w:val="right"/>
        <w:rPr>
          <w:rFonts w:hint="eastAsia" w:ascii="宋体" w:hAnsi="宋体" w:eastAsia="宋体" w:cs="黑体"/>
          <w:b w:val="0"/>
          <w:bCs w:val="0"/>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杭银理财有限责任公司</w:t>
      </w:r>
    </w:p>
    <w:p>
      <w:pPr>
        <w:rPr>
          <w:rFonts w:hint="eastAsia"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br w:type="page"/>
      </w:r>
    </w:p>
    <w:p>
      <w:pPr>
        <w:rPr>
          <w:rFonts w:hint="default" w:ascii="宋体" w:hAnsi="宋体" w:eastAsia="宋体" w:cs="黑体"/>
          <w:b w:val="0"/>
          <w:bCs w:val="0"/>
          <w:color w:val="000000"/>
          <w:sz w:val="24"/>
          <w:szCs w:val="24"/>
          <w:highlight w:val="none"/>
          <w:lang w:val="en-US" w:eastAsia="zh-CN"/>
        </w:rPr>
      </w:pPr>
      <w:r>
        <w:rPr>
          <w:rFonts w:hint="eastAsia" w:ascii="宋体" w:hAnsi="宋体" w:eastAsia="宋体" w:cs="黑体"/>
          <w:b w:val="0"/>
          <w:bCs w:val="0"/>
          <w:color w:val="000000"/>
          <w:sz w:val="24"/>
          <w:szCs w:val="24"/>
          <w:highlight w:val="none"/>
          <w:lang w:val="en-US" w:eastAsia="zh-CN"/>
        </w:rPr>
        <w:t>本页为</w:t>
      </w:r>
      <w:r>
        <w:rPr>
          <w:rFonts w:hint="eastAsia" w:ascii="宋体" w:hAnsi="宋体" w:eastAsia="宋体" w:cs="黑体"/>
          <w:b w:val="0"/>
          <w:bCs w:val="0"/>
          <w:color w:val="000000"/>
          <w:sz w:val="24"/>
          <w:szCs w:val="24"/>
          <w:highlight w:val="none"/>
        </w:rPr>
        <w:t>纸质</w:t>
      </w:r>
      <w:r>
        <w:rPr>
          <w:rFonts w:hint="eastAsia" w:ascii="宋体" w:hAnsi="宋体" w:eastAsia="宋体" w:cs="黑体"/>
          <w:b w:val="0"/>
          <w:bCs w:val="0"/>
          <w:color w:val="00000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color w:val="00000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r>
        <w:rPr>
          <w:rFonts w:hint="eastAsia" w:ascii="宋体" w:hAnsi="宋体" w:eastAsia="宋体" w:cs="黑体"/>
          <w:b/>
          <w:bCs/>
          <w:color w:val="000000"/>
          <w:sz w:val="24"/>
          <w:highlight w:val="none"/>
        </w:rPr>
        <w:t>投资者</w:t>
      </w:r>
      <w:r>
        <w:rPr>
          <w:rFonts w:hint="eastAsia" w:ascii="宋体" w:hAnsi="宋体" w:eastAsia="宋体" w:cs="黑体"/>
          <w:b/>
          <w:bCs/>
          <w:color w:val="000000"/>
          <w:sz w:val="24"/>
          <w:highlight w:val="none"/>
          <w:lang w:eastAsia="zh-CN"/>
        </w:rPr>
        <w:t>（</w:t>
      </w:r>
      <w:r>
        <w:rPr>
          <w:rFonts w:hint="eastAsia" w:ascii="宋体" w:hAnsi="宋体" w:eastAsia="宋体" w:cs="黑体"/>
          <w:b/>
          <w:bCs/>
          <w:color w:val="000000"/>
          <w:sz w:val="24"/>
          <w:highlight w:val="none"/>
        </w:rPr>
        <w:t>签字</w:t>
      </w:r>
      <w:r>
        <w:rPr>
          <w:rFonts w:hint="eastAsia" w:ascii="宋体" w:hAnsi="宋体" w:eastAsia="宋体" w:cs="黑体"/>
          <w:b/>
          <w:bCs/>
          <w:color w:val="000000"/>
          <w:sz w:val="24"/>
          <w:highlight w:val="none"/>
          <w:lang w:eastAsia="zh-CN"/>
        </w:rPr>
        <w:t>或签章）</w:t>
      </w:r>
      <w:r>
        <w:rPr>
          <w:rFonts w:hint="eastAsia" w:ascii="宋体" w:hAnsi="宋体" w:eastAsia="宋体" w:cs="黑体"/>
          <w:b/>
          <w:bCs/>
          <w:color w:val="000000"/>
          <w:sz w:val="24"/>
          <w:szCs w:val="24"/>
          <w:highlight w:val="none"/>
          <w:lang w:eastAsia="zh-CN"/>
        </w:rPr>
        <w:t>：</w:t>
      </w:r>
    </w:p>
    <w:p>
      <w:pPr>
        <w:spacing w:before="156" w:beforeLines="50" w:after="156" w:afterLines="50" w:line="360" w:lineRule="auto"/>
        <w:ind w:firstLine="4800" w:firstLineChars="2000"/>
        <w:jc w:val="right"/>
        <w:rPr>
          <w:rFonts w:hint="eastAsia" w:ascii="Arial" w:hAnsi="Arial"/>
          <w:color w:val="000000"/>
          <w:sz w:val="24"/>
          <w:highlight w:val="none"/>
        </w:rPr>
      </w:pPr>
      <w:r>
        <w:rPr>
          <w:rFonts w:hint="eastAsia" w:ascii="Arial" w:hAnsi="Arial"/>
          <w:color w:val="000000"/>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r>
        <w:rPr>
          <w:rFonts w:hint="eastAsia" w:ascii="宋体" w:hAnsi="宋体" w:eastAsia="宋体" w:cs="黑体"/>
          <w:b/>
          <w:bCs/>
          <w:color w:val="000000"/>
          <w:sz w:val="24"/>
          <w:highlight w:val="none"/>
        </w:rPr>
        <w:t>销售机构签章</w:t>
      </w:r>
      <w:r>
        <w:rPr>
          <w:rFonts w:hint="eastAsia" w:ascii="宋体" w:hAnsi="宋体" w:eastAsia="宋体" w:cs="黑体"/>
          <w:b/>
          <w:bCs/>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color w:val="000000"/>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color w:val="000000"/>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E497230"/>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BA19A7"/>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8E196F"/>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33877</Words>
  <Characters>34745</Characters>
  <Lines>1</Lines>
  <Paragraphs>1</Paragraphs>
  <TotalTime>0</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2026-07-02T06:29:14Z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