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幸福99丰裕固收（稳利低波颐养款）386天26109期理财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幸福99丰裕固收（稳利低波颐养款）386天26109期理财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幸福99丰裕固收（稳利低波颐养款）386天26109期理财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幸福99丰裕固收（稳利低波颐养款）386天26109期理财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幸福99丰裕固收（稳利低波颐养款）386天26109期理财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幸福99丰裕固收（稳利低波颐养款）386天26109期理财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Z7002226000251</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幸福99丰裕固收（稳利低波颐养款）386天26109期理财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幸福99丰裕固收（稳利低波颐养款）386天26109期理财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丰裕固收26109期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FYG26109</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Z7002226000251</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A份额（销售代码〖FYG26109A〗）：普通个人投资者和机构客户。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B份额（销售代码〖FYG26109B〗）：普通个人投资者和机构客户。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C份额（销售代码〖FYG26109C〗）：普通个人投资者和机构客户。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D份额（银发专属）（销售代码〖FYG26109D〗）：普通个人投资者和机构客户。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E份额（幸福金桂）（销售代码〖FYG26109E〗）：普通个人投资者和机构客户。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F份额吉行乡村振兴（销售代码〖FYG26109F〗）：普通个人投资者和机构客户。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G份额（销售代码〖FYG26109G〗）：普通个人投资者和机构客户。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H份额（销售代码〖FYG26109H〗）：普通个人投资者和机构客户。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J份额（鑫福款）（销售代码〖FYG26109J〗）：普通个人投资者和机构客户。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W份额惠享款（销售代码〖FYG26109W〗）：普通个人投资者和机构客户。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Z份额惠享款（销售代码〖FYG26109Z〗）：普通个人投资者和机构客户。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本理财计划〖A份额〗业绩比较基准为〖1.95%〗（年化）。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本理财计划〖B份额〗业绩比较基准为〖2.05%〗（年化）。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本理财计划〖C份额〗业绩比较基准为〖2.15%〗（年化）。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本理财计划〖D份额〗业绩比较基准为〖2.10%〗（年化）。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本理财计划〖E份额〗业绩比较基准为〖2.05%〗（年化）。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本理财计划〖F份额〗业绩比较基准为〖2.15%〗（年化）。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本理财计划〖G份额〗业绩比较基准为〖1.85%〗（年化）。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本理财计划〖H份额〗业绩比较基准为〖1.95%〗（年化）。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本理财计划〖J份额〗业绩比较基准为〖2.17%〗（年化）。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本理财计划〖W份额〗业绩比较基准为〖1.95%〗（年化）。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本理财计划〖Z份额〗业绩比较基准为〖2.15%〗（年化）。</w:t>
            </w:r>
          </w:p>
          <w:p>
            <w:pPr>
              <w:keepNext w:val="0"/>
              <w:keepLines w:val="0"/>
              <w:widowControl w:val="0"/>
              <w:suppressLineNumbers w:val="0"/>
              <w:spacing w:before="0" w:beforeAutospacing="0" w:after="0" w:afterAutospacing="0" w:line="360" w:lineRule="auto"/>
              <w:ind w:left="0" w:right="0"/>
              <w:jc w:val="both"/>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〖F份额〗收取年化〖0.10%〗的销售服务费, 〖G份额〗收取年化〖0.40%〗的销售服务费, 〖H份额〗收取年化〖0.30%〗的销售服务费, 〖J份额〗收取年化〖0.10%〗的销售服务费, 〖W份额〗收取年化〖0.30%〗的销售服务费,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〖A份额〗收取年化〖0.05%〗的固定管理费, 〖B份额〗收取年化〖0.05%〗的固定管理费, 〖C份额〗收取年化〖0.05%〗的固定管理费, 〖D份额〗收取年化〖0.05%〗的固定管理费, 〖E份额〗收取年化〖0.05%〗的固定管理费, 〖F份额〗收取年化〖0.05%〗的固定管理费, 〖G份额〗收取年化〖0.05%〗的固定管理费, 〖H份额〗收取年化〖0.05%〗的固定管理费, 〖J份额〗收取年化〖0.03%〗的固定管理费, 〖W份额〗收取年化〖0.05%〗的固定管理费, 〖Z份额〗收取年化〖0.05%〗的固定管理费。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管理人根据理财计划投资情况计算浮动管理费，本理财计划份额到期日（提前终止日）的折合年化收益率超过该份额〖业绩比较基准〗的部分，管理人提取〖80%〗作为浮动管理费。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本理财计划主要投资于符合监管要求的各类资产：</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1. 固定收益类资产：包括但不限于各类债券、存款、货币市场金融工具、债券基金、质押式及买断式回购、非标准化债权类资产，其他符合监管要求的固定收益类资产及资产管理产品。</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投资比例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本理财计划各投资资产占</w:t>
      </w:r>
      <w:r>
        <w:rPr>
          <w:rFonts w:hint="eastAsia" w:ascii="宋体" w:hAnsi="宋体" w:cs="宋体"/>
          <w:bCs/>
          <w:color w:val="000000"/>
          <w:sz w:val="24"/>
          <w:highlight w:val="none"/>
          <w:lang w:eastAsia="zh-CN"/>
        </w:rPr>
        <w:t>总</w:t>
      </w:r>
      <w:r>
        <w:rPr>
          <w:rFonts w:hint="eastAsia" w:ascii="宋体" w:hAnsi="宋体" w:cs="宋体"/>
          <w:bCs/>
          <w:color w:val="000000"/>
          <w:sz w:val="24"/>
          <w:highlight w:val="none"/>
        </w:rPr>
        <w:t>资产的配置比例如下：</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jc w:val="center"/>
              <w:textAlignment w:val="center"/>
            </w:pPr>
          </w:p>
        </w:tc>
        <w:tc>
          <w:tcPr>
            <w:tcW w:w="4500" w:type="dxa"/>
            <w:vAlign w:val="center"/>
          </w:tcPr>
          <w:p>
            <w:pPr>
              <w:jc w:val="center"/>
              <w:textAlignment w:val="center"/>
            </w:pPr>
            <w:r>
              <w:rPr>
                <w:rFonts w:ascii="宋体" w:hAnsi="宋体" w:eastAsia="宋体" w:cs="宋体"/>
              </w:rPr>
              <w:t>投资资产</w:t>
            </w:r>
          </w:p>
        </w:tc>
        <w:tc>
          <w:tcPr>
            <w:tcW w:w="2000" w:type="dxa"/>
            <w:vAlign w:val="center"/>
          </w:tcPr>
          <w:p>
            <w:pPr>
              <w:jc w:val="center"/>
              <w:textAlignment w:val="center"/>
            </w:pPr>
            <w:r>
              <w:rPr>
                <w:rFonts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jc w:val="center"/>
              <w:textAlignment w:val="center"/>
            </w:pPr>
            <w:r>
              <w:rPr>
                <w:rFonts w:ascii="宋体" w:hAnsi="宋体" w:eastAsia="宋体" w:cs="宋体"/>
              </w:rPr>
              <w:t>大类资产类型</w:t>
            </w:r>
          </w:p>
        </w:tc>
        <w:tc>
          <w:tcPr>
            <w:tcW w:w="4500" w:type="dxa"/>
            <w:vAlign w:val="center"/>
          </w:tcPr>
          <w:p>
            <w:pPr>
              <w:jc w:val="center"/>
              <w:textAlignment w:val="center"/>
            </w:pPr>
            <w:r>
              <w:rPr>
                <w:rFonts w:ascii="宋体" w:hAnsi="宋体" w:eastAsia="宋体" w:cs="宋体"/>
              </w:rPr>
              <w:t>固定收益类资产</w:t>
            </w:r>
          </w:p>
        </w:tc>
        <w:tc>
          <w:tcPr>
            <w:tcW w:w="2000" w:type="dxa"/>
            <w:vAlign w:val="center"/>
          </w:tcPr>
          <w:p>
            <w:pPr>
              <w:jc w:val="center"/>
              <w:textAlignment w:val="center"/>
            </w:pPr>
            <w:r>
              <w:rPr>
                <w:rFonts w:ascii="宋体" w:hAnsi="宋体"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jc w:val="center"/>
              <w:textAlignment w:val="center"/>
            </w:pPr>
            <w:r>
              <w:rPr>
                <w:rFonts w:ascii="宋体" w:hAnsi="宋体" w:eastAsia="宋体" w:cs="宋体"/>
              </w:rPr>
              <w:t>特殊资产类型</w:t>
            </w:r>
          </w:p>
        </w:tc>
        <w:tc>
          <w:tcPr>
            <w:tcW w:w="4500" w:type="dxa"/>
            <w:vAlign w:val="center"/>
          </w:tcPr>
          <w:p>
            <w:pPr>
              <w:jc w:val="center"/>
              <w:textAlignment w:val="center"/>
            </w:pPr>
            <w:r>
              <w:rPr>
                <w:rFonts w:ascii="宋体" w:hAnsi="宋体" w:eastAsia="宋体" w:cs="宋体"/>
              </w:rPr>
              <w:t>非标准化债权类资产</w:t>
            </w:r>
          </w:p>
        </w:tc>
        <w:tc>
          <w:tcPr>
            <w:tcW w:w="2000" w:type="dxa"/>
            <w:vAlign w:val="center"/>
          </w:tcPr>
          <w:p>
            <w:pPr>
              <w:jc w:val="center"/>
              <w:textAlignment w:val="center"/>
            </w:pPr>
            <w:r>
              <w:rPr>
                <w:rFonts w:ascii="宋体" w:hAnsi="宋体" w:eastAsia="宋体" w:cs="宋体"/>
              </w:rPr>
              <w:t>0%-50%</w:t>
            </w:r>
          </w:p>
        </w:tc>
      </w:tr>
    </w:tbl>
    <w:p>
      <w:pPr>
        <w:pStyle w:val="17"/>
        <w:numPr>
          <w:ilvl w:val="0"/>
          <w:numId w:val="21"/>
        </w:numPr>
        <w:adjustRightInd/>
        <w:spacing w:line="360" w:lineRule="auto"/>
        <w:ind w:firstLine="456" w:firstLineChars="190"/>
        <w:rPr>
          <w:rFonts w:hint="eastAsia" w:ascii="宋体" w:hAnsi="宋体" w:cs="宋体"/>
          <w:bCs/>
          <w:color w:val="000000"/>
          <w:kern w:val="2"/>
          <w:highlight w:val="none"/>
        </w:rPr>
      </w:pPr>
      <w:r>
        <w:rPr>
          <w:rFonts w:hint="eastAsia" w:ascii="宋体" w:hAnsi="宋体" w:cs="宋体"/>
          <w:bCs/>
          <w:color w:val="000000"/>
          <w:kern w:val="2"/>
          <w:highlight w:val="none"/>
          <w:lang w:val="en-US" w:eastAsia="zh-CN"/>
        </w:rPr>
        <w:t>本理财计划特殊资产类型为基于大类资产类型项下的进一步细化分类，其配置比例不得超过大类资产配置比例。</w:t>
      </w:r>
    </w:p>
    <w:p>
      <w:pPr>
        <w:pStyle w:val="17"/>
        <w:numPr>
          <w:ilvl w:val="0"/>
          <w:numId w:val="21"/>
        </w:numPr>
        <w:adjustRightInd/>
        <w:spacing w:line="360" w:lineRule="auto"/>
        <w:ind w:firstLine="456" w:firstLineChars="190"/>
        <w:rPr>
          <w:rFonts w:hint="eastAsia" w:ascii="宋体" w:hAnsi="宋体" w:cs="宋体"/>
          <w:bCs/>
          <w:color w:val="000000"/>
          <w:kern w:val="2"/>
          <w:highlight w:val="none"/>
        </w:rPr>
      </w:pPr>
      <w:r>
        <w:rPr>
          <w:rFonts w:hint="eastAsia" w:ascii="宋体" w:hAnsi="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cs="宋体"/>
          <w:bCs/>
          <w:color w:val="000000"/>
          <w:kern w:val="2"/>
          <w:highlight w:val="none"/>
        </w:rPr>
      </w:pPr>
      <w:r>
        <w:rPr>
          <w:rFonts w:hint="eastAsia" w:ascii="宋体" w:hAnsi="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cs="宋体"/>
          <w:bCs/>
          <w:color w:val="000000"/>
          <w:kern w:val="2"/>
          <w:highlight w:val="none"/>
        </w:rPr>
      </w:pPr>
      <w:r>
        <w:rPr>
          <w:rFonts w:hint="eastAsia" w:ascii="宋体" w:hAnsi="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6"/>
        <w:keepNext w:val="0"/>
        <w:keepLines w:val="0"/>
        <w:widowControl w:val="0"/>
        <w:numPr>
          <w:ilvl w:val="0"/>
          <w:numId w:val="22"/>
        </w:numPr>
        <w:suppressLineNumbers w:val="0"/>
        <w:autoSpaceDE w:val="0"/>
        <w:autoSpaceDN w:val="0"/>
        <w:adjustRightInd w:val="0"/>
        <w:spacing w:before="0" w:beforeAutospacing="0" w:after="0" w:afterAutospacing="0" w:line="360" w:lineRule="auto"/>
        <w:ind w:left="0" w:right="0" w:firstLine="4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资产配置策略</w:t>
      </w:r>
    </w:p>
    <w:p>
      <w:pPr>
        <w:pStyle w:val="6"/>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kern w:val="2"/>
          <w:sz w:val="24"/>
          <w:szCs w:val="24"/>
          <w:lang w:val="en-US" w:eastAsia="zh-CN" w:bidi="ar"/>
        </w:rPr>
        <w:t xml:space="preserve">    将通过对宏观经济形势、各项国家政策、及证券市场环境的分析来判断经济周期目前的位置，主动判断市场时机进行资产配置，确定在债券、非标准化债权类资产、权益类资产等各类资产上的投资比例。</w:t>
      </w:r>
    </w:p>
    <w:p>
      <w:pPr>
        <w:keepNext w:val="0"/>
        <w:keepLines w:val="0"/>
        <w:widowControl w:val="0"/>
        <w:numPr>
          <w:ilvl w:val="0"/>
          <w:numId w:val="23"/>
        </w:numPr>
        <w:suppressLineNumbers w:val="0"/>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债券投资策略</w:t>
      </w:r>
    </w:p>
    <w:p>
      <w:pPr>
        <w:pStyle w:val="6"/>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
        </w:rPr>
        <w:t>管理人本着稳健投资的理念，在研究债券市场宏观环境和利率走势的基础上，严格评估信用风险，通过久期策略、骑乘策略、杠杆策略和交易策略等，配置固定收益资产及资产管理产品，力争获取稳定收益。</w:t>
      </w:r>
    </w:p>
    <w:p>
      <w:pPr>
        <w:keepNext w:val="0"/>
        <w:keepLines w:val="0"/>
        <w:widowControl w:val="0"/>
        <w:numPr>
          <w:ilvl w:val="0"/>
          <w:numId w:val="23"/>
        </w:numPr>
        <w:suppressLineNumbers w:val="0"/>
        <w:spacing w:before="0" w:beforeAutospacing="0" w:after="0" w:afterAutospacing="0" w:line="360" w:lineRule="auto"/>
        <w:ind w:left="0" w:right="0" w:firstLine="403"/>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北京农村商业银行股份有限公司</w:t>
            </w:r>
          </w:p>
        </w:tc>
        <w:tc>
          <w:tcPr>
            <w:tcW w:w="1200" w:type="dxa"/>
            <w:vAlign w:val="center"/>
          </w:tcPr>
          <w:p>
            <w:pPr>
              <w:jc w:val="left"/>
            </w:pPr>
            <w:r>
              <w:t>住所</w:t>
            </w:r>
          </w:p>
        </w:tc>
        <w:tc>
          <w:tcPr>
            <w:tcW w:w="3800" w:type="dxa"/>
            <w:vAlign w:val="center"/>
          </w:tcPr>
          <w:p>
            <w:pPr>
              <w:jc w:val="center"/>
            </w:pPr>
            <w:r>
              <w:t>北京市西城区月坛南街1号院2号楼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台州银行股份有限公司</w:t>
            </w:r>
          </w:p>
        </w:tc>
        <w:tc>
          <w:tcPr>
            <w:tcW w:w="1200" w:type="dxa"/>
            <w:vAlign w:val="center"/>
          </w:tcPr>
          <w:p>
            <w:pPr>
              <w:jc w:val="left"/>
            </w:pPr>
            <w:r>
              <w:t>住所</w:t>
            </w:r>
          </w:p>
        </w:tc>
        <w:tc>
          <w:tcPr>
            <w:tcW w:w="3800" w:type="dxa"/>
            <w:vAlign w:val="center"/>
          </w:tcPr>
          <w:p>
            <w:pPr>
              <w:jc w:val="center"/>
            </w:pPr>
            <w: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bookmarkStart w:id="0" w:name="_GoBack"/>
            <w:r>
              <w:t>汉口</w:t>
            </w:r>
            <w:bookmarkEnd w:id="0"/>
            <w:r>
              <w:t>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江苏宜兴农村商业银行股份有限公司</w:t>
            </w:r>
          </w:p>
        </w:tc>
        <w:tc>
          <w:tcPr>
            <w:tcW w:w="1200" w:type="dxa"/>
            <w:vAlign w:val="center"/>
          </w:tcPr>
          <w:p>
            <w:pPr>
              <w:jc w:val="left"/>
            </w:pPr>
            <w:r>
              <w:t>住所</w:t>
            </w:r>
          </w:p>
        </w:tc>
        <w:tc>
          <w:tcPr>
            <w:tcW w:w="3800" w:type="dxa"/>
            <w:vAlign w:val="center"/>
          </w:tcPr>
          <w:p>
            <w:pPr>
              <w:jc w:val="center"/>
            </w:pPr>
            <w:r>
              <w:t>江苏宜兴市宜城街道解放东路579号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江苏扬中农村商业银行股份有限公司</w:t>
            </w:r>
          </w:p>
        </w:tc>
        <w:tc>
          <w:tcPr>
            <w:tcW w:w="1200" w:type="dxa"/>
            <w:vAlign w:val="center"/>
          </w:tcPr>
          <w:p>
            <w:pPr>
              <w:jc w:val="left"/>
            </w:pPr>
            <w:r>
              <w:t>住所</w:t>
            </w:r>
          </w:p>
        </w:tc>
        <w:tc>
          <w:tcPr>
            <w:tcW w:w="3800" w:type="dxa"/>
            <w:vAlign w:val="center"/>
          </w:tcPr>
          <w:p>
            <w:pPr>
              <w:jc w:val="center"/>
            </w:pPr>
            <w:r>
              <w:t>江苏省扬中市扬子西路79号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江苏沛县农村商业银行股份有限公司</w:t>
            </w:r>
          </w:p>
        </w:tc>
        <w:tc>
          <w:tcPr>
            <w:tcW w:w="1200" w:type="dxa"/>
            <w:vAlign w:val="center"/>
          </w:tcPr>
          <w:p>
            <w:pPr>
              <w:jc w:val="left"/>
            </w:pPr>
            <w:r>
              <w:t>住所</w:t>
            </w:r>
          </w:p>
        </w:tc>
        <w:tc>
          <w:tcPr>
            <w:tcW w:w="3800" w:type="dxa"/>
            <w:vAlign w:val="center"/>
          </w:tcPr>
          <w:p>
            <w:pPr>
              <w:jc w:val="center"/>
            </w:pPr>
            <w:r>
              <w:t>江苏省沛县汤沐路中段11号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J份额〗和销售服务费于产品成立日一次性收取的〖W份额〗、〖Z份额〗。A份额的年化销售服务费率为〖0.30%〗, B份额的年化销售服务费率为〖0.20%〗, C份额的年化销售服务费率为〖0.10%〗, D份额的年化销售服务费率为〖0.15%〗, E份额的年化销售服务费率为〖0.20%〗, F份额的年化销售服务费率为〖0.10%〗, G份额的年化销售服务费率为〖0.40%〗, H份额的年化销售服务费率为〖0.30%〗, J份额的年化销售服务费率为〖0.10%〗, W份额的年化销售服务费率为〖0.30%〗,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H2＝E2×〖0.30%〗×P÷365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H2为〖W份额〗应计提的销售服务费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E2为〖W份额〗成立日产品份额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kern w:val="2"/>
          <w:sz w:val="24"/>
          <w:szCs w:val="24"/>
          <w:highlight w:val="none"/>
          <w:lang w:val="en-US" w:eastAsia="zh-CN" w:bidi="ar-SA"/>
        </w:rPr>
        <w:t>理财计划财产</w:t>
      </w:r>
      <w:r>
        <w:rPr>
          <w:rFonts w:hint="eastAsia" w:ascii="宋体" w:hAnsi="宋体" w:eastAsia="宋体" w:cs="宋体"/>
          <w:bCs/>
          <w:color w:val="000000"/>
          <w:kern w:val="2"/>
          <w:sz w:val="24"/>
          <w:szCs w:val="24"/>
          <w:highlight w:val="none"/>
          <w:lang w:val="en-US" w:eastAsia="zh-CN" w:bidi="ar-SA"/>
        </w:rPr>
        <w:t>A份额的年化固定管理费率为〖0.05%〗, B份额的年化固定管理费率为〖0.05%〗, C份额的年化固定管理费率为〖0.05%〗, D份额的年化固定管理费率为〖0.05%〗, E份额的年化固定管理费率为〖0.05%〗, F份额的年化固定管理费率为〖0.05%〗, G份额的年化固定管理费率为〖0.05%〗, H份额的年化固定管理费率为〖0.05%〗, J份额的年化固定管理费率为〖0.03%〗, W份额的年化固定管理费率为〖0.05%〗, Z份额的年化固定管理费率为〖0.05%〗,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本理财计划到期日（提前终止日）的折合年化收益率超过业绩比较基准的部分管理人收取〖80%〗作为浮动管理费。本理财计划到期日（提前终止日）的折合年化收益率若小于或等于业绩比较基准则不收取浮动管理费。浮动管理费原则上按估值日计提，到期收取。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4"/>
          <w:szCs w:val="24"/>
          <w:lang w:val="en-US" w:eastAsia="zh-CN" w:bidi="ar"/>
        </w:rPr>
        <w:t>×N÷365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H为产品到期（提前终止）时应收取浮动管理费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NAV0为产品成立日单位净值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NAV1为产品到期日未扣除浮动管理费前的单位净值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R为浮动管理费计提基数</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N为产品实际理财天数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T为产品运作期间每单位份额的实际分红金额合计（如有）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扣除托管费、固定管理费、销售服务费（如有）后，投资收益率超过浮动管理费计提基数。</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理财期限为362天。假设管理人提取超过4.00%的80%作为浮动管理费，即浮动管理费计提基数为4.00%。到期时扣除托管费、固定管理费、销售服务费（如有）后，如理财计划未扣除浮动管理费前的净值为1.0415，此时，(1.0415/1.0000-1)×365/362=4.18%&gt;4.00%，即投资收益超过4.00%，则投资管理人对超过4.00%部分收益收取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100,000.00×1.0000×[(1.0415/1.0000-1)×365/362-4.00%]×80%×362÷365=146.30（元）</w:t>
      </w:r>
    </w:p>
    <w:p>
      <w:pPr>
        <w:keepNext w:val="0"/>
        <w:keepLines w:val="0"/>
        <w:widowControl w:val="0"/>
        <w:suppressLineNumbers w:val="0"/>
        <w:spacing w:before="0" w:beforeAutospacing="0" w:after="0" w:afterAutospacing="0" w:line="360" w:lineRule="auto"/>
        <w:ind w:left="400" w:leftChars="0" w:right="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bCs/>
          <w:color w:val="000000"/>
          <w:kern w:val="2"/>
          <w:sz w:val="24"/>
          <w:szCs w:val="24"/>
        </w:rPr>
      </w:pPr>
      <w:r>
        <w:rPr>
          <w:rFonts w:hint="eastAsia" w:ascii="宋体" w:hAnsi="宋体" w:eastAsia="宋体" w:cs="宋体"/>
          <w:color w:val="000000"/>
          <w:kern w:val="2"/>
          <w:sz w:val="24"/>
          <w:szCs w:val="24"/>
          <w:lang w:val="en-US" w:eastAsia="zh-CN" w:bidi="ar"/>
        </w:rPr>
        <w:t>100,000.00×（1.0415-1.0000）-146.30=4,003.70（元），理财计划到期时，投资者获得的实际收益相当于达到年化收益率水平为：4003.70/100,000.00×365/362=4.04%。</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扣除托管费、固定管理费、销售服务费（如有）后，投资收益率未达到浮动管理费计提基数。</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理财期限为362天。假设管理人提取超过4.00%的80%作为浮动管理费，即浮动管理费计提基数为4.00%。到期时扣除托管费、固定管理费、销售服务费（如有）后，如理财计划未扣除浮动管理费前的净值为1.0362，此时，(1.0362/1.0000-1)×365/362=3.65%&lt;4.00%，即投资收益未达到4.00%，则投资管理人不收取浮动管理费，投资者最终收益为：100,000.00×(1.0362-1.0000）=3,620.00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理财期限为362天。假设管理人提取超过4.00%的80%作为浮动管理费，即浮动管理费计提基数为4.00%。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fldChar w:fldCharType="begin"/>
      </w:r>
      <w:r>
        <w:instrText xml:space="preserve"> HYPERLINK "http://www.hzbankwealth.cn" </w:instrText>
      </w:r>
      <w: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jc w:val="both"/>
        <w:outlineLvl w:val="9"/>
        <w:rPr>
          <w:rFonts w:hint="eastAsia" w:ascii="Calibri" w:hAnsi="Calibri" w:eastAsia="宋体" w:cs="黑体"/>
          <w:b/>
          <w:bCs w:val="0"/>
          <w:color w:val="000000"/>
          <w:sz w:val="44"/>
          <w:szCs w:val="44"/>
          <w:highlight w:val="none"/>
          <w:lang w:val="en-US" w:eastAsia="zh-CN"/>
        </w:rPr>
      </w:pPr>
    </w:p>
    <w:p>
      <w:pPr>
        <w:jc w:val="center"/>
        <w:outlineLvl w:val="9"/>
        <w:rPr>
          <w:rFonts w:hint="eastAsia" w:ascii="Calibri" w:hAnsi="Calibri" w:eastAsia="宋体" w:cs="黑体"/>
          <w:b/>
          <w:bCs w:val="0"/>
          <w:color w:val="00000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5">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6">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7">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8">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9">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0">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1">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2">
    <w:nsid w:val="AC40BB97"/>
    <w:multiLevelType w:val="singleLevel"/>
    <w:tmpl w:val="AC40BB97"/>
    <w:lvl w:ilvl="0" w:tentative="0">
      <w:start w:val="1"/>
      <w:numFmt w:val="chineseCounting"/>
      <w:suff w:val="nothing"/>
      <w:lvlText w:val="%1、"/>
      <w:lvlJc w:val="left"/>
      <w:rPr>
        <w:rFonts w:hint="eastAsia"/>
      </w:rPr>
    </w:lvl>
  </w:abstractNum>
  <w:abstractNum w:abstractNumId="13">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4">
    <w:nsid w:val="B08226EF"/>
    <w:multiLevelType w:val="singleLevel"/>
    <w:tmpl w:val="B08226EF"/>
    <w:lvl w:ilvl="0" w:tentative="0">
      <w:start w:val="1"/>
      <w:numFmt w:val="chineseCounting"/>
      <w:suff w:val="space"/>
      <w:lvlText w:val="第%1条"/>
      <w:lvlJc w:val="left"/>
      <w:rPr>
        <w:rFonts w:hint="eastAsia"/>
      </w:rPr>
    </w:lvl>
  </w:abstractNum>
  <w:abstractNum w:abstractNumId="15">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6">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7">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8">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9">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0">
    <w:nsid w:val="D8D75090"/>
    <w:multiLevelType w:val="singleLevel"/>
    <w:tmpl w:val="D8D75090"/>
    <w:lvl w:ilvl="0" w:tentative="0">
      <w:start w:val="1"/>
      <w:numFmt w:val="decimal"/>
      <w:suff w:val="nothing"/>
      <w:lvlText w:val="（%1）"/>
      <w:lvlJc w:val="left"/>
      <w:rPr>
        <w:rFonts w:hint="default"/>
        <w:b w:val="0"/>
        <w:bCs w:val="0"/>
      </w:rPr>
    </w:lvl>
  </w:abstractNum>
  <w:abstractNum w:abstractNumId="21">
    <w:nsid w:val="DD2251DF"/>
    <w:multiLevelType w:val="singleLevel"/>
    <w:tmpl w:val="DD2251DF"/>
    <w:lvl w:ilvl="0" w:tentative="0">
      <w:start w:val="1"/>
      <w:numFmt w:val="decimal"/>
      <w:suff w:val="nothing"/>
      <w:lvlText w:val="（%1）"/>
      <w:lvlJc w:val="left"/>
      <w:rPr>
        <w:rFonts w:hint="default"/>
        <w:b w:val="0"/>
        <w:bCs w:val="0"/>
      </w:rPr>
    </w:lvl>
  </w:abstractNum>
  <w:abstractNum w:abstractNumId="22">
    <w:nsid w:val="DFCEE5DF"/>
    <w:multiLevelType w:val="multilevel"/>
    <w:tmpl w:val="DFCEE5DF"/>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3">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4">
    <w:nsid w:val="EDFE1422"/>
    <w:multiLevelType w:val="multilevel"/>
    <w:tmpl w:val="EDFE1422"/>
    <w:lvl w:ilvl="0" w:tentative="0">
      <w:start w:val="1"/>
      <w:numFmt w:val="decimal"/>
      <w:suff w:val="nothing"/>
      <w:lvlText w:val="%1．"/>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F36F6BE"/>
    <w:multiLevelType w:val="multilevel"/>
    <w:tmpl w:val="FF36F6BE"/>
    <w:lvl w:ilvl="0" w:tentative="0">
      <w:start w:val="2"/>
      <w:numFmt w:val="decimal"/>
      <w:suff w:val="nothing"/>
      <w:lvlText w:val="%1．"/>
      <w:lvlJc w:val="left"/>
      <w:pPr>
        <w:ind w:left="0" w:firstLine="403"/>
      </w:pPr>
      <w:rPr>
        <w:rFonts w:hint="eastAsia" w:ascii="宋体" w:hAnsi="宋体" w:eastAsia="宋体" w:cs="宋体"/>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2"/>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18"/>
  </w:num>
  <w:num w:numId="16">
    <w:abstractNumId w:val="9"/>
  </w:num>
  <w:num w:numId="17">
    <w:abstractNumId w:val="15"/>
  </w:num>
  <w:num w:numId="18">
    <w:abstractNumId w:val="6"/>
  </w:num>
  <w:num w:numId="19">
    <w:abstractNumId w:val="7"/>
  </w:num>
  <w:num w:numId="20">
    <w:abstractNumId w:val="5"/>
  </w:num>
  <w:num w:numId="21">
    <w:abstractNumId w:val="70"/>
  </w:num>
  <w:num w:numId="22">
    <w:abstractNumId w:val="24"/>
  </w:num>
  <w:num w:numId="23">
    <w:abstractNumId w:val="29"/>
  </w:num>
  <w:num w:numId="24">
    <w:abstractNumId w:val="43"/>
  </w:num>
  <w:num w:numId="25">
    <w:abstractNumId w:val="27"/>
  </w:num>
  <w:num w:numId="26">
    <w:abstractNumId w:val="17"/>
  </w:num>
  <w:num w:numId="27">
    <w:abstractNumId w:val="38"/>
  </w:num>
  <w:num w:numId="28">
    <w:abstractNumId w:val="19"/>
  </w:num>
  <w:num w:numId="29">
    <w:abstractNumId w:val="4"/>
  </w:num>
  <w:num w:numId="30">
    <w:abstractNumId w:val="46"/>
  </w:num>
  <w:num w:numId="31">
    <w:abstractNumId w:val="3"/>
  </w:num>
  <w:num w:numId="32">
    <w:abstractNumId w:val="31"/>
  </w:num>
  <w:num w:numId="33">
    <w:abstractNumId w:val="36"/>
  </w:num>
  <w:num w:numId="34">
    <w:abstractNumId w:val="71"/>
  </w:num>
  <w:num w:numId="35">
    <w:abstractNumId w:val="30"/>
  </w:num>
  <w:num w:numId="36">
    <w:abstractNumId w:val="21"/>
  </w:num>
  <w:num w:numId="37">
    <w:abstractNumId w:val="41"/>
  </w:num>
  <w:num w:numId="38">
    <w:abstractNumId w:val="1"/>
  </w:num>
  <w:num w:numId="39">
    <w:abstractNumId w:val="23"/>
  </w:num>
  <w:num w:numId="40">
    <w:abstractNumId w:val="22"/>
  </w:num>
  <w:num w:numId="41">
    <w:abstractNumId w:val="45"/>
  </w:num>
  <w:num w:numId="42">
    <w:abstractNumId w:val="34"/>
  </w:num>
  <w:num w:numId="43">
    <w:abstractNumId w:val="16"/>
  </w:num>
  <w:num w:numId="44">
    <w:abstractNumId w:val="48"/>
  </w:num>
  <w:num w:numId="45">
    <w:abstractNumId w:val="10"/>
  </w:num>
  <w:num w:numId="46">
    <w:abstractNumId w:val="8"/>
  </w:num>
  <w:num w:numId="47">
    <w:abstractNumId w:val="11"/>
  </w:num>
  <w:num w:numId="48">
    <w:abstractNumId w:val="35"/>
  </w:num>
  <w:num w:numId="49">
    <w:abstractNumId w:val="20"/>
  </w:num>
  <w:num w:numId="50">
    <w:abstractNumId w:val="2"/>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4"/>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3"/>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3E76C5"/>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7191B"/>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E34AC5"/>
    <w:rsid w:val="2FFA0F95"/>
    <w:rsid w:val="3086176D"/>
    <w:rsid w:val="31124CF4"/>
    <w:rsid w:val="31A3269E"/>
    <w:rsid w:val="322D08A3"/>
    <w:rsid w:val="32626F15"/>
    <w:rsid w:val="329E36D6"/>
    <w:rsid w:val="34105616"/>
    <w:rsid w:val="3486580A"/>
    <w:rsid w:val="34A35A92"/>
    <w:rsid w:val="34A453A9"/>
    <w:rsid w:val="34EC3C25"/>
    <w:rsid w:val="351A5D92"/>
    <w:rsid w:val="356F861F"/>
    <w:rsid w:val="35AA025C"/>
    <w:rsid w:val="35CA7D73"/>
    <w:rsid w:val="377307FA"/>
    <w:rsid w:val="3B1C12F3"/>
    <w:rsid w:val="3BD53B5C"/>
    <w:rsid w:val="3CC57F13"/>
    <w:rsid w:val="3D4C282D"/>
    <w:rsid w:val="3D970F4E"/>
    <w:rsid w:val="3DDBD071"/>
    <w:rsid w:val="3DE106C6"/>
    <w:rsid w:val="3E540971"/>
    <w:rsid w:val="3E786275"/>
    <w:rsid w:val="3E7B863D"/>
    <w:rsid w:val="3E931F0D"/>
    <w:rsid w:val="3F7E2660"/>
    <w:rsid w:val="3FA31FDD"/>
    <w:rsid w:val="3FBF6D08"/>
    <w:rsid w:val="3FD91FE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4D66C67"/>
    <w:rsid w:val="564564DE"/>
    <w:rsid w:val="568633C7"/>
    <w:rsid w:val="57061882"/>
    <w:rsid w:val="57280BF2"/>
    <w:rsid w:val="57FE8B5E"/>
    <w:rsid w:val="582C3B01"/>
    <w:rsid w:val="582D059F"/>
    <w:rsid w:val="582D396D"/>
    <w:rsid w:val="59083CAE"/>
    <w:rsid w:val="592570E8"/>
    <w:rsid w:val="59435FE6"/>
    <w:rsid w:val="59480030"/>
    <w:rsid w:val="59A3360E"/>
    <w:rsid w:val="5ADE2855"/>
    <w:rsid w:val="5B056CAE"/>
    <w:rsid w:val="5C664A4B"/>
    <w:rsid w:val="5CE67D31"/>
    <w:rsid w:val="5DEFB0B9"/>
    <w:rsid w:val="5E5F4050"/>
    <w:rsid w:val="5F04726A"/>
    <w:rsid w:val="5F6D37D2"/>
    <w:rsid w:val="5F7F7722"/>
    <w:rsid w:val="5F9C081D"/>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7E0D89"/>
    <w:rsid w:val="702573F3"/>
    <w:rsid w:val="70B57531"/>
    <w:rsid w:val="70FA499F"/>
    <w:rsid w:val="730C182D"/>
    <w:rsid w:val="73F9AA36"/>
    <w:rsid w:val="73FC9A3F"/>
    <w:rsid w:val="751974A1"/>
    <w:rsid w:val="758B30E4"/>
    <w:rsid w:val="75F42331"/>
    <w:rsid w:val="761F7C3C"/>
    <w:rsid w:val="76683D2A"/>
    <w:rsid w:val="76797D47"/>
    <w:rsid w:val="76C62D9E"/>
    <w:rsid w:val="77B57A69"/>
    <w:rsid w:val="77FB7B53"/>
    <w:rsid w:val="77FD391B"/>
    <w:rsid w:val="78244617"/>
    <w:rsid w:val="7A923507"/>
    <w:rsid w:val="7ACB640D"/>
    <w:rsid w:val="7BBE6E4F"/>
    <w:rsid w:val="7BFF1A29"/>
    <w:rsid w:val="7C044D89"/>
    <w:rsid w:val="7C63442B"/>
    <w:rsid w:val="7D3AA22F"/>
    <w:rsid w:val="7DE35ECA"/>
    <w:rsid w:val="7E1A0C5A"/>
    <w:rsid w:val="7E3212D3"/>
    <w:rsid w:val="7F5F887D"/>
    <w:rsid w:val="7F9B9A7B"/>
    <w:rsid w:val="7FCC7D05"/>
    <w:rsid w:val="7FEF42B8"/>
    <w:rsid w:val="7FEFE414"/>
    <w:rsid w:val="9FD01BC3"/>
    <w:rsid w:val="B3FE25BF"/>
    <w:rsid w:val="BDEC4A23"/>
    <w:rsid w:val="BE6E0F8F"/>
    <w:rsid w:val="C679D4D5"/>
    <w:rsid w:val="CAEEECE9"/>
    <w:rsid w:val="D3FFF2E3"/>
    <w:rsid w:val="D4B948F0"/>
    <w:rsid w:val="D7BE90C3"/>
    <w:rsid w:val="DEFC2092"/>
    <w:rsid w:val="E8CA3181"/>
    <w:rsid w:val="EDFFFA86"/>
    <w:rsid w:val="F3F331A4"/>
    <w:rsid w:val="F3FF81F7"/>
    <w:rsid w:val="F7FE62B6"/>
    <w:rsid w:val="F9DEFC5B"/>
    <w:rsid w:val="FA543BA3"/>
    <w:rsid w:val="FBEFDD31"/>
    <w:rsid w:val="FD7F9463"/>
    <w:rsid w:val="FEAED78B"/>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35632</Words>
  <Characters>37762</Characters>
  <Lines>1</Lines>
  <Paragraphs>1</Paragraphs>
  <TotalTime>0</TotalTime>
  <ScaleCrop>false</ScaleCrop>
  <LinksUpToDate>false</LinksUpToDate>
  <CharactersWithSpaces>38212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hccb</cp:lastModifiedBy>
  <dcterms:modified xsi:type="dcterms:W3CDTF">2026-07-02T06:28:16Z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A2BE77CFD37CB39A879F176A513CD217_43</vt:lpwstr>
  </property>
  <property fmtid="{D5CDD505-2E9C-101B-9397-08002B2CF9AE}" pid="3" name="KSOProductBuildVer">
    <vt:lpwstr>2052-11.8.2.8411</vt:lpwstr>
  </property>
</Properties>
</file>